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696AA" w14:textId="77777777" w:rsidR="006205ED" w:rsidRDefault="00000000">
      <w:pPr>
        <w:pStyle w:val="Heading1"/>
      </w:pPr>
      <w:r>
        <w:t>Business Forecasting Notes</w:t>
      </w:r>
      <w:r>
        <w:br/>
        <w:t>Advanced Forecasting Strategies for Retail Projects</w:t>
      </w:r>
    </w:p>
    <w:p w14:paraId="0B9EEB13" w14:textId="77777777" w:rsidR="006205ED" w:rsidRDefault="00000000">
      <w:pPr>
        <w:pStyle w:val="Heading2"/>
      </w:pPr>
      <w:r>
        <w:t>1. Univariate vs. Multivariate Forecasting</w:t>
      </w:r>
    </w:p>
    <w:p w14:paraId="6AAD0048" w14:textId="77777777" w:rsidR="006205ED" w:rsidRDefault="00000000">
      <w:r>
        <w:t>Univariate forecasting models use only the historical values of the target variable (sales) to estimate future observations. Typical examples include Mean, Naïve, Drift, Seasonal Naïve, ETS and the standard ARIMA family. These methods capture temporal structures such as trend and seasonality directly from the sales series and therefore cannot directly incorporate external predictors.</w:t>
      </w:r>
      <w:r>
        <w:br/>
      </w:r>
      <w:r>
        <w:br/>
        <w:t>Multivariate forecasting models extend the prediction problem by including explanatory variables (exogenous variables), such as promotions, holidays, store type, competition distance and customer counts. Global machine learning models, including Random Forest, naturally support this framework. In Project 2, future_values.csv is provided specifically to enable multivariate forecasting when future explanatory variables are available.</w:t>
      </w:r>
    </w:p>
    <w:p w14:paraId="09F0B5D5" w14:textId="77777777" w:rsidR="006205ED" w:rsidRDefault="00000000">
      <w:pPr>
        <w:pStyle w:val="Heading2"/>
      </w:pPr>
      <w:r>
        <w:t>2. Benchmark Models</w:t>
      </w:r>
    </w:p>
    <w:p w14:paraId="727C6087" w14:textId="77777777" w:rsidR="006205ED" w:rsidRDefault="00000000">
      <w:r>
        <w:t>Benchmark models serve as statistical baselines rather than the final production model. Their purpose is to establish how much improvement more sophisticated approaches provide. Benchmark models intentionally remain simple, computationally efficient and highly interpretable. They provide a fair reference point for comparing machine learning approaches.</w:t>
      </w:r>
    </w:p>
    <w:p w14:paraId="28900511" w14:textId="77777777" w:rsidR="006205ED" w:rsidRDefault="00000000">
      <w:pPr>
        <w:pStyle w:val="Heading2"/>
      </w:pPr>
      <w:r>
        <w:t>3. Exogenous Variables</w:t>
      </w:r>
    </w:p>
    <w:p w14:paraId="381F37EA" w14:textId="77777777" w:rsidR="006205ED" w:rsidRDefault="00000000">
      <w:r>
        <w:t>External variables improve forecasting only when reliable future values are available. Standard benchmark models such as Mean, Naïve, Drift, Seasonal Naïve and ETS do not directly accept exogenous variables. Standard AutoARIMA also remains univariate. Extensions such as ARIMAX or SARIMAX introduce exogenous predictors but are separate model classes and require additional modelling decisions.</w:t>
      </w:r>
    </w:p>
    <w:p w14:paraId="20B0E493" w14:textId="77777777" w:rsidR="006205ED" w:rsidRDefault="00000000">
      <w:pPr>
        <w:pStyle w:val="Heading2"/>
      </w:pPr>
      <w:r>
        <w:t>4. Local versus Global Models</w:t>
      </w:r>
    </w:p>
    <w:p w14:paraId="3D3DA9B4" w14:textId="77777777" w:rsidR="006205ED" w:rsidRDefault="00000000">
      <w:r>
        <w:t>Local models train one forecasting model for each individual store. They adapt well to store-specific behaviour but require training hundreds of independent models. Global models train one model across all stores simultaneously, allowing the model to learn common behaviour while still capturing store-specific differences through additional features. Random Forest in this project represents a global forecasting approach.</w:t>
      </w:r>
    </w:p>
    <w:p w14:paraId="01A4311E" w14:textId="77777777" w:rsidR="006205ED" w:rsidRDefault="00000000">
      <w:pPr>
        <w:pStyle w:val="Heading2"/>
      </w:pPr>
      <w:r>
        <w:t>5. Hierarchical Forecasting</w:t>
      </w:r>
    </w:p>
    <w:p w14:paraId="12FCED65" w14:textId="77777777" w:rsidR="006205ED" w:rsidRDefault="00000000">
      <w:r>
        <w:t xml:space="preserve">Retail data naturally form a hierarchy (store → store type → company). Bottom-up forecasting first predicts every individual store and then aggregates predictions to higher levels. Top-down forecasting first predicts the company total before allocating forecasts </w:t>
      </w:r>
      <w:r>
        <w:lastRenderedPageBreak/>
        <w:t>downward using historical proportions. Middle-out forecasting combines both ideas. Since this project already forecasts every individual store before aggregation, the implemented workflow is effectively a Bottom-up strategy.</w:t>
      </w:r>
    </w:p>
    <w:p w14:paraId="0C2BF697" w14:textId="77777777" w:rsidR="006205ED" w:rsidRDefault="00000000">
      <w:pPr>
        <w:pStyle w:val="Heading2"/>
      </w:pPr>
      <w:r>
        <w:t>6. Forecast Combination</w:t>
      </w:r>
    </w:p>
    <w:p w14:paraId="0D9FB4FF" w14:textId="77777777" w:rsidR="006205ED" w:rsidRDefault="00000000">
      <w:r>
        <w:t>Forecast combination merges predictions from multiple forecasting models rather than selecting only one model. Common approaches include simple averaging, weighted averaging and regression-based combinations. Combining models is beneficial when individual models capture different patterns and make different forecasting errors. If two models produce nearly identical forecasts, combination often provides little improvement.</w:t>
      </w:r>
    </w:p>
    <w:p w14:paraId="42EF43F6" w14:textId="77777777" w:rsidR="006205ED" w:rsidRDefault="00000000">
      <w:pPr>
        <w:pStyle w:val="Heading2"/>
      </w:pPr>
      <w:r>
        <w:t>7. Selecting Models for Combination</w:t>
      </w:r>
    </w:p>
    <w:p w14:paraId="700F01BA" w14:textId="77777777" w:rsidR="006205ED" w:rsidRDefault="00000000">
      <w:r>
        <w:t>Model selection for forecast combination is driven by validation performance rather than intuition. A practical workflow is to evaluate several candidate models on the validation period, generate forecasts from each model, search different combination weights (for example 0.0–1.0), calculate validation MAPE for every weight combination, and finally choose the weight producing the lowest validation error. Combining models with complementary strengths, such as ETS (trend and seasonality) and Random Forest (nonlinear relationships and external variables), is generally more promising than combining highly similar statistical models.</w:t>
      </w:r>
    </w:p>
    <w:p w14:paraId="0AC23E80" w14:textId="77777777" w:rsidR="006205ED" w:rsidRDefault="00000000">
      <w:pPr>
        <w:pStyle w:val="Heading2"/>
      </w:pPr>
      <w:r>
        <w:t>8. Other Techniques</w:t>
      </w:r>
    </w:p>
    <w:p w14:paraId="58E466C7" w14:textId="77777777" w:rsidR="006205ED" w:rsidRDefault="00000000">
      <w:r>
        <w:t>Additional forecasting techniques frequently encountered in retail forecasting include model selection by store, probabilistic forecasting with prediction intervals, forecast reconciliation (e.g. MinT) for hierarchical consistency, rolling-origin time-series cross-validation for robust evaluation, and automated retraining schedules for production deployment. The suitability of each technique depends on project objectives, computational resources and maintenance requirements.</w:t>
      </w:r>
    </w:p>
    <w:p w14:paraId="4D47B590" w14:textId="77777777" w:rsidR="006205ED" w:rsidRDefault="00000000" w:rsidP="00787D01">
      <w:pPr>
        <w:pStyle w:val="Heading2"/>
        <w:jc w:val="both"/>
      </w:pPr>
      <w:r>
        <w:t>9. Recommendations for Project 2</w:t>
      </w:r>
    </w:p>
    <w:p w14:paraId="530D23E9" w14:textId="3CB5A0E9" w:rsidR="006205ED" w:rsidRDefault="00000000" w:rsidP="00787D01">
      <w:pPr>
        <w:jc w:val="both"/>
        <w:rPr>
          <w:rFonts w:eastAsia="PMingLiU"/>
          <w:lang w:eastAsia="zh-TW"/>
        </w:rPr>
      </w:pPr>
      <w:r>
        <w:t>If additional development time were available, the highest-value extension would be a validation-based forecast combination between the best benchmark model (ETS) and the Global Random Forest. Bottom-up aggregation should also be explicitly documented as part of the forecasting framework because it naturally satisfies the project requirement to produce forecasts at the store, store-type and company levels.</w:t>
      </w:r>
    </w:p>
    <w:p w14:paraId="33664511" w14:textId="07FC8FCD" w:rsidR="00787D01" w:rsidRPr="00787D01" w:rsidRDefault="00787D01" w:rsidP="00787D01">
      <w:pPr>
        <w:jc w:val="both"/>
        <w:rPr>
          <w:rFonts w:eastAsia="PMingLiU" w:hint="eastAsia"/>
          <w:lang w:eastAsia="zh-TW"/>
        </w:rPr>
      </w:pPr>
      <w:r>
        <w:rPr>
          <w:rFonts w:eastAsia="PMingLiU" w:hint="eastAsia"/>
          <w:lang w:eastAsia="zh-TW"/>
        </w:rPr>
        <w:t xml:space="preserve">(We </w:t>
      </w:r>
      <w:proofErr w:type="gramStart"/>
      <w:r>
        <w:rPr>
          <w:rFonts w:eastAsia="PMingLiU" w:hint="eastAsia"/>
          <w:lang w:eastAsia="zh-TW"/>
        </w:rPr>
        <w:t>actually don't</w:t>
      </w:r>
      <w:proofErr w:type="gramEnd"/>
      <w:r>
        <w:rPr>
          <w:rFonts w:eastAsia="PMingLiU" w:hint="eastAsia"/>
          <w:lang w:eastAsia="zh-TW"/>
        </w:rPr>
        <w:t xml:space="preserve"> have to spend so much </w:t>
      </w:r>
      <w:proofErr w:type="gramStart"/>
      <w:r>
        <w:rPr>
          <w:rFonts w:eastAsia="PMingLiU" w:hint="eastAsia"/>
          <w:lang w:eastAsia="zh-TW"/>
        </w:rPr>
        <w:t>time on</w:t>
      </w:r>
      <w:proofErr w:type="gramEnd"/>
      <w:r>
        <w:rPr>
          <w:rFonts w:eastAsia="PMingLiU" w:hint="eastAsia"/>
          <w:lang w:eastAsia="zh-TW"/>
        </w:rPr>
        <w:t xml:space="preserve"> </w:t>
      </w:r>
      <w:proofErr w:type="gramStart"/>
      <w:r>
        <w:rPr>
          <w:rFonts w:eastAsia="PMingLiU" w:hint="eastAsia"/>
          <w:lang w:eastAsia="zh-TW"/>
        </w:rPr>
        <w:t>searching</w:t>
      </w:r>
      <w:proofErr w:type="gramEnd"/>
      <w:r>
        <w:rPr>
          <w:rFonts w:eastAsia="PMingLiU" w:hint="eastAsia"/>
          <w:lang w:eastAsia="zh-TW"/>
        </w:rPr>
        <w:t xml:space="preserve"> benchmark </w:t>
      </w:r>
      <w:proofErr w:type="gramStart"/>
      <w:r>
        <w:rPr>
          <w:rFonts w:eastAsia="PMingLiU" w:hint="eastAsia"/>
          <w:lang w:eastAsia="zh-TW"/>
        </w:rPr>
        <w:t>model</w:t>
      </w:r>
      <w:proofErr w:type="gramEnd"/>
      <w:r>
        <w:rPr>
          <w:rFonts w:eastAsia="PMingLiU" w:hint="eastAsia"/>
          <w:lang w:eastAsia="zh-TW"/>
        </w:rPr>
        <w:t>, based on EDA, we could use ETS directly.)</w:t>
      </w:r>
    </w:p>
    <w:sectPr w:rsidR="00787D01" w:rsidRPr="00787D0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2520976">
    <w:abstractNumId w:val="8"/>
  </w:num>
  <w:num w:numId="2" w16cid:durableId="1010791782">
    <w:abstractNumId w:val="6"/>
  </w:num>
  <w:num w:numId="3" w16cid:durableId="1204833602">
    <w:abstractNumId w:val="5"/>
  </w:num>
  <w:num w:numId="4" w16cid:durableId="2040155760">
    <w:abstractNumId w:val="4"/>
  </w:num>
  <w:num w:numId="5" w16cid:durableId="1541165578">
    <w:abstractNumId w:val="7"/>
  </w:num>
  <w:num w:numId="6" w16cid:durableId="208732794">
    <w:abstractNumId w:val="3"/>
  </w:num>
  <w:num w:numId="7" w16cid:durableId="573859954">
    <w:abstractNumId w:val="2"/>
  </w:num>
  <w:num w:numId="8" w16cid:durableId="1472941857">
    <w:abstractNumId w:val="1"/>
  </w:num>
  <w:num w:numId="9" w16cid:durableId="1924992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05ED"/>
    <w:rsid w:val="00787D01"/>
    <w:rsid w:val="00A50A2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324D2F"/>
  <w14:defaultImageDpi w14:val="300"/>
  <w15:docId w15:val="{0E782197-262E-4078-9292-4C3EB9011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730</Words>
  <Characters>4163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Yu-Ching Lin</cp:lastModifiedBy>
  <cp:revision>2</cp:revision>
  <dcterms:created xsi:type="dcterms:W3CDTF">2013-12-23T23:15:00Z</dcterms:created>
  <dcterms:modified xsi:type="dcterms:W3CDTF">2026-07-18T15:09:00Z</dcterms:modified>
  <cp:category/>
</cp:coreProperties>
</file>