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697"/>
        <w:spacing w:before="162" w:line="232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2024 </w:t>
      </w: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年高教社杯全国大学生数学建模竞赛题目</w:t>
      </w:r>
    </w:p>
    <w:p>
      <w:pPr>
        <w:ind w:left="1069"/>
        <w:spacing w:before="268" w:line="211" w:lineRule="auto"/>
        <w:outlineLvl w:val="0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color w:val="0000CC"/>
          <w:spacing w:val="-3"/>
        </w:rPr>
        <w:t>（请先阅读“</w:t>
      </w:r>
      <w:r>
        <w:rPr>
          <w:rFonts w:ascii="STKaiti" w:hAnsi="STKaiti" w:eastAsia="STKaiti" w:cs="STKaiti"/>
          <w:sz w:val="28"/>
          <w:szCs w:val="28"/>
          <w:color w:val="0000CC"/>
          <w:spacing w:val="-27"/>
        </w:rPr>
        <w:t xml:space="preserve"> </w:t>
      </w:r>
      <w:r>
        <w:rPr>
          <w:rFonts w:ascii="STKaiti" w:hAnsi="STKaiti" w:eastAsia="STKaiti" w:cs="STKaiti"/>
          <w:sz w:val="28"/>
          <w:szCs w:val="28"/>
          <w:color w:val="0000CC"/>
          <w:spacing w:val="-3"/>
        </w:rPr>
        <w:t>全国大学生数学建模竞赛论文格式规范</w:t>
      </w:r>
      <w:r>
        <w:rPr>
          <w:rFonts w:ascii="STKaiti" w:hAnsi="STKaiti" w:eastAsia="STKaiti" w:cs="STKaiti"/>
          <w:sz w:val="28"/>
          <w:szCs w:val="28"/>
          <w:color w:val="0000CC"/>
          <w:spacing w:val="-47"/>
        </w:rPr>
        <w:t xml:space="preserve"> </w:t>
      </w:r>
      <w:r>
        <w:rPr>
          <w:rFonts w:ascii="STKaiti" w:hAnsi="STKaiti" w:eastAsia="STKaiti" w:cs="STKaiti"/>
          <w:sz w:val="28"/>
          <w:szCs w:val="28"/>
          <w:color w:val="0000CC"/>
          <w:spacing w:val="-3"/>
        </w:rPr>
        <w:t>”）</w:t>
      </w:r>
    </w:p>
    <w:p>
      <w:pPr>
        <w:spacing w:before="184" w:line="128" w:lineRule="exact"/>
        <w:rPr/>
      </w:pPr>
      <w:r>
        <w:rPr>
          <w:position w:val="-2"/>
        </w:rPr>
        <w:drawing>
          <wp:inline distT="0" distB="0" distL="0" distR="0">
            <wp:extent cx="5891771" cy="8127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1771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005"/>
        <w:spacing w:before="91" w:line="219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C </w:t>
      </w: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题</w:t>
      </w:r>
      <w:r>
        <w:rPr>
          <w:rFonts w:ascii="SimHei" w:hAnsi="SimHei" w:eastAsia="SimHei" w:cs="SimHei"/>
          <w:sz w:val="28"/>
          <w:szCs w:val="28"/>
          <w:spacing w:val="-3"/>
        </w:rPr>
        <w:t xml:space="preserve">  </w:t>
      </w: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农作物的种植策略</w:t>
      </w:r>
    </w:p>
    <w:p>
      <w:pPr>
        <w:pStyle w:val="BodyText"/>
        <w:ind w:left="14" w:right="201" w:firstLine="414"/>
        <w:spacing w:before="173" w:line="274" w:lineRule="auto"/>
        <w:jc w:val="both"/>
        <w:rPr/>
      </w:pPr>
      <w:r>
        <w:rPr>
          <w:color w:val="333333"/>
          <w:spacing w:val="1"/>
        </w:rPr>
        <w:t>根据乡村的实际情况，充分利用有限的耕地资源，因地制宜，发展有机种植产</w:t>
      </w:r>
      <w:r>
        <w:rPr>
          <w:color w:val="333333"/>
        </w:rPr>
        <w:t>业，对乡村经济</w:t>
      </w:r>
      <w:r>
        <w:rPr>
          <w:color w:val="333333"/>
          <w:spacing w:val="1"/>
        </w:rPr>
        <w:t>的可持续发展具有重要的现实意义。选择适宜的农作物，优化种植策</w:t>
      </w:r>
      <w:r>
        <w:rPr>
          <w:color w:val="333333"/>
        </w:rPr>
        <w:t>略，有利于方便田间管理，提</w:t>
      </w:r>
      <w:r>
        <w:rPr>
          <w:color w:val="333333"/>
          <w:spacing w:val="-1"/>
        </w:rPr>
        <w:t>高生产效益，减少各种不确定因素可能造成的种植风险。</w:t>
      </w:r>
    </w:p>
    <w:p>
      <w:pPr>
        <w:pStyle w:val="BodyText"/>
        <w:ind w:left="9" w:right="201" w:firstLine="420"/>
        <w:spacing w:before="2" w:line="274" w:lineRule="auto"/>
        <w:rPr/>
      </w:pPr>
      <w:r>
        <w:rPr>
          <w:color w:val="333333"/>
          <w:spacing w:val="1"/>
        </w:rPr>
        <w:t>某乡村地处华北山区，常年温度偏低，大多数耕地每年只能种植一季农作物。</w:t>
      </w:r>
      <w:r>
        <w:rPr>
          <w:color w:val="333333"/>
        </w:rPr>
        <w:t>该乡村现有露天</w:t>
      </w:r>
      <w:r>
        <w:rPr>
          <w:color w:val="333333"/>
          <w:spacing w:val="-1"/>
        </w:rPr>
        <w:t>耕地</w:t>
      </w:r>
      <w:r>
        <w:rPr>
          <w:color w:val="333333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</w:rPr>
        <w:t>1201</w:t>
      </w:r>
      <w:r>
        <w:rPr>
          <w:rFonts w:ascii="Times New Roman" w:hAnsi="Times New Roman" w:eastAsia="Times New Roman" w:cs="Times New Roman"/>
          <w:color w:val="333333"/>
          <w:spacing w:val="15"/>
          <w:w w:val="101"/>
        </w:rPr>
        <w:t xml:space="preserve"> </w:t>
      </w:r>
      <w:r>
        <w:rPr>
          <w:color w:val="333333"/>
          <w:spacing w:val="-1"/>
        </w:rPr>
        <w:t>亩，分散为</w:t>
      </w:r>
      <w:r>
        <w:rPr>
          <w:color w:val="333333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</w:rPr>
        <w:t>34</w:t>
      </w:r>
      <w:r>
        <w:rPr>
          <w:rFonts w:ascii="Times New Roman" w:hAnsi="Times New Roman" w:eastAsia="Times New Roman" w:cs="Times New Roman"/>
          <w:color w:val="333333"/>
          <w:spacing w:val="14"/>
        </w:rPr>
        <w:t xml:space="preserve"> </w:t>
      </w:r>
      <w:r>
        <w:rPr>
          <w:color w:val="333333"/>
          <w:spacing w:val="-1"/>
        </w:rPr>
        <w:t>个大小不同的地块，包括平旱地、梯</w:t>
      </w:r>
      <w:r>
        <w:rPr>
          <w:color w:val="333333"/>
          <w:spacing w:val="-2"/>
        </w:rPr>
        <w:t>田、山坡地和水浇地</w:t>
      </w:r>
      <w:r>
        <w:rPr>
          <w:color w:val="333333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2"/>
        </w:rPr>
        <w:t>4</w:t>
      </w:r>
      <w:r>
        <w:rPr>
          <w:rFonts w:ascii="Times New Roman" w:hAnsi="Times New Roman" w:eastAsia="Times New Roman" w:cs="Times New Roman"/>
          <w:color w:val="333333"/>
          <w:spacing w:val="13"/>
          <w:w w:val="101"/>
        </w:rPr>
        <w:t xml:space="preserve"> </w:t>
      </w:r>
      <w:r>
        <w:rPr>
          <w:color w:val="333333"/>
          <w:spacing w:val="-2"/>
        </w:rPr>
        <w:t>种类型。</w:t>
      </w:r>
      <w:r>
        <w:rPr>
          <w:spacing w:val="-2"/>
        </w:rPr>
        <w:t>平旱</w:t>
      </w:r>
      <w:r>
        <w:rPr>
          <w:spacing w:val="1"/>
        </w:rPr>
        <w:t>地、梯田和山坡地适宜每年种植一季粮食类作物；水浇地适宜每年种植一季水稻或</w:t>
      </w:r>
      <w:r>
        <w:rPr/>
        <w:t>两季蔬菜。</w:t>
      </w:r>
      <w:r>
        <w:rPr>
          <w:color w:val="333333"/>
        </w:rPr>
        <w:t>该乡</w:t>
      </w:r>
      <w:r>
        <w:rPr>
          <w:color w:val="333333"/>
          <w:spacing w:val="-1"/>
        </w:rPr>
        <w:t>村另有</w:t>
      </w:r>
      <w:r>
        <w:rPr>
          <w:color w:val="333333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</w:rPr>
        <w:t>16 </w:t>
      </w:r>
      <w:r>
        <w:rPr>
          <w:color w:val="333333"/>
          <w:spacing w:val="-1"/>
        </w:rPr>
        <w:t>个普通大棚和</w:t>
      </w:r>
      <w:r>
        <w:rPr>
          <w:color w:val="333333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</w:rPr>
        <w:t>4 </w:t>
      </w:r>
      <w:r>
        <w:rPr>
          <w:color w:val="333333"/>
          <w:spacing w:val="-1"/>
        </w:rPr>
        <w:t>个智慧大棚，每个大棚耕地面积为</w:t>
      </w:r>
      <w:r>
        <w:rPr>
          <w:color w:val="333333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</w:rPr>
        <w:t>0.6 </w:t>
      </w:r>
      <w:r>
        <w:rPr>
          <w:color w:val="333333"/>
          <w:spacing w:val="-1"/>
        </w:rPr>
        <w:t>亩。普通</w:t>
      </w:r>
      <w:r>
        <w:rPr>
          <w:spacing w:val="-1"/>
        </w:rPr>
        <w:t>大棚适宜每年种</w:t>
      </w:r>
      <w:r>
        <w:rPr>
          <w:spacing w:val="-2"/>
        </w:rPr>
        <w:t>植一季蔬</w:t>
      </w:r>
      <w:r>
        <w:rPr>
          <w:spacing w:val="-4"/>
        </w:rPr>
        <w:t>菜和一季食用菌，智慧大棚适宜每年种植两季蔬菜。同一地块（含大棚）每季可以合种不同的作物。</w:t>
      </w:r>
      <w:r>
        <w:rPr>
          <w:spacing w:val="-5"/>
        </w:rPr>
        <w:t>详见附件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spacing w:val="-5"/>
        </w:rPr>
        <w:t>。</w:t>
      </w:r>
    </w:p>
    <w:p>
      <w:pPr>
        <w:pStyle w:val="BodyText"/>
        <w:ind w:left="9" w:right="201" w:firstLine="420"/>
        <w:spacing w:before="1" w:line="274" w:lineRule="auto"/>
        <w:rPr/>
      </w:pPr>
      <w:r>
        <w:rPr>
          <w:color w:val="333333"/>
          <w:spacing w:val="1"/>
        </w:rPr>
        <w:t>根据农作物的生长规律，每种作物在同一地块（含大棚）都不能连续重茬种植，否</w:t>
      </w:r>
      <w:r>
        <w:rPr>
          <w:color w:val="333333"/>
        </w:rPr>
        <w:t>则会减产；</w:t>
      </w:r>
      <w:r>
        <w:rPr>
          <w:spacing w:val="-2"/>
        </w:rPr>
        <w:t>因含有豆类作物根菌的土壤有利于其他作物生长，从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2023 </w:t>
      </w:r>
      <w:r>
        <w:rPr>
          <w:spacing w:val="-2"/>
        </w:rPr>
        <w:t>年开始要求每个地块（含大棚）的所有土</w:t>
      </w:r>
      <w:r>
        <w:rPr>
          <w:spacing w:val="1"/>
        </w:rPr>
        <w:t>地三年内至少种植一次豆类作物。同时，种植方案应考虑到方便耕种作业和田间管</w:t>
      </w:r>
      <w:r>
        <w:rPr/>
        <w:t>理，譬如：每种</w:t>
      </w:r>
      <w:r>
        <w:rPr>
          <w:spacing w:val="1"/>
        </w:rPr>
        <w:t>作物每季的种植地不能太分散，每种作物在单个地块（含大棚）种植的面积不</w:t>
      </w:r>
      <w:r>
        <w:rPr/>
        <w:t>宜太小，等等。</w:t>
      </w:r>
      <w:r>
        <w:rPr>
          <w:rFonts w:ascii="Times New Roman" w:hAnsi="Times New Roman" w:eastAsia="Times New Roman" w:cs="Times New Roman"/>
        </w:rPr>
        <w:t>2023</w:t>
      </w:r>
      <w:r>
        <w:rPr>
          <w:spacing w:val="2"/>
        </w:rPr>
        <w:t>年的农作物种植</w:t>
      </w:r>
      <w:r>
        <w:rPr>
          <w:color w:val="333333"/>
          <w:spacing w:val="2"/>
        </w:rPr>
        <w:t>和相关统计数据见附件</w:t>
      </w:r>
      <w:r>
        <w:rPr>
          <w:rFonts w:ascii="Times New Roman" w:hAnsi="Times New Roman" w:eastAsia="Times New Roman" w:cs="Times New Roman"/>
          <w:color w:val="333333"/>
          <w:spacing w:val="2"/>
        </w:rPr>
        <w:t>2</w:t>
      </w:r>
      <w:r>
        <w:rPr>
          <w:color w:val="333333"/>
          <w:spacing w:val="2"/>
        </w:rPr>
        <w:t>。</w:t>
      </w:r>
    </w:p>
    <w:p>
      <w:pPr>
        <w:pStyle w:val="BodyText"/>
        <w:ind w:left="427"/>
        <w:spacing w:before="1" w:line="219" w:lineRule="auto"/>
        <w:rPr/>
      </w:pPr>
      <w:r>
        <w:rPr>
          <w:color w:val="333333"/>
          <w:spacing w:val="-1"/>
        </w:rPr>
        <w:t>请建立数学模型，研究下列问题：</w:t>
      </w:r>
    </w:p>
    <w:p>
      <w:pPr>
        <w:pStyle w:val="BodyText"/>
        <w:ind w:left="10" w:right="201" w:firstLine="433"/>
        <w:spacing w:before="63" w:line="271" w:lineRule="auto"/>
        <w:jc w:val="both"/>
        <w:rPr/>
      </w:pPr>
      <w:r>
        <w:rPr>
          <w:rFonts w:ascii="SimHei" w:hAnsi="SimHei" w:eastAsia="SimHei" w:cs="SimHei"/>
          <w:b/>
          <w:bCs/>
          <w:color w:val="333333"/>
        </w:rPr>
        <w:t>问题</w:t>
      </w:r>
      <w:r>
        <w:rPr>
          <w:rFonts w:ascii="SimHei" w:hAnsi="SimHei" w:eastAsia="SimHei" w:cs="SimHei"/>
          <w:color w:val="333333"/>
          <w:spacing w:val="-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333333"/>
        </w:rPr>
        <w:t>1    </w:t>
      </w:r>
      <w:r>
        <w:rPr>
          <w:color w:val="333333"/>
        </w:rPr>
        <w:t>假定各种农作物未来的预期销售量、种植成本、亩产量和销售价格相对于</w:t>
      </w:r>
      <w:r>
        <w:rPr>
          <w:rFonts w:ascii="Times New Roman" w:hAnsi="Times New Roman" w:eastAsia="Times New Roman" w:cs="Times New Roman"/>
          <w:color w:val="333333"/>
        </w:rPr>
        <w:t>2023 </w:t>
      </w:r>
      <w:r>
        <w:rPr>
          <w:color w:val="333333"/>
        </w:rPr>
        <w:t>年保持</w:t>
      </w:r>
      <w:r>
        <w:rPr>
          <w:color w:val="333333"/>
          <w:spacing w:val="1"/>
        </w:rPr>
        <w:t>稳定，每季种植的农作物在当季销售。如果</w:t>
      </w:r>
      <w:r>
        <w:rPr>
          <w:spacing w:val="1"/>
        </w:rPr>
        <w:t>某种作物每季的总产量超过相应的预</w:t>
      </w:r>
      <w:r>
        <w:rPr/>
        <w:t>期销售量，超过部</w:t>
      </w:r>
      <w:r>
        <w:rPr/>
        <w:t>分不能正常销售。请针对以下两种情况，分别给出该</w:t>
      </w:r>
      <w:r>
        <w:rPr>
          <w:spacing w:val="-1"/>
        </w:rPr>
        <w:t>乡村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2024~2030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1"/>
        </w:rPr>
        <w:t>年农作物的最优种植方案，将</w:t>
      </w:r>
      <w:r>
        <w:rPr>
          <w:spacing w:val="-3"/>
        </w:rPr>
        <w:t>结果分别填入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result1_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1.xlsx </w:t>
      </w:r>
      <w:r>
        <w:rPr>
          <w:spacing w:val="-3"/>
        </w:rPr>
        <w:t>和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result1_2.xlsx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）。</w:t>
      </w:r>
    </w:p>
    <w:p>
      <w:pPr>
        <w:pStyle w:val="BodyText"/>
        <w:ind w:left="429"/>
        <w:spacing w:before="14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(1)  </w:t>
      </w:r>
      <w:r>
        <w:rPr>
          <w:spacing w:val="-1"/>
        </w:rPr>
        <w:t>超过部分滞销，造成浪费；</w:t>
      </w:r>
    </w:p>
    <w:p>
      <w:pPr>
        <w:pStyle w:val="BodyText"/>
        <w:ind w:left="429"/>
        <w:spacing w:before="69" w:line="214" w:lineRule="auto"/>
        <w:rPr/>
      </w:pPr>
      <w:r>
        <w:rPr>
          <w:rFonts w:ascii="Times New Roman" w:hAnsi="Times New Roman" w:eastAsia="Times New Roman" w:cs="Times New Roman"/>
          <w:color w:val="333333"/>
          <w:spacing w:val="3"/>
        </w:rPr>
        <w:t>(2)  </w:t>
      </w:r>
      <w:r>
        <w:rPr>
          <w:color w:val="333333"/>
          <w:spacing w:val="3"/>
        </w:rPr>
        <w:t>超过部分按</w:t>
      </w:r>
      <w:r>
        <w:rPr>
          <w:rFonts w:ascii="Times New Roman" w:hAnsi="Times New Roman" w:eastAsia="Times New Roman" w:cs="Times New Roman"/>
          <w:color w:val="333333"/>
          <w:spacing w:val="3"/>
        </w:rPr>
        <w:t>2023 </w:t>
      </w:r>
      <w:r>
        <w:rPr>
          <w:color w:val="333333"/>
          <w:spacing w:val="3"/>
        </w:rPr>
        <w:t>年销售价格的</w:t>
      </w:r>
      <w:r>
        <w:rPr>
          <w:rFonts w:ascii="Times New Roman" w:hAnsi="Times New Roman" w:eastAsia="Times New Roman" w:cs="Times New Roman"/>
          <w:color w:val="333333"/>
          <w:spacing w:val="3"/>
        </w:rPr>
        <w:t>50%</w:t>
      </w:r>
      <w:r>
        <w:rPr>
          <w:color w:val="333333"/>
          <w:spacing w:val="3"/>
        </w:rPr>
        <w:t>降价出售。</w:t>
      </w:r>
    </w:p>
    <w:p>
      <w:pPr>
        <w:pStyle w:val="BodyText"/>
        <w:ind w:left="8" w:right="201" w:firstLine="434"/>
        <w:spacing w:before="71" w:line="274" w:lineRule="auto"/>
        <w:jc w:val="both"/>
        <w:rPr/>
      </w:pPr>
      <w:r>
        <w:rPr>
          <w:rFonts w:ascii="SimHei" w:hAnsi="SimHei" w:eastAsia="SimHei" w:cs="SimHei"/>
          <w:b/>
          <w:bCs/>
          <w:color w:val="333333"/>
        </w:rPr>
        <w:t>问题</w:t>
      </w:r>
      <w:r>
        <w:rPr>
          <w:rFonts w:ascii="SimHei" w:hAnsi="SimHei" w:eastAsia="SimHei" w:cs="SimHei"/>
          <w:color w:val="3333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333333"/>
        </w:rPr>
        <w:t>2    </w:t>
      </w:r>
      <w:r>
        <w:rPr>
          <w:color w:val="333333"/>
        </w:rPr>
        <w:t>根据经验，小麦和玉米未来的预期销售量有增长的趋势，</w:t>
      </w:r>
      <w:r>
        <w:rPr>
          <w:color w:val="333333"/>
          <w:spacing w:val="-1"/>
        </w:rPr>
        <w:t>平均年增长率介于</w:t>
      </w:r>
      <w:r>
        <w:rPr>
          <w:rFonts w:ascii="Cambria Math" w:hAnsi="Cambria Math" w:eastAsia="Cambria Math" w:cs="Cambria Math"/>
          <w:color w:val="333333"/>
          <w:spacing w:val="-1"/>
        </w:rPr>
        <w:t>5%~10%</w:t>
      </w:r>
      <w:r>
        <w:rPr>
          <w:color w:val="333333"/>
          <w:spacing w:val="-1"/>
        </w:rPr>
        <w:t>之间，其他农作物未来每年的预期销售量相对于</w:t>
      </w:r>
      <w:r>
        <w:rPr>
          <w:rFonts w:ascii="Times New Roman" w:hAnsi="Times New Roman" w:eastAsia="Times New Roman" w:cs="Times New Roman"/>
          <w:color w:val="333333"/>
          <w:spacing w:val="-1"/>
        </w:rPr>
        <w:t>2023 </w:t>
      </w:r>
      <w:r>
        <w:rPr>
          <w:color w:val="333333"/>
          <w:spacing w:val="-1"/>
        </w:rPr>
        <w:t>年大约有</w:t>
      </w:r>
      <w:r>
        <w:rPr>
          <w:rFonts w:ascii="Cambria Math" w:hAnsi="Cambria Math" w:eastAsia="Cambria Math" w:cs="Cambria Math"/>
          <w:color w:val="333333"/>
          <w:spacing w:val="-1"/>
        </w:rPr>
        <w:t>±5%</w:t>
      </w:r>
      <w:r>
        <w:rPr>
          <w:color w:val="333333"/>
          <w:spacing w:val="-1"/>
        </w:rPr>
        <w:t>的变化。农作</w:t>
      </w:r>
      <w:r>
        <w:rPr>
          <w:color w:val="333333"/>
          <w:spacing w:val="-2"/>
        </w:rPr>
        <w:t>物的亩产量往往会</w:t>
      </w:r>
      <w:r>
        <w:rPr>
          <w:color w:val="333333"/>
          <w:spacing w:val="-3"/>
        </w:rPr>
        <w:t>受气候等因素的影响，每年会有</w:t>
      </w:r>
      <w:r>
        <w:rPr>
          <w:rFonts w:ascii="Cambria Math" w:hAnsi="Cambria Math" w:eastAsia="Cambria Math" w:cs="Cambria Math"/>
          <w:color w:val="333333"/>
          <w:spacing w:val="-3"/>
        </w:rPr>
        <w:t>±10%</w:t>
      </w:r>
      <w:r>
        <w:rPr>
          <w:color w:val="333333"/>
          <w:spacing w:val="-3"/>
        </w:rPr>
        <w:t>的变化。因受市场条件影响，农作物的种植成本平均每年增长</w:t>
      </w:r>
      <w:r>
        <w:rPr>
          <w:rFonts w:ascii="Cambria Math" w:hAnsi="Cambria Math" w:eastAsia="Cambria Math" w:cs="Cambria Math"/>
          <w:color w:val="333333"/>
          <w:spacing w:val="-3"/>
        </w:rPr>
        <w:t>5%</w:t>
      </w:r>
      <w:r>
        <w:rPr>
          <w:color w:val="333333"/>
          <w:spacing w:val="-3"/>
        </w:rPr>
        <w:t>左右。粮食类作物的销售价格基本稳定；蔬菜类作物的销售价</w:t>
      </w:r>
      <w:r>
        <w:rPr>
          <w:color w:val="333333"/>
          <w:spacing w:val="-4"/>
        </w:rPr>
        <w:t>格有增长的趋势，平均每年增长</w:t>
      </w:r>
      <w:r>
        <w:rPr>
          <w:rFonts w:ascii="Cambria Math" w:hAnsi="Cambria Math" w:eastAsia="Cambria Math" w:cs="Cambria Math"/>
          <w:color w:val="333333"/>
          <w:spacing w:val="-4"/>
        </w:rPr>
        <w:t>5%</w:t>
      </w:r>
      <w:r>
        <w:rPr>
          <w:color w:val="333333"/>
          <w:spacing w:val="-2"/>
        </w:rPr>
        <w:t>左右。食用菌的销售价格稳中有降，大约每年可下降</w:t>
      </w:r>
      <w:r>
        <w:rPr>
          <w:rFonts w:ascii="Cambria Math" w:hAnsi="Cambria Math" w:eastAsia="Cambria Math" w:cs="Cambria Math"/>
          <w:color w:val="333333"/>
          <w:spacing w:val="-2"/>
        </w:rPr>
        <w:t>1%~5%</w:t>
      </w:r>
      <w:r>
        <w:rPr>
          <w:color w:val="333333"/>
          <w:spacing w:val="-2"/>
        </w:rPr>
        <w:t>，特别是羊肚菌的销售价格每年下降幅</w:t>
      </w:r>
      <w:r>
        <w:rPr>
          <w:color w:val="333333"/>
          <w:spacing w:val="-1"/>
        </w:rPr>
        <w:t>度为</w:t>
      </w:r>
      <w:r>
        <w:rPr>
          <w:rFonts w:ascii="Cambria Math" w:hAnsi="Cambria Math" w:eastAsia="Cambria Math" w:cs="Cambria Math"/>
          <w:color w:val="333333"/>
          <w:spacing w:val="-1"/>
        </w:rPr>
        <w:t>5%</w:t>
      </w:r>
      <w:r>
        <w:rPr>
          <w:color w:val="333333"/>
          <w:spacing w:val="-1"/>
        </w:rPr>
        <w:t>。</w:t>
      </w:r>
    </w:p>
    <w:p>
      <w:pPr>
        <w:pStyle w:val="BodyText"/>
        <w:ind w:left="10" w:right="201" w:firstLine="417"/>
        <w:spacing w:before="1" w:line="274" w:lineRule="auto"/>
        <w:jc w:val="both"/>
        <w:rPr/>
      </w:pPr>
      <w:r>
        <w:rPr>
          <w:color w:val="333333"/>
          <w:spacing w:val="1"/>
        </w:rPr>
        <w:t>请综合考虑各种农作物的预期销售量、亩产量、种植成本和销售价格的不确定性</w:t>
      </w:r>
      <w:r>
        <w:rPr>
          <w:color w:val="333333"/>
        </w:rPr>
        <w:t>以及潜在的种</w:t>
      </w:r>
      <w:r>
        <w:rPr>
          <w:color w:val="333333"/>
        </w:rPr>
        <w:t>植风险，给出该乡村</w:t>
      </w:r>
      <w:r>
        <w:rPr>
          <w:color w:val="333333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333333"/>
        </w:rPr>
        <w:t>2024~2030 </w:t>
      </w:r>
      <w:r>
        <w:rPr>
          <w:color w:val="333333"/>
        </w:rPr>
        <w:t>年农</w:t>
      </w:r>
      <w:r>
        <w:rPr>
          <w:color w:val="333333"/>
          <w:spacing w:val="-1"/>
        </w:rPr>
        <w:t>作物的最优种植方案，将结果填入</w:t>
      </w:r>
      <w:r>
        <w:rPr>
          <w:color w:val="333333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</w:rPr>
        <w:t>result2.xlsx</w:t>
      </w:r>
      <w:r>
        <w:rPr>
          <w:rFonts w:ascii="Times New Roman" w:hAnsi="Times New Roman" w:eastAsia="Times New Roman" w:cs="Times New Roman"/>
          <w:color w:val="333333"/>
          <w:spacing w:val="29"/>
        </w:rPr>
        <w:t xml:space="preserve"> </w:t>
      </w:r>
      <w:r>
        <w:rPr>
          <w:color w:val="333333"/>
          <w:spacing w:val="-1"/>
        </w:rPr>
        <w:t>中</w:t>
      </w:r>
      <w:r>
        <w:rPr>
          <w:spacing w:val="-1"/>
        </w:rPr>
        <w:t>（模板文件见</w:t>
      </w:r>
      <w:r>
        <w:rPr>
          <w:spacing w:val="-19"/>
        </w:rPr>
        <w:t>附件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9"/>
        </w:rPr>
        <w:t>3</w:t>
      </w:r>
      <w:r>
        <w:rPr>
          <w:spacing w:val="-19"/>
        </w:rPr>
        <w:t>）</w:t>
      </w:r>
      <w:r>
        <w:rPr>
          <w:color w:val="333333"/>
          <w:spacing w:val="-19"/>
        </w:rPr>
        <w:t>。</w:t>
      </w:r>
    </w:p>
    <w:p>
      <w:pPr>
        <w:pStyle w:val="BodyText"/>
        <w:ind w:left="5" w:right="201" w:firstLine="437"/>
        <w:spacing w:before="2" w:line="274" w:lineRule="auto"/>
        <w:jc w:val="both"/>
        <w:rPr/>
      </w:pPr>
      <w:r>
        <w:rPr>
          <w:rFonts w:ascii="SimHei" w:hAnsi="SimHei" w:eastAsia="SimHei" w:cs="SimHei"/>
          <w:b/>
          <w:bCs/>
          <w:color w:val="333333"/>
        </w:rPr>
        <w:t>问题</w:t>
      </w:r>
      <w:r>
        <w:rPr>
          <w:rFonts w:ascii="SimHei" w:hAnsi="SimHei" w:eastAsia="SimHei" w:cs="SimHei"/>
          <w:color w:val="3333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333333"/>
        </w:rPr>
        <w:t>3    </w:t>
      </w:r>
      <w:r>
        <w:rPr>
          <w:color w:val="333333"/>
        </w:rPr>
        <w:t>在现实生活中，各种农作物之间可能存在一定的可替代性和互补性，预期销售量与销</w:t>
      </w:r>
      <w:r>
        <w:rPr>
          <w:color w:val="333333"/>
          <w:spacing w:val="-1"/>
        </w:rPr>
        <w:t>售价格、种植成本之间也存在一定的相关性。请在问题</w:t>
      </w:r>
      <w:r>
        <w:rPr>
          <w:color w:val="333333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</w:rPr>
        <w:t>2</w:t>
      </w:r>
      <w:r>
        <w:rPr>
          <w:rFonts w:ascii="Times New Roman" w:hAnsi="Times New Roman" w:eastAsia="Times New Roman" w:cs="Times New Roman"/>
          <w:color w:val="333333"/>
          <w:spacing w:val="45"/>
        </w:rPr>
        <w:t xml:space="preserve"> </w:t>
      </w:r>
      <w:r>
        <w:rPr>
          <w:color w:val="333333"/>
          <w:spacing w:val="-1"/>
        </w:rPr>
        <w:t>的基础上综合考虑相关因素，给出该乡村</w:t>
      </w:r>
      <w:r>
        <w:rPr>
          <w:rFonts w:ascii="Times New Roman" w:hAnsi="Times New Roman" w:eastAsia="Times New Roman" w:cs="Times New Roman"/>
          <w:color w:val="333333"/>
          <w:spacing w:val="1"/>
        </w:rPr>
        <w:t>2024~2030 </w:t>
      </w:r>
      <w:r>
        <w:rPr>
          <w:color w:val="333333"/>
          <w:spacing w:val="1"/>
        </w:rPr>
        <w:t>年农作物的最优种植策略，通过模拟数据进</w:t>
      </w:r>
      <w:r>
        <w:rPr>
          <w:color w:val="333333"/>
        </w:rPr>
        <w:t>行求解，并与问题</w:t>
      </w:r>
      <w:r>
        <w:rPr>
          <w:rFonts w:ascii="Times New Roman" w:hAnsi="Times New Roman" w:eastAsia="Times New Roman" w:cs="Times New Roman"/>
          <w:color w:val="333333"/>
        </w:rPr>
        <w:t>2</w:t>
      </w:r>
      <w:r>
        <w:rPr>
          <w:rFonts w:ascii="Times New Roman" w:hAnsi="Times New Roman" w:eastAsia="Times New Roman" w:cs="Times New Roman"/>
          <w:color w:val="333333"/>
          <w:spacing w:val="24"/>
        </w:rPr>
        <w:t xml:space="preserve"> </w:t>
      </w:r>
      <w:r>
        <w:rPr>
          <w:color w:val="333333"/>
        </w:rPr>
        <w:t>的结果作比较分析。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445"/>
        <w:spacing w:before="69" w:line="234" w:lineRule="auto"/>
        <w:rPr/>
      </w:pPr>
      <w:r>
        <w:rPr>
          <w:color w:val="333333"/>
          <w:spacing w:val="-2"/>
        </w:rPr>
        <w:t>附件</w:t>
      </w:r>
      <w:r>
        <w:rPr>
          <w:color w:val="333333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2"/>
        </w:rPr>
        <w:t>1    </w:t>
      </w:r>
      <w:r>
        <w:rPr>
          <w:color w:val="333333"/>
          <w:spacing w:val="-2"/>
        </w:rPr>
        <w:t>乡村现有耕地和农作物的基本</w:t>
      </w:r>
      <w:r>
        <w:rPr>
          <w:color w:val="333333"/>
          <w:spacing w:val="-3"/>
        </w:rPr>
        <w:t>情况</w:t>
      </w:r>
    </w:p>
    <w:p>
      <w:pPr>
        <w:pStyle w:val="BodyText"/>
        <w:ind w:left="445"/>
        <w:spacing w:before="46" w:line="234" w:lineRule="auto"/>
        <w:rPr/>
      </w:pPr>
      <w:r>
        <w:rPr>
          <w:color w:val="333333"/>
          <w:spacing w:val="-1"/>
        </w:rPr>
        <w:t>附件</w:t>
      </w:r>
      <w:r>
        <w:rPr>
          <w:color w:val="333333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</w:rPr>
        <w:t>2    2023 </w:t>
      </w:r>
      <w:r>
        <w:rPr>
          <w:color w:val="333333"/>
          <w:spacing w:val="-1"/>
        </w:rPr>
        <w:t>年乡村农作物种植和相关统计数据</w:t>
      </w:r>
    </w:p>
    <w:p>
      <w:pPr>
        <w:pStyle w:val="BodyText"/>
        <w:ind w:left="445"/>
        <w:spacing w:before="47" w:line="213" w:lineRule="auto"/>
        <w:rPr/>
      </w:pPr>
      <w:r>
        <w:rPr>
          <w:color w:val="333333"/>
          <w:spacing w:val="-1"/>
        </w:rPr>
        <w:t>附件</w:t>
      </w:r>
      <w:r>
        <w:rPr>
          <w:color w:val="333333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1"/>
        </w:rPr>
        <w:t>3    </w:t>
      </w:r>
      <w:r>
        <w:rPr>
          <w:color w:val="333333"/>
          <w:spacing w:val="-1"/>
        </w:rPr>
        <w:t>须提交结果的模板文件（</w:t>
      </w:r>
      <w:r>
        <w:rPr>
          <w:rFonts w:ascii="Times New Roman" w:hAnsi="Times New Roman" w:eastAsia="Times New Roman" w:cs="Times New Roman"/>
          <w:color w:val="333333"/>
          <w:spacing w:val="-1"/>
        </w:rPr>
        <w:t>re</w:t>
      </w:r>
      <w:r>
        <w:rPr>
          <w:rFonts w:ascii="Times New Roman" w:hAnsi="Times New Roman" w:eastAsia="Times New Roman" w:cs="Times New Roman"/>
          <w:color w:val="333333"/>
          <w:spacing w:val="-2"/>
        </w:rPr>
        <w:t>sult1_</w:t>
      </w:r>
      <w:r>
        <w:rPr>
          <w:rFonts w:ascii="Times New Roman" w:hAnsi="Times New Roman" w:eastAsia="Times New Roman" w:cs="Times New Roman"/>
          <w:color w:val="333333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2"/>
        </w:rPr>
        <w:t>1.xlsx</w:t>
      </w:r>
      <w:r>
        <w:rPr>
          <w:rFonts w:ascii="Times New Roman" w:hAnsi="Times New Roman" w:eastAsia="Times New Roman" w:cs="Times New Roman"/>
          <w:color w:val="333333"/>
          <w:spacing w:val="-28"/>
        </w:rPr>
        <w:t xml:space="preserve"> </w:t>
      </w:r>
      <w:r>
        <w:rPr>
          <w:color w:val="333333"/>
          <w:spacing w:val="-2"/>
        </w:rPr>
        <w:t>，</w:t>
      </w:r>
      <w:r>
        <w:rPr>
          <w:rFonts w:ascii="Times New Roman" w:hAnsi="Times New Roman" w:eastAsia="Times New Roman" w:cs="Times New Roman"/>
          <w:color w:val="333333"/>
          <w:spacing w:val="-2"/>
        </w:rPr>
        <w:t>result1_2.xlsx</w:t>
      </w:r>
      <w:r>
        <w:rPr>
          <w:rFonts w:ascii="Times New Roman" w:hAnsi="Times New Roman" w:eastAsia="Times New Roman" w:cs="Times New Roman"/>
          <w:color w:val="333333"/>
          <w:spacing w:val="-28"/>
        </w:rPr>
        <w:t xml:space="preserve"> </w:t>
      </w:r>
      <w:r>
        <w:rPr>
          <w:color w:val="333333"/>
          <w:spacing w:val="-2"/>
        </w:rPr>
        <w:t>，</w:t>
      </w:r>
      <w:r>
        <w:rPr>
          <w:rFonts w:ascii="Times New Roman" w:hAnsi="Times New Roman" w:eastAsia="Times New Roman" w:cs="Times New Roman"/>
          <w:color w:val="333333"/>
          <w:spacing w:val="-2"/>
        </w:rPr>
        <w:t>result2.xlsx</w:t>
      </w:r>
      <w:r>
        <w:rPr>
          <w:color w:val="333333"/>
          <w:spacing w:val="-2"/>
        </w:rPr>
        <w:t>）</w:t>
      </w:r>
    </w:p>
    <w:sectPr>
      <w:pgSz w:w="11907" w:h="16839"/>
      <w:pgMar w:top="1431" w:right="1210" w:bottom="0" w:left="141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zhghan</dc:creator>
  <dcterms:created xsi:type="dcterms:W3CDTF">2024-09-02T20:02:50Z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2026-07-04T21:56:32</vt:filetime>
  </property>
</Properties>
</file>