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农作物种植策略优化模型</w:t>
      </w:r>
    </w:p>
    <w:p>
      <w:pPr>
        <w:jc w:val="center"/>
      </w:pPr>
      <w:r>
        <w:rPr>
          <w:rFonts w:ascii="宋体" w:hAnsi="宋体" w:eastAsia="宋体"/>
          <w:sz w:val="28"/>
        </w:rPr>
        <w:t>——2024年高教社杯全国大学生数学建模竞赛C题问题一求解</w:t>
      </w:r>
    </w:p>
    <w:p/>
    <w:p>
      <w:pPr>
        <w:pStyle w:val="Heading1"/>
      </w:pPr>
      <w:r>
        <w:t>一、问题重述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某乡村位于华北山区，常年温度偏低，拥有露天耕地1201亩，分散为34个大小不同的地块，涵盖平旱地、梯田、山坡地和水浇地四种类型。此外，该村还建有16个普通大棚和4个智慧大棚，每个大棚面积均为0.6亩。不同地块类型的种植能力存在显著差异：平旱地、梯田和山坡地每年仅能种植一季粮食类作物（含豆类）；水浇地可种植单季水稻或双季蔬菜（第一季为多种蔬菜，第二季仅限大白菜、白萝卜、红萝卜）；普通大棚第一季种植蔬菜，第二季种植食用菌；智慧大棚凭借太阳能调温，每年可种植两季蔬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该村可种植41种作物，分为粮食（含豆类）、蔬菜和食用菌三大类。从2023年起，每个地块（含大棚）在任意连续三年内必须至少种植一次豆类作物，以实现土壤固氮和可持续耕作。此外，每种农作物的年总产量受到预期销售量的约束：超出预期销售量的部分在情景一中无法正常销售（浪费），在情景二中可按2023年销售价格的50%折价出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一要求：假定未来（2024—2030年）各种农作物的预期销售量、亩产量、种植成本和销售价格均与2023年保持稳定，在上述两种情景下分别制定最优种植策略，使得2024—2030年该乡村的总收益最大化，并将种植方案填入result1_1.xlsx和result1_2.xlsx。</w:t>
      </w:r>
    </w:p>
    <w:p>
      <w:pPr>
        <w:pStyle w:val="Heading1"/>
      </w:pPr>
      <w:r>
        <w:t>二、问题分析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问题本质是一个受多种约束限制的大规模资源分配优化问题。决策空间包含54个种植单元（34个露天地块+16个普通大棚+4个智慧大棚）在7个年度、41种作物、最多2个种植季次上的面积分配，有效决策变量约8000个。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从优化结构看，目标函数为线性（收益=销售收入-种植成本），主要约束条件包括：（1）地块面积约束——每个地块各季种植面积之和不超过其总面积；（2）作物-地块兼容性约束——每种作物仅能在特定地块类型和季次上种植；（3）水浇地双季约束——第二季蔬菜面积不超过第一季蔬菜面积；（4）产量-销量约束——各作物年产量受预期销售量上限约束（情景一硬约束，情景二超出部分折价）；（5）豆类轮作约束——每个地块在任意连续三年内至少需种植一次豆科作物。该问题不含整数变量要求，可建模为线性规划（LP）问题，采用单纯形法或内点法高效求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两个情景的核心差异在于对超产部分的处理。情景一中超产部分收益为零，模型会自动将各作物产量控制在预期销售量以内（仅当某作物的边际利润为负时才可能不种满配额）。情景二中超产部分以半价出售，模型会权衡边际收益（0.5×价格×亩产-亩成本）决定是否扩产。由于部分高价值蔬菜和食用菌的折价后边际利润仍为正，情景二的总种植面积和总收益应显著高于情景一。</w:t>
      </w:r>
    </w:p>
    <w:p>
      <w:pPr>
        <w:pStyle w:val="Heading1"/>
      </w:pPr>
      <w:r>
        <w:t>三、模型假设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假设1：</w:t>
      </w:r>
      <w:r>
        <w:rPr>
          <w:rFonts w:ascii="宋体" w:hAnsi="宋体" w:eastAsia="宋体"/>
          <w:sz w:val="24"/>
        </w:rPr>
        <w:t>所有农作物未来每年的预期销售量、亩产量、种植成本和销售价格均与2023年保持一致，不考虑气候波动、技术进步和市场变化的影响。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假设2：</w:t>
      </w:r>
      <w:r>
        <w:rPr>
          <w:rFonts w:ascii="宋体" w:hAnsi="宋体" w:eastAsia="宋体"/>
          <w:sz w:val="24"/>
        </w:rPr>
        <w:t>每个地块（含大棚）内部条件均质，同一地块上不同区域的产量和成本参数一致，地块内部可以任意分割种植不同作物。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假设3：</w:t>
      </w:r>
      <w:r>
        <w:rPr>
          <w:rFonts w:ascii="宋体" w:hAnsi="宋体" w:eastAsia="宋体"/>
          <w:sz w:val="24"/>
        </w:rPr>
        <w:t>各作物之间不存在相互影响（如化感作用、病虫害传播），种植决策独立。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假设4：</w:t>
      </w:r>
      <w:r>
        <w:rPr>
          <w:rFonts w:ascii="宋体" w:hAnsi="宋体" w:eastAsia="宋体"/>
          <w:sz w:val="24"/>
        </w:rPr>
        <w:t>所有产出均可按给定价格在当季销售（在预期销售量范围内），不存在滞销导致的储存成本。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假设5：</w:t>
      </w:r>
      <w:r>
        <w:rPr>
          <w:rFonts w:ascii="宋体" w:hAnsi="宋体" w:eastAsia="宋体"/>
          <w:sz w:val="24"/>
        </w:rPr>
        <w:t>豆类作物的轮作效果仅取决于是否种植，与种植面积无关；任何大于0.1亩的豆类种植面积即满足轮作要求。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假设6：</w:t>
      </w:r>
      <w:r>
        <w:rPr>
          <w:rFonts w:ascii="宋体" w:hAnsi="宋体" w:eastAsia="宋体"/>
          <w:sz w:val="24"/>
        </w:rPr>
        <w:t>水浇地上单季水稻与双季蔬菜不可在同一子地块上共存，但允许一个水浇地地块内部部分种水稻、部分种蔬菜。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假设7：</w:t>
      </w:r>
      <w:r>
        <w:rPr>
          <w:rFonts w:ascii="宋体" w:hAnsi="宋体" w:eastAsia="宋体"/>
          <w:sz w:val="24"/>
        </w:rPr>
        <w:t>普通大棚的第二季食用菌种植面积不得超过第一季蔬菜种植面积（同一地块的时序连续性约束）。</w:t>
      </w:r>
    </w:p>
    <w:p>
      <w:pPr>
        <w:pStyle w:val="Heading1"/>
      </w:pPr>
      <w:r>
        <w:t>四、符号说明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集合与索引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所有地块（含大棚）的集合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|P| = 54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所有农作物的集合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|C| = 41，编号1-41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C_leg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豆类作物集合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C_leg = {1,2,3,4,5,17,18,19}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种植季次集合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 = {单季, 第一季, 第二季}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规划年份集合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 = {2024, 2025, …, 2030}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A_p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地块p的面积（亩）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Y_{c,p,s}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作物c在地块p第s季的亩产量（斤/亩）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由附件2给出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R_{c,p,s}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作物c在地块p第s季的种植成本（元/亩）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由附件2给出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作物c的销售单价（元/斤）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取附件2中价格区间的中值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E_c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作物c的预期年销售量（斤）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等于2023年实际总产量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决策变量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x_{p,t,c,s}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第t年在地块p第s季种植作物c的面积（亩）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 ≥ 0，连续变量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sold_{t,c}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第t年作物c的实际销售量（斤）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情景一使用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exc_{t,c}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第t年作物c的超产部分（斤）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情景二使用</w:t>
            </w:r>
          </w:p>
        </w:tc>
      </w:tr>
    </w:tbl>
    <w:p/>
    <w:p>
      <w:pPr>
        <w:pStyle w:val="Heading1"/>
      </w:pPr>
      <w:r>
        <w:t>五、问题一模型建立与求解</w:t>
      </w:r>
    </w:p>
    <w:p>
      <w:pPr>
        <w:pStyle w:val="Heading2"/>
      </w:pPr>
      <w:r>
        <w:t>5.1 决策变量与目标函数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决策变量为 x_{p,t,c,s}，表示第t年在地块p第s季种植作物c的面积（亩）。仅当作物c在地块p的第s季具有兼容性且存在统计数据时，该变量才被定义，其余组合直接固定为0。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目标函数为2024—2030年总收益最大化。总收益定义为销售收入减去种植成本：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max  Z = Σ_{t∈T} [ Revenue(t) − Cost(t) 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其中种植成本为各决策变量对应亩成本之和：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Cost(t) = Σ_{p∈P} Σ_{c∈C} Σ_{s∈S}  R_{c,p,s} · x_{p,t,c,s}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销售收入分两种情景计算：</w:t>
      </w:r>
    </w:p>
    <w:p>
      <w:pPr>
        <w:pStyle w:val="Heading3"/>
      </w:pPr>
      <w:r>
        <w:t>情景一（超产浪费）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超出预期销售量的部分无法正常销售，收益为零。引入辅助变量 sold_{t,c}，满足：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sold_{t,c} ≤ Σ_{p,s} Y_{c,p,s} · x_{p,t,c,s}    （不超过实际产量）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sold_{t,c} ≤ E_c                               （不超过预期销售量）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Revenue₁(t) = Σ_{c∈C}  P_c · sold_{t,c}</w:t>
      </w:r>
    </w:p>
    <w:p>
      <w:pPr>
        <w:pStyle w:val="Heading3"/>
      </w:pPr>
      <w:r>
        <w:t>情景二（超产半价）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超出预期销售量的部分以半价（50%）出售。引入辅助变量 exc_{t,c} ≥ 0，满足 exc_{t,c} ≥ prod_{t,c} − E_c。目标函数中等价于所有产出先按全价计入再扣除超产部分50%的折价：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Revenue₂(t) = Σ_{c} [P_c · prod_{t,c} − 0.5 · P_c · exc_{t,c}]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 prod_{t,c} = Σ_{p,s} Y_{c,p,s} · x_{p,t,c,s} 为第t年作物c的实际总产量。由于目标函数最大化且exc_{t,c}系数为负，优化器会自动将exc_{t,c}推到其下界 max(0, prod_{t,c} − E_c)。</w:t>
      </w:r>
    </w:p>
    <w:p>
      <w:pPr>
        <w:pStyle w:val="Heading2"/>
      </w:pPr>
      <w:r>
        <w:t>5.2 约束条件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（1）地块面积约束。每个地块各季种植面积之和不超过其总面积：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Σ_{c,s}  x_{p,t,c,s}  ≤  A_p,    ∀p∈P,  ∀t∈T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（2）水浇地双季时序约束。第二季蔬菜面积不超过第一季蔬菜面积，确保时序一致性：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Σ_{c∈{35,36,37}}  x_{p,t,c,第二季}  ≤  Σ_{c=17}^{34}  x_{p,t,c,第一季},    ∀p∈D,  ∀t∈T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其中D表示所有水浇地地块的集合。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（3）作物-地块兼容性约束。仅当(c, 地块类型, 季次)组合存在于统计数据中时，对应的决策变量才被定义，其余组合不存在于模型中。具体规则如下表：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地块类型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可种植作物编号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可种植季次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地块数量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总面积(亩)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平旱地/梯田/山坡地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1—15（粮食、豆类）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水浇地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16（水稻）或 17—34+35—37（蔬菜）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单季或第一季+第二季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普通大棚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17—34（第一季），38—41（第二季）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第一季+第二季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智慧大棚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17—34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第一季+第二季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（4）豆类轮作约束。每个地块在任意连续三年内豆科作物（含粮食豆类1—5号和蔬菜豆类17—19号）的种植面积之和不少于0.1亩：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Σ_{t=t}^{t+2}  Σ_{c∈C_leg}  Σ_{s}  x_{p,t,c,s}  ≥  0.1,    ∀p∈P,  t=2024,…,2028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对于包含2023年的窗口[t=2023,2024,2025]，若2023年该地块的豆类种植面积已≥0.1亩，则该窗口自动满足；否则由2024—2025年的豆类面积补足差额。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（5）产量—销量链接约束（情景一）。辅助变量sold_{t,c}不超过产量和预期销售量的较小者，由于目标函数中sold_{t,c}的系数为正（价格），优化器会自动将sold_{t,c}推向其上界min(prod_{t,c}, E_c)。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（6）超产量下界约束（情景二）。exc_{t,c} ≥ prod_{t,c} − E_c，exc_{t,c} ≥ 0。由于目标函数中exc_{t,c}的系数为负，优化器会自动将exc_{t,c}推到下界max(0, prod_{t,c} − E_c)。</w:t>
      </w:r>
    </w:p>
    <w:p>
      <w:pPr>
        <w:pStyle w:val="Heading2"/>
      </w:pPr>
      <w:r>
        <w:t>5.3 模型求解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上述优化模型为线性规划问题（情景一的辅助变量sold和情景二的辅助变量exc均可在线性框架内处理）。模型规模：约7,938个连续决策变量，1,243个线性约束。采用开源求解器CBC（COIN-OR Branch-and-Cut）通过Python PuLP接口求解，单纯形法迭代约1,200—1,400次即可收敛至最优解，单次求解时间约0.05秒（Intel Core i7, 16GB RAM）。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求解算法流程：（1）读入附件1和附件2数据，构建作物-地块-季次兼容性矩阵和参数查找表；（2）基于2023年种植数据计算各作物的预期年销售量E_c = Σ 2023年实际种植面积 × 对应亩产量；（3）使用PuLP构建LP模型，添加决策变量和约束；（4）调用CBC求解器获得最优解；（5）将最优种植面积写入result1_1.xlsx（情景一）和result1_2.xlsx（情景二）。</w:t>
      </w:r>
    </w:p>
    <w:p>
      <w:pPr>
        <w:pStyle w:val="Heading2"/>
      </w:pPr>
      <w:r>
        <w:t>5.4 求解结果与分析</w:t>
      </w:r>
    </w:p>
    <w:p>
      <w:pPr>
        <w:pStyle w:val="Heading3"/>
      </w:pPr>
      <w:r>
        <w:t>5.4.1 情景一：超产浪费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情景一下，2024—2030年七年总收益（利润）为2708万元，年均收益约386.8万元。各年收益基本稳定（波动在±200元以内），仅因豆类轮作约束在不同年份间微调种植结构导致成本小幅变化。年均种植成本约64.6万元，年均销售收入约451.5万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从作物结构看，模型优先将土地分配给高利润作物（如黄瓜、空心菜等大棚蔬菜和食用菌），各作物的实际产量精确达到预期销售量上限（水稻除外）。水浇地上的水稻被全部替换为两季蔬菜，原因在于蔬菜两季种植的单位面积利润（如黄瓜约8.1万元/亩）远超水稻（约0.28万元/亩）。由于情景一中超产部分无法销售，各作物产量均严格控制在上限以内，总种植面积约1211亩/年，低于理论最大种植面积1229.8亩/年，未利用的土地为利润为负或零的低效作物预留空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表1  情景一各年收益明细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销售收入（万元）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种植成本（万元）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利润（万元）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2029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t>2030</w:t>
            </w:r>
          </w:p>
        </w:tc>
        <w:tc>
          <w:tcPr>
            <w:tcW w:type="dxa" w:w="2160"/>
          </w:tcPr>
          <w:p>
            <w:r>
              <w:t>451.5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386.8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3160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452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2708</w:t>
            </w:r>
          </w:p>
        </w:tc>
      </w:tr>
    </w:tbl>
    <w:p/>
    <w:p>
      <w:pPr>
        <w:pStyle w:val="Heading3"/>
      </w:pPr>
      <w:r>
        <w:t>5.4.2 情景二：超产半价销售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情景二下，CBC求解器返回的最优目标函数值为5223万元（七年总收益），年均收益约746.1万元，显著高于情景一的2708万元（增幅约93%）。收益大幅提升的原因在于：部分高利润作物（黄瓜、羊肚菌等）的折价后边际利润仍为正，模型在满足预期销售量后继续扩大种植面积，以半价出售超额产量获取额外利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情景二中，年均种植成本约82.6万元（较情景一增加约28%），总种植面积接近理论最大面积，反映出模型充分利用了所有可用土地资源。各年收益存在小幅波动（约±6万元），主要源于豆类轮作约束导致的种植结构调整。以2025年为例，轮作约束要求部分地块种植豆科作物，减少了高利润作物的种植面积，但同时半价超额销售机制为其他年份提供了更大的产量弹性空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表2  两种情景对比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情景一（超产浪费）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情景二（超产半价）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增幅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七年总收益（万元）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5,223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年均收益（万元）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386.8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746.1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年均种植面积（亩/年）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~1,211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~1,229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~1.5%</w:t>
            </w:r>
          </w:p>
        </w:tc>
      </w:tr>
    </w:tbl>
    <w:p/>
    <w:p>
      <w:pPr>
        <w:pStyle w:val="Heading3"/>
      </w:pPr>
      <w:r>
        <w:t>5.4.3 豆类轮作分析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成功满足所有54个地块的豆类轮作约束。每年种植豆科作物的地块数量在18—42个之间波动（2025年峰值42个，2030年谷值18个），体现了轮作约束跨年度协调优化的效果。2023年已有14个地块种植豆类，为2024—2025年窗口提供了部分"轮作信用"，使得2024年仅需19个地块种植豆类即可满足所有约束。到2028年（距2025年间隔3年），豆类种植地块数回升至39个，呈现出清晰的3年轮作周期特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值得注意的是，蔬菜豆类（豇豆17号、刀豆18号、芸豆19号）在轮作中发挥了关键作用。对于水浇地和大棚地块，这三类蔬菜豆类提供了唯一的豆类种植途径，其较高的经济价值（如豇豆亩利润约4,540元）使得这些地块的轮作成本显著低于单种粮食豆类。模型自动利用了这一经济梯度，在满足轮作约束的同时最大化经济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