
<file path=[Content_Types].xml><?xml version="1.0" encoding="utf-8"?>
<Types xmlns="http://schemas.openxmlformats.org/package/2006/content-types">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6.xml"/>
  <Override ContentType="application/vnd.openxmlformats-officedocument.drawingml.chart+xml" PartName="/word/charts/chart7.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drawingml.chart+xml" PartName="/word/charts/chart10.xml"/>
  <Override ContentType="application/vnd.openxmlformats-officedocument.drawingml.chart+xml" PartName="/word/charts/chart11.xml"/>
  <Override ContentType="application/vnd.openxmlformats-officedocument.drawingml.chart+xml" PartName="/word/charts/chart12.xml"/>
  <Override ContentType="application/vnd.openxmlformats-officedocument.drawingml.chart+xml" PartName="/word/charts/chart13.xml"/>
  <Override ContentType="application/vnd.openxmlformats-officedocument.drawingml.chart+xml" PartName="/word/charts/chart14.xml"/>
  <Override ContentType="application/vnd.openxmlformats-officedocument.drawingml.chart+xml" PartName="/word/charts/chart15.xml"/>
  <Override ContentType="application/vnd.openxmlformats-officedocument.drawingml.chart+xml" PartName="/word/charts/chart16.xml"/>
  <Override ContentType="application/vnd.openxmlformats-officedocument.drawingml.chart+xml" PartName="/word/charts/chart17.xml"/>
  <Override ContentType="application/vnd.openxmlformats-officedocument.drawingml.chart+xml" PartName="/word/charts/chart18.xml"/>
  <Override ContentType="application/vnd.openxmlformats-officedocument.drawingml.chart+xml" PartName="/word/charts/chart19.xml"/>
  <Override ContentType="application/vnd.ms-office.chartcolorstyle+xml" PartName="/word/charts/colors1.xml"/>
  <Override ContentType="application/vnd.ms-office.chartcolorstyle+xml" PartName="/word/charts/colors2.xml"/>
  <Override ContentType="application/vnd.ms-office.chartcolorstyle+xml" PartName="/word/charts/colors3.xml"/>
  <Override ContentType="application/vnd.ms-office.chartcolorstyle+xml" PartName="/word/charts/colors4.xml"/>
  <Override ContentType="application/vnd.ms-office.chartcolorstyle+xml" PartName="/word/charts/colors5.xml"/>
  <Override ContentType="application/vnd.ms-office.chartcolorstyle+xml" PartName="/word/charts/colors6.xml"/>
  <Override ContentType="application/vnd.ms-office.chartcolorstyle+xml" PartName="/word/charts/colors7.xml"/>
  <Override ContentType="application/vnd.ms-office.chartcolorstyle+xml" PartName="/word/charts/colors8.xml"/>
  <Override ContentType="application/vnd.ms-office.chartcolorstyle+xml" PartName="/word/charts/colors9.xml"/>
  <Override ContentType="application/vnd.ms-office.chartcolorstyle+xml" PartName="/word/charts/colors10.xml"/>
  <Override ContentType="application/vnd.ms-office.chartcolorstyle+xml" PartName="/word/charts/colors11.xml"/>
  <Override ContentType="application/vnd.ms-office.chartcolorstyle+xml" PartName="/word/charts/colors12.xml"/>
  <Override ContentType="application/vnd.ms-office.chartcolorstyle+xml" PartName="/word/charts/colors13.xml"/>
  <Override ContentType="application/vnd.ms-office.chartcolorstyle+xml" PartName="/word/charts/colors14.xml"/>
  <Override ContentType="application/vnd.ms-office.chartcolorstyle+xml" PartName="/word/charts/colors15.xml"/>
  <Override ContentType="application/vnd.ms-office.chartcolorstyle+xml" PartName="/word/charts/colors16.xml"/>
  <Override ContentType="application/vnd.ms-office.chartcolorstyle+xml" PartName="/word/charts/colors17.xml"/>
  <Override ContentType="application/vnd.ms-office.chartcolorstyle+xml" PartName="/word/charts/colors18.xml"/>
  <Override ContentType="application/vnd.ms-office.chartcolorstyle+xml" PartName="/word/charts/colors19.xml"/>
  <Override ContentType="application/vnd.ms-office.chartstyle+xml" PartName="/word/charts/style1.xml"/>
  <Override ContentType="application/vnd.ms-office.chartstyle+xml" PartName="/word/charts/style2.xml"/>
  <Override ContentType="application/vnd.ms-office.chartstyle+xml" PartName="/word/charts/style3.xml"/>
  <Override ContentType="application/vnd.ms-office.chartstyle+xml" PartName="/word/charts/style4.xml"/>
  <Override ContentType="application/vnd.ms-office.chartstyle+xml" PartName="/word/charts/style5.xml"/>
  <Override ContentType="application/vnd.ms-office.chartstyle+xml" PartName="/word/charts/style6.xml"/>
  <Override ContentType="application/vnd.ms-office.chartstyle+xml" PartName="/word/charts/style7.xml"/>
  <Override ContentType="application/vnd.ms-office.chartstyle+xml" PartName="/word/charts/style8.xml"/>
  <Override ContentType="application/vnd.ms-office.chartstyle+xml" PartName="/word/charts/style9.xml"/>
  <Override ContentType="application/vnd.ms-office.chartstyle+xml" PartName="/word/charts/style10.xml"/>
  <Override ContentType="application/vnd.ms-office.chartstyle+xml" PartName="/word/charts/style11.xml"/>
  <Override ContentType="application/vnd.ms-office.chartstyle+xml" PartName="/word/charts/style12.xml"/>
  <Override ContentType="application/vnd.ms-office.chartstyle+xml" PartName="/word/charts/style13.xml"/>
  <Override ContentType="application/vnd.ms-office.chartstyle+xml" PartName="/word/charts/style14.xml"/>
  <Override ContentType="application/vnd.ms-office.chartstyle+xml" PartName="/word/charts/style15.xml"/>
  <Override ContentType="application/vnd.ms-office.chartstyle+xml" PartName="/word/charts/style16.xml"/>
  <Override ContentType="application/vnd.ms-office.chartstyle+xml" PartName="/word/charts/style17.xml"/>
  <Override ContentType="application/vnd.ms-office.chartstyle+xml" PartName="/word/charts/style18.xml"/>
  <Override ContentType="application/vnd.ms-office.chartstyle+xml" PartName="/word/charts/style19.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532F1">
      <w:pPr>
        <w:spacing w:line="660" w:lineRule="exact"/>
        <w:jc w:val="center"/>
        <w:rPr>
          <w:rFonts w:ascii="方正小标宋简体" w:eastAsia="方正小标宋简体"/>
          <w:sz w:val="44"/>
          <w:szCs w:val="44"/>
        </w:rPr>
      </w:pPr>
      <w:bookmarkStart w:id="1" w:name="_GoBack"/>
      <w:bookmarkEnd w:id="1"/>
      <w:bookmarkStart w:id="0" w:name="_Hlk131441375"/>
      <w:bookmarkEnd w:id="0"/>
      <w:r>
        <w:rPr>
          <w:rFonts w:hint="eastAsia" w:ascii="方正小标宋简体" w:eastAsia="方正小标宋简体"/>
          <w:sz w:val="44"/>
          <w:szCs w:val="44"/>
          <w:lang w:eastAsia="zh-CN"/>
        </w:rPr>
        <w:t>枣庄</w:t>
      </w:r>
      <w:r>
        <w:rPr>
          <w:rFonts w:hint="eastAsia" w:ascii="方正小标宋简体" w:eastAsia="方正小标宋简体"/>
          <w:sz w:val="44"/>
          <w:szCs w:val="44"/>
        </w:rPr>
        <w:t>市住房公积金管理中心</w:t>
      </w:r>
    </w:p>
    <w:p w14:paraId="6D2025BC">
      <w:pPr>
        <w:spacing w:line="660" w:lineRule="exact"/>
        <w:jc w:val="center"/>
        <w:rPr>
          <w:rFonts w:ascii="方正小标宋简体" w:eastAsia="方正小标宋简体"/>
          <w:sz w:val="44"/>
          <w:szCs w:val="44"/>
        </w:rPr>
      </w:pPr>
      <w:r>
        <w:rPr>
          <w:rFonts w:ascii="方正小标宋简体" w:eastAsia="方正小标宋简体"/>
          <w:sz w:val="44"/>
          <w:szCs w:val="44"/>
        </w:rPr>
        <w:t>2026</w:t>
      </w:r>
      <w:r>
        <w:rPr>
          <w:rFonts w:hint="eastAsia" w:ascii="方正小标宋简体" w:eastAsia="方正小标宋简体"/>
          <w:sz w:val="44"/>
          <w:szCs w:val="44"/>
        </w:rPr>
        <w:t>年度资金运行分析报告</w:t>
      </w:r>
    </w:p>
    <w:p w14:paraId="05548381">
      <w:pPr>
        <w:spacing w:line="660" w:lineRule="exact"/>
        <w:jc w:val="center"/>
        <w:rPr>
          <w:rFonts w:ascii="方正小标宋简体" w:eastAsia="方正小标宋简体"/>
          <w:sz w:val="44"/>
          <w:szCs w:val="44"/>
        </w:rPr>
      </w:pPr>
    </w:p>
    <w:p w14:paraId="1645960D">
      <w:pPr>
        <w:spacing w:line="560" w:lineRule="exact"/>
        <w:ind w:firstLine="640" w:firstLineChars="200"/>
        <w:rPr>
          <w:rFonts w:ascii="仿宋_GB2312" w:eastAsia="仿宋_GB2312"/>
          <w:sz w:val="32"/>
          <w:szCs w:val="32"/>
        </w:rPr>
      </w:pPr>
      <w:r>
        <w:rPr>
          <w:rFonts w:hint="eastAsia" w:ascii="仿宋_GB2312" w:eastAsia="仿宋_GB2312"/>
          <w:sz w:val="32"/>
          <w:szCs w:val="32"/>
        </w:rPr>
        <w:t>今年以来，在市中心党组的正确领导下，全市各分中心、管理部紧紧围绕年初确定的重点项目，有序推进各项计划任务，在支持住房消费、维护建缴对象合法权益、促进房地产市场平稳健康发展方面做出应有的贡献。根据住房城乡建设部住房公积金监管司《关于加强住房公积金统计分析工作的通知》（建金综函〔</w:t>
      </w:r>
      <w:r>
        <w:rPr>
          <w:rFonts w:ascii="仿宋_GB2312" w:eastAsia="仿宋_GB2312"/>
          <w:sz w:val="32"/>
          <w:szCs w:val="32"/>
          <w:u/>
        </w:rPr>
        <w:t>2018〕186号）文件要求，对</w:t>
      </w:r>
      <w:r>
        <w:rPr>
          <w:rFonts w:ascii="仿宋_GB2312" w:eastAsia="仿宋_GB2312"/>
          <w:sz w:val="32"/>
          <w:u w:color="auto"/>
        </w:rPr>
        <w:t>2026</w:t>
      </w:r>
      <w:r>
        <w:rPr>
          <w:rFonts w:ascii="仿宋_GB2312" w:eastAsia="仿宋_GB2312"/>
          <w:sz w:val="32"/>
          <w:u w:color="auto"/>
        </w:rPr>
        <w:t>年度资金运行过程中发现的问题及时采取改进措施，加强内部管理，防范资金运行风险。</w:t>
      </w:r>
    </w:p>
    <w:p w14:paraId="069A2E51">
      <w:pPr>
        <w:spacing w:line="560" w:lineRule="exact"/>
        <w:ind w:firstLine="640" w:firstLineChars="200"/>
        <w:rPr>
          <w:rFonts w:ascii="黑体" w:hAnsi="黑体" w:eastAsia="黑体"/>
          <w:sz w:val="32"/>
          <w:szCs w:val="32"/>
        </w:rPr>
      </w:pPr>
      <w:r>
        <w:rPr>
          <w:rFonts w:hint="eastAsia" w:ascii="黑体" w:hAnsi="黑体" w:eastAsia="黑体"/>
          <w:sz w:val="32"/>
          <w:szCs w:val="32"/>
        </w:rPr>
        <w:t>一、资金运行总体情况</w:t>
      </w:r>
    </w:p>
    <w:p w14:paraId="63EF98BD">
      <w:pPr>
        <w:spacing w:line="560" w:lineRule="exact"/>
        <w:ind w:firstLine="640" w:firstLineChars="200"/>
        <w:rPr>
          <w:rFonts w:ascii="仿宋_GB2312" w:eastAsia="仿宋_GB2312"/>
          <w:sz w:val="32"/>
          <w:szCs w:val="32"/>
        </w:rPr>
      </w:pPr>
      <w:r>
        <w:rPr>
          <w:rFonts w:hint="eastAsia" w:ascii="仿宋_GB2312" w:eastAsia="仿宋_GB2312"/>
          <w:sz w:val="32"/>
          <w:szCs w:val="32"/>
          <w:u/>
        </w:rPr>
        <w:t>1-12月份，全市归集住房公积金</w:t>
      </w:r>
      <w:r>
        <w:rPr>
          <w:rFonts w:ascii="仿宋_GB2312" w:eastAsia="仿宋_GB2312"/>
          <w:sz w:val="32"/>
          <w:u w:color="auto"/>
        </w:rPr>
        <w:t>41.94</w:t>
      </w:r>
      <w:r>
        <w:rPr>
          <w:rFonts w:ascii="仿宋_GB2312" w:eastAsia="仿宋_GB2312"/>
          <w:sz w:val="32"/>
          <w:u w:color="auto"/>
        </w:rPr>
        <w:t>亿元（含年度结息</w:t>
      </w:r>
      <w:r>
        <w:rPr>
          <w:rFonts w:ascii="仿宋_GB2312" w:eastAsia="仿宋_GB2312"/>
          <w:sz w:val="32"/>
          <w:u w:color="auto"/>
        </w:rPr>
        <w:t>3.2</w:t>
      </w:r>
      <w:r>
        <w:rPr>
          <w:rFonts w:ascii="仿宋_GB2312" w:eastAsia="仿宋_GB2312"/>
          <w:sz w:val="32"/>
          <w:u w:color="auto"/>
        </w:rPr>
        <w:t>亿元，剔除结息</w:t>
      </w:r>
      <w:r>
        <w:rPr>
          <w:rFonts w:ascii="仿宋_GB2312" w:eastAsia="仿宋_GB2312"/>
          <w:sz w:val="32"/>
          <w:u w:color="auto"/>
        </w:rPr>
        <w:t>38.74</w:t>
      </w:r>
      <w:r>
        <w:rPr>
          <w:rFonts w:ascii="仿宋_GB2312" w:eastAsia="仿宋_GB2312"/>
          <w:sz w:val="32"/>
          <w:u w:color="auto"/>
        </w:rPr>
        <w:t>亿元），提取住房公积金</w:t>
      </w:r>
      <w:r>
        <w:rPr>
          <w:rFonts w:ascii="仿宋_GB2312" w:eastAsia="仿宋_GB2312"/>
          <w:sz w:val="32"/>
          <w:u w:color="auto"/>
        </w:rPr>
        <w:t>29.02</w:t>
      </w:r>
      <w:r>
        <w:rPr>
          <w:rFonts w:ascii="仿宋_GB2312" w:eastAsia="仿宋_GB2312"/>
          <w:sz w:val="32"/>
          <w:u w:color="auto"/>
        </w:rPr>
        <w:t>亿元，提取额占归集额</w:t>
      </w:r>
      <w:r>
        <w:rPr>
          <w:rFonts w:ascii="仿宋_GB2312" w:eastAsia="仿宋_GB2312"/>
          <w:sz w:val="32"/>
          <w:u w:color="auto"/>
        </w:rPr>
        <w:t>74.91</w:t>
      </w:r>
      <w:r>
        <w:rPr>
          <w:rFonts w:ascii="仿宋_GB2312" w:eastAsia="仿宋_GB2312"/>
          <w:sz w:val="32"/>
          <w:u w:color="auto"/>
        </w:rPr>
        <w:t>%，住房公积金结余</w:t>
      </w:r>
      <w:r>
        <w:rPr>
          <w:rFonts w:ascii="仿宋_GB2312" w:eastAsia="仿宋_GB2312"/>
          <w:sz w:val="32"/>
          <w:u w:color="auto"/>
        </w:rPr>
        <w:t>9.72</w:t>
      </w:r>
      <w:r>
        <w:rPr>
          <w:rFonts w:ascii="仿宋_GB2312" w:eastAsia="仿宋_GB2312"/>
          <w:sz w:val="32"/>
          <w:u w:color="auto"/>
        </w:rPr>
        <w:t>亿元，归集余额为</w:t>
      </w:r>
      <w:r>
        <w:rPr>
          <w:rFonts w:ascii="仿宋_GB2312" w:eastAsia="仿宋_GB2312"/>
          <w:sz w:val="32"/>
          <w:u w:color="auto"/>
        </w:rPr>
        <w:t>0</w:t>
      </w:r>
      <w:r>
        <w:rPr>
          <w:rFonts w:ascii="仿宋_GB2312" w:eastAsia="仿宋_GB2312"/>
          <w:sz w:val="32"/>
          <w:u w:color="auto"/>
        </w:rPr>
        <w:t>亿元。发放个人住房公积金贷款</w:t>
      </w:r>
      <w:r>
        <w:rPr>
          <w:rFonts w:ascii="仿宋_GB2312" w:eastAsia="仿宋_GB2312"/>
          <w:sz w:val="32"/>
          <w:u w:color="auto"/>
        </w:rPr>
        <w:t>14.84</w:t>
      </w:r>
      <w:r>
        <w:rPr>
          <w:rFonts w:ascii="仿宋_GB2312" w:eastAsia="仿宋_GB2312"/>
          <w:sz w:val="32"/>
          <w:u w:color="auto"/>
        </w:rPr>
        <w:t>亿元（其中公转商置换</w:t>
      </w:r>
      <w:r>
        <w:rPr>
          <w:rFonts w:ascii="仿宋_GB2312" w:eastAsia="仿宋_GB2312"/>
          <w:sz w:val="32"/>
          <w:u w:color="auto"/>
        </w:rPr>
        <w:t>1.69</w:t>
      </w:r>
      <w:r>
        <w:rPr>
          <w:rFonts w:ascii="仿宋_GB2312" w:eastAsia="仿宋_GB2312"/>
          <w:sz w:val="32"/>
          <w:u w:color="auto"/>
        </w:rPr>
        <w:t>亿元），贷款回收</w:t>
      </w:r>
      <w:r>
        <w:rPr>
          <w:rFonts w:ascii="仿宋_GB2312" w:eastAsia="仿宋_GB2312"/>
          <w:sz w:val="32"/>
          <w:u w:color="auto"/>
        </w:rPr>
        <w:t>17.65</w:t>
      </w:r>
      <w:r>
        <w:rPr>
          <w:rFonts w:ascii="仿宋_GB2312" w:eastAsia="仿宋_GB2312"/>
          <w:sz w:val="32"/>
          <w:u w:color="auto"/>
        </w:rPr>
        <w:t>亿元，贷款余额为</w:t>
      </w:r>
      <w:r>
        <w:rPr>
          <w:rFonts w:ascii="仿宋_GB2312" w:eastAsia="仿宋_GB2312"/>
          <w:sz w:val="32"/>
          <w:u w:color="auto"/>
        </w:rPr>
        <w:t>0</w:t>
      </w:r>
      <w:r>
        <w:rPr>
          <w:rFonts w:ascii="仿宋_GB2312" w:eastAsia="仿宋_GB2312"/>
          <w:sz w:val="32"/>
          <w:u w:color="auto"/>
        </w:rPr>
        <w:t>亿元，年末存贷比例为</w:t>
      </w:r>
      <w:r>
        <w:rPr>
          <w:rFonts w:ascii="仿宋_GB2312" w:eastAsia="仿宋_GB2312"/>
          <w:sz w:val="32"/>
          <w:u w:color="auto"/>
        </w:rPr>
        <w:t>0</w:t>
      </w:r>
      <w:r>
        <w:rPr>
          <w:rFonts w:ascii="仿宋_GB2312" w:eastAsia="仿宋_GB2312"/>
          <w:sz w:val="32"/>
          <w:u w:color="auto"/>
        </w:rPr>
        <w:t>%。全年资金流入</w:t>
      </w:r>
      <w:r>
        <w:rPr>
          <w:rFonts w:ascii="仿宋_GB2312" w:eastAsia="仿宋_GB2312"/>
          <w:sz w:val="32"/>
          <w:u w:color="auto"/>
        </w:rPr>
        <w:t>56.39</w:t>
      </w:r>
      <w:r>
        <w:rPr>
          <w:rFonts w:ascii="仿宋_GB2312" w:eastAsia="仿宋_GB2312"/>
          <w:sz w:val="32"/>
          <w:u w:color="auto"/>
        </w:rPr>
        <w:t>亿元（剔除结息），资金流出</w:t>
      </w:r>
      <w:r>
        <w:rPr>
          <w:rFonts w:ascii="仿宋_GB2312" w:eastAsia="仿宋_GB2312"/>
          <w:sz w:val="32"/>
          <w:u w:color="auto"/>
        </w:rPr>
        <w:t>43.86</w:t>
      </w:r>
      <w:r>
        <w:rPr>
          <w:rFonts w:ascii="仿宋_GB2312" w:eastAsia="仿宋_GB2312"/>
          <w:sz w:val="32"/>
          <w:u w:color="auto"/>
        </w:rPr>
        <w:t>亿元，资金净流</w:t>
      </w:r>
      <w:r>
        <w:rPr>
          <w:rFonts w:ascii="仿宋_GB2312" w:eastAsia="仿宋_GB2312"/>
          <w:sz w:val="32"/>
          <w:u w:color="auto"/>
        </w:rPr>
        <w:t>入</w:t>
      </w:r>
      <w:r>
        <w:rPr>
          <w:rFonts w:ascii="仿宋_GB2312" w:eastAsia="仿宋_GB2312"/>
          <w:sz w:val="32"/>
          <w:u w:color="auto"/>
        </w:rPr>
        <w:t>12.53</w:t>
      </w:r>
      <w:r>
        <w:rPr>
          <w:rFonts w:ascii="仿宋_GB2312" w:eastAsia="仿宋_GB2312"/>
          <w:sz w:val="32"/>
          <w:u w:color="auto"/>
        </w:rPr>
        <w:t>亿元,年末公转商贴息贷款余额已清零，存贷款规模</w:t>
      </w:r>
      <w:r>
        <w:rPr>
          <w:rFonts w:ascii="仿宋_GB2312" w:eastAsia="仿宋_GB2312"/>
          <w:sz w:val="32"/>
          <w:u w:color="auto"/>
        </w:rPr>
        <w:t>0</w:t>
      </w:r>
      <w:r>
        <w:rPr>
          <w:rFonts w:ascii="仿宋_GB2312" w:eastAsia="仿宋_GB2312"/>
          <w:sz w:val="32"/>
          <w:u w:color="auto"/>
        </w:rPr>
        <w:t>亿元。</w:t>
      </w:r>
    </w:p>
    <w:p w14:paraId="79C37727">
      <w:pPr>
        <w:rPr>
          <w:rFonts w:ascii="仿宋_GB2312" w:eastAsia="仿宋_GB2312"/>
          <w:sz w:val="32"/>
          <w:szCs w:val="32"/>
        </w:rPr>
      </w:pPr>
      <w:r>
        <w:rPr>
          <w:rFonts w:hint="eastAsia"/>
        </w:rPr>
        <w:drawing>
          <wp:inline distT="0" distB="0" distL="0" distR="0">
            <wp:extent cx="5274310" cy="3076575"/>
            <wp:effectExtent l="5080" t="4445" r="16510" b="5080"/>
            <wp:docPr id="1" name="图表 1" descr="{{ztqktjzjlltb}}"/>
            <wp:cNvGraphicFramePr/>
            <a:graphic xmlns:a="http://schemas.openxmlformats.org/drawingml/2006/main">
              <a:graphicData uri="http://schemas.openxmlformats.org/drawingml/2006/chart">
                <c:chart xmlns:c="http://schemas.openxmlformats.org/drawingml/2006/chart" r:id="rId4"/>
              </a:graphicData>
            </a:graphic>
          </wp:inline>
        </w:drawing>
      </w:r>
    </w:p>
    <w:p w14:paraId="5ABF13F8">
      <w:pPr>
        <w:spacing w:line="560" w:lineRule="exact"/>
        <w:ind w:firstLine="643" w:firstLineChars="200"/>
        <w:rPr>
          <w:rFonts w:ascii="仿宋_GB2312" w:eastAsia="仿宋_GB2312"/>
          <w:b/>
          <w:sz w:val="32"/>
          <w:szCs w:val="32"/>
        </w:rPr>
      </w:pPr>
      <w:r>
        <w:rPr>
          <w:rFonts w:hint="eastAsia" w:ascii="仿宋_GB2312" w:eastAsia="仿宋_GB2312"/>
          <w:b/>
          <w:sz w:val="32"/>
          <w:szCs w:val="32"/>
        </w:rPr>
        <w:t>资金运行基本特征：</w:t>
      </w:r>
    </w:p>
    <w:p w14:paraId="6F6DF439">
      <w:pPr>
        <w:spacing w:line="560" w:lineRule="exact"/>
        <w:ind w:firstLine="643" w:firstLineChars="200"/>
        <w:rPr>
          <w:rFonts w:ascii="楷体_GB2312" w:eastAsia="楷体_GB2312"/>
          <w:b/>
          <w:sz w:val="32"/>
          <w:szCs w:val="32"/>
        </w:rPr>
      </w:pPr>
      <w:r>
        <w:rPr>
          <w:rFonts w:hint="eastAsia" w:ascii="楷体_GB2312" w:eastAsia="楷体_GB2312"/>
          <w:b/>
          <w:sz w:val="32"/>
          <w:szCs w:val="32"/>
        </w:rPr>
        <w:t>（一）资金流入情况分析。</w:t>
      </w:r>
    </w:p>
    <w:p w14:paraId="683F1475">
      <w:pPr>
        <w:spacing w:line="560" w:lineRule="exact"/>
        <w:ind w:firstLine="640" w:firstLineChars="200"/>
        <w:rPr>
          <w:rFonts w:ascii="仿宋_GB2312" w:eastAsia="仿宋_GB2312"/>
          <w:sz w:val="32"/>
          <w:szCs w:val="32"/>
        </w:rPr>
      </w:pPr>
      <w:r>
        <w:rPr>
          <w:rFonts w:hint="eastAsia" w:ascii="仿宋_GB2312" w:eastAsia="仿宋_GB2312"/>
          <w:sz w:val="32"/>
          <w:szCs w:val="32"/>
        </w:rPr>
        <w:t>全年资金流入合计</w:t>
      </w:r>
      <w:r>
        <w:rPr>
          <w:rFonts w:ascii="仿宋_GB2312" w:eastAsia="仿宋_GB2312"/>
          <w:sz w:val="32"/>
          <w:szCs w:val="32"/>
          <w:u/>
        </w:rPr>
        <w:t>56.39</w:t>
      </w:r>
      <w:r>
        <w:rPr>
          <w:rFonts w:ascii="仿宋_GB2312" w:eastAsia="仿宋_GB2312"/>
          <w:sz w:val="32"/>
          <w:u w:color="auto"/>
        </w:rPr>
        <w:t>亿元（剔除结息），其中：缴存额</w:t>
      </w:r>
      <w:r>
        <w:rPr>
          <w:rFonts w:ascii="仿宋_GB2312" w:eastAsia="仿宋_GB2312"/>
          <w:sz w:val="32"/>
          <w:u w:color="auto"/>
        </w:rPr>
        <w:t>38.74</w:t>
      </w:r>
      <w:r>
        <w:rPr>
          <w:rFonts w:ascii="仿宋_GB2312" w:eastAsia="仿宋_GB2312"/>
          <w:sz w:val="32"/>
          <w:u w:color="auto"/>
        </w:rPr>
        <w:t>亿元，贷款回收</w:t>
      </w:r>
      <w:r>
        <w:rPr>
          <w:rFonts w:ascii="仿宋_GB2312" w:eastAsia="仿宋_GB2312"/>
          <w:sz w:val="32"/>
          <w:u w:color="auto"/>
        </w:rPr>
        <w:t>17.65</w:t>
      </w:r>
      <w:r>
        <w:rPr>
          <w:rFonts w:ascii="仿宋_GB2312" w:eastAsia="仿宋_GB2312"/>
          <w:sz w:val="32"/>
          <w:u w:color="auto"/>
        </w:rPr>
        <w:t>亿元，分别占资金流入总量的</w:t>
      </w:r>
      <w:r>
        <w:rPr>
          <w:rFonts w:ascii="仿宋_GB2312" w:eastAsia="仿宋_GB2312"/>
          <w:sz w:val="32"/>
          <w:u w:color="auto"/>
        </w:rPr>
        <w:t>68.7</w:t>
      </w:r>
      <w:r>
        <w:rPr>
          <w:rFonts w:ascii="仿宋_GB2312" w:eastAsia="仿宋_GB2312"/>
          <w:sz w:val="32"/>
          <w:u w:color="auto"/>
        </w:rPr>
        <w:t>%和</w:t>
      </w:r>
      <w:r>
        <w:rPr>
          <w:rFonts w:ascii="仿宋_GB2312" w:eastAsia="仿宋_GB2312"/>
          <w:sz w:val="32"/>
          <w:u w:color="auto"/>
        </w:rPr>
        <w:t>31.3</w:t>
      </w:r>
      <w:r>
        <w:rPr>
          <w:rFonts w:ascii="仿宋_GB2312" w:eastAsia="仿宋_GB2312"/>
          <w:sz w:val="32"/>
          <w:u w:color="auto"/>
        </w:rPr>
        <w:t>%。</w:t>
      </w:r>
    </w:p>
    <w:p w14:paraId="5700C01E">
      <w:pPr>
        <w:spacing w:line="560" w:lineRule="exact"/>
        <w:ind w:firstLine="640" w:firstLineChars="200"/>
        <w:rPr>
          <w:rFonts w:ascii="仿宋_GB2312" w:eastAsia="仿宋_GB2312"/>
          <w:sz w:val="32"/>
          <w:szCs w:val="32"/>
        </w:rPr>
      </w:pPr>
      <w:r>
        <w:rPr>
          <w:rFonts w:hint="eastAsia" w:ascii="仿宋_GB2312" w:eastAsia="仿宋_GB2312"/>
          <w:sz w:val="32"/>
          <w:szCs w:val="32"/>
        </w:rPr>
        <w:t>从全市资金流量情况图可以看出，</w:t>
      </w:r>
      <w:r>
        <w:rPr>
          <w:rFonts w:hint="eastAsia" w:ascii="仿宋_GB2312" w:eastAsia="仿宋_GB2312"/>
          <w:i/>
          <w:iCs/>
          <w:color w:val="FF0000"/>
          <w:sz w:val="32"/>
          <w:szCs w:val="32"/>
        </w:rPr>
        <w:t>请人工补充分析</w:t>
      </w:r>
      <w:r>
        <w:rPr>
          <w:rFonts w:hint="eastAsia" w:ascii="仿宋_GB2312" w:eastAsia="仿宋_GB2312"/>
          <w:sz w:val="32"/>
          <w:szCs w:val="32"/>
        </w:rPr>
        <w:t>，月均资金流入</w:t>
      </w:r>
      <w:r>
        <w:rPr>
          <w:rFonts w:ascii="仿宋_GB2312" w:eastAsia="仿宋_GB2312"/>
          <w:sz w:val="32"/>
          <w:szCs w:val="32"/>
          <w:u/>
        </w:rPr>
        <w:t>4.7</w:t>
      </w:r>
      <w:r>
        <w:rPr>
          <w:rFonts w:ascii="仿宋_GB2312" w:eastAsia="仿宋_GB2312"/>
          <w:sz w:val="32"/>
          <w:u w:color="auto"/>
        </w:rPr>
        <w:t>亿元，影响资金流入的主要原因是</w:t>
      </w:r>
      <w:r>
        <w:rPr>
          <w:rFonts w:ascii="仿宋_GB2312" w:eastAsia="仿宋_GB2312"/>
          <w:i/>
          <w:iCs/>
          <w:color w:val="FF0000"/>
          <w:sz w:val="32"/>
          <w:szCs w:val="32"/>
        </w:rPr>
        <w:t>请人工补充分析</w:t>
      </w:r>
      <w:r>
        <w:rPr>
          <w:rFonts w:ascii="仿宋_GB2312" w:eastAsia="仿宋_GB2312"/>
          <w:sz w:val="32"/>
          <w:szCs w:val="32"/>
        </w:rPr>
        <w:t>。</w:t>
      </w:r>
    </w:p>
    <w:p w14:paraId="52D72327">
      <w:pPr>
        <w:spacing w:line="560" w:lineRule="exact"/>
        <w:ind w:firstLine="636" w:firstLineChars="198"/>
        <w:rPr>
          <w:rFonts w:ascii="楷体_GB2312" w:eastAsia="楷体_GB2312"/>
          <w:b/>
          <w:sz w:val="32"/>
          <w:szCs w:val="32"/>
        </w:rPr>
      </w:pPr>
      <w:r>
        <w:rPr>
          <w:rFonts w:hint="eastAsia" w:ascii="楷体_GB2312" w:eastAsia="楷体_GB2312"/>
          <w:b/>
          <w:sz w:val="32"/>
          <w:szCs w:val="32"/>
        </w:rPr>
        <w:t>（二）资金流出情况分析。</w:t>
      </w:r>
    </w:p>
    <w:p w14:paraId="226C6A5C">
      <w:pPr>
        <w:spacing w:line="560" w:lineRule="exact"/>
        <w:ind w:firstLine="640" w:firstLineChars="200"/>
        <w:rPr>
          <w:rFonts w:ascii="仿宋_GB2312" w:eastAsia="仿宋_GB2312"/>
          <w:sz w:val="32"/>
          <w:szCs w:val="32"/>
        </w:rPr>
      </w:pPr>
      <w:r>
        <w:rPr>
          <w:rFonts w:hint="eastAsia" w:ascii="仿宋_GB2312" w:eastAsia="仿宋_GB2312"/>
          <w:sz w:val="32"/>
          <w:szCs w:val="32"/>
        </w:rPr>
        <w:t>全年资金流出合计</w:t>
      </w:r>
      <w:r>
        <w:rPr>
          <w:rFonts w:ascii="仿宋_GB2312" w:eastAsia="仿宋_GB2312"/>
          <w:sz w:val="32"/>
          <w:szCs w:val="32"/>
          <w:u/>
        </w:rPr>
        <w:t>43.86</w:t>
      </w:r>
      <w:r>
        <w:rPr>
          <w:rFonts w:ascii="仿宋_GB2312" w:eastAsia="仿宋_GB2312"/>
          <w:sz w:val="32"/>
          <w:u w:color="auto"/>
        </w:rPr>
        <w:t>亿元，其中：提取额</w:t>
      </w:r>
      <w:r>
        <w:rPr>
          <w:rFonts w:ascii="仿宋_GB2312" w:eastAsia="仿宋_GB2312"/>
          <w:sz w:val="32"/>
          <w:u w:color="auto"/>
        </w:rPr>
        <w:t>29.02</w:t>
      </w:r>
      <w:r>
        <w:rPr>
          <w:rFonts w:ascii="仿宋_GB2312" w:eastAsia="仿宋_GB2312"/>
          <w:sz w:val="32"/>
          <w:u w:color="auto"/>
        </w:rPr>
        <w:t>亿元、贷款发放额</w:t>
      </w:r>
      <w:r>
        <w:rPr>
          <w:rFonts w:ascii="仿宋_GB2312" w:eastAsia="仿宋_GB2312"/>
          <w:sz w:val="32"/>
          <w:u w:color="auto"/>
        </w:rPr>
        <w:t>14.84</w:t>
      </w:r>
      <w:r>
        <w:rPr>
          <w:rFonts w:ascii="仿宋_GB2312" w:eastAsia="仿宋_GB2312"/>
          <w:sz w:val="32"/>
          <w:u w:color="auto"/>
        </w:rPr>
        <w:t>亿元，分别占资金流出总量的</w:t>
      </w:r>
      <w:r>
        <w:rPr>
          <w:rFonts w:ascii="仿宋_GB2312" w:eastAsia="仿宋_GB2312"/>
          <w:sz w:val="32"/>
          <w:u w:color="auto"/>
        </w:rPr>
        <w:t>66.17</w:t>
      </w:r>
      <w:r>
        <w:rPr>
          <w:rFonts w:ascii="仿宋_GB2312" w:eastAsia="仿宋_GB2312"/>
          <w:sz w:val="32"/>
          <w:u w:color="auto"/>
        </w:rPr>
        <w:t>%和</w:t>
      </w:r>
      <w:r>
        <w:rPr>
          <w:rFonts w:ascii="仿宋_GB2312" w:eastAsia="仿宋_GB2312"/>
          <w:sz w:val="32"/>
          <w:u w:color="auto"/>
        </w:rPr>
        <w:t>33.83</w:t>
      </w:r>
      <w:r>
        <w:rPr>
          <w:rFonts w:ascii="仿宋_GB2312" w:eastAsia="仿宋_GB2312"/>
          <w:sz w:val="32"/>
          <w:u w:color="auto"/>
        </w:rPr>
        <w:t>%。</w:t>
      </w:r>
    </w:p>
    <w:p w14:paraId="34390112">
      <w:pPr>
        <w:spacing w:line="560" w:lineRule="exact"/>
        <w:ind w:firstLine="640" w:firstLineChars="200"/>
        <w:rPr>
          <w:rFonts w:ascii="仿宋_GB2312" w:eastAsia="仿宋_GB2312"/>
          <w:sz w:val="32"/>
          <w:szCs w:val="32"/>
        </w:rPr>
      </w:pP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09EAEB7B">
      <w:pPr>
        <w:spacing w:line="560" w:lineRule="exact"/>
        <w:ind w:firstLine="636" w:firstLineChars="198"/>
        <w:rPr>
          <w:rFonts w:ascii="楷体_GB2312" w:eastAsia="楷体_GB2312"/>
          <w:b/>
          <w:sz w:val="32"/>
          <w:szCs w:val="32"/>
        </w:rPr>
      </w:pPr>
      <w:r>
        <w:rPr>
          <w:rFonts w:hint="eastAsia" w:ascii="楷体_GB2312" w:eastAsia="楷体_GB2312"/>
          <w:b/>
          <w:sz w:val="32"/>
          <w:szCs w:val="32"/>
        </w:rPr>
        <w:t>（三）资金净流量情况分析。</w:t>
      </w:r>
    </w:p>
    <w:p w14:paraId="14587C4B">
      <w:pPr>
        <w:spacing w:line="560" w:lineRule="exact"/>
        <w:ind w:firstLine="640" w:firstLineChars="200"/>
        <w:rPr>
          <w:rFonts w:ascii="仿宋_GB2312" w:eastAsia="仿宋_GB2312"/>
          <w:sz w:val="32"/>
          <w:szCs w:val="32"/>
        </w:rPr>
      </w:pPr>
      <w:r>
        <w:rPr>
          <w:rFonts w:hint="eastAsia" w:ascii="仿宋_GB2312" w:eastAsia="仿宋_GB2312"/>
          <w:sz w:val="32"/>
          <w:szCs w:val="32"/>
        </w:rPr>
        <w:t>全年资金净流</w:t>
      </w:r>
      <w:r>
        <w:rPr>
          <w:rFonts w:ascii="仿宋_GB2312" w:eastAsia="仿宋_GB2312"/>
          <w:sz w:val="32"/>
          <w:szCs w:val="32"/>
          <w:u/>
        </w:rPr>
        <w:t>入</w:t>
      </w:r>
      <w:r>
        <w:rPr>
          <w:rFonts w:ascii="仿宋_GB2312" w:eastAsia="仿宋_GB2312"/>
          <w:sz w:val="32"/>
          <w:u w:color="auto"/>
        </w:rPr>
        <w:t>12.53</w:t>
      </w:r>
      <w:r>
        <w:rPr>
          <w:rFonts w:ascii="仿宋_GB2312" w:eastAsia="仿宋_GB2312"/>
          <w:sz w:val="32"/>
          <w:u w:color="auto"/>
        </w:rPr>
        <w:t>亿元，月均净流入</w:t>
      </w:r>
      <w:r>
        <w:rPr>
          <w:rFonts w:ascii="仿宋_GB2312" w:eastAsia="仿宋_GB2312"/>
          <w:sz w:val="32"/>
          <w:u w:color="auto"/>
        </w:rPr>
        <w:t>1.04</w:t>
      </w:r>
      <w:r>
        <w:rPr>
          <w:rFonts w:ascii="仿宋_GB2312" w:eastAsia="仿宋_GB2312"/>
          <w:sz w:val="32"/>
          <w:u w:color="auto"/>
        </w:rPr>
        <w:t>亿元，剔除公转商置换后月均净流入</w:t>
      </w:r>
      <w:r>
        <w:rPr>
          <w:rFonts w:ascii="仿宋_GB2312" w:eastAsia="仿宋_GB2312"/>
          <w:sz w:val="32"/>
          <w:u w:color="auto"/>
        </w:rPr>
        <w:t>1.18</w:t>
      </w:r>
      <w:r>
        <w:rPr>
          <w:rFonts w:ascii="仿宋_GB2312" w:eastAsia="仿宋_GB2312"/>
          <w:sz w:val="32"/>
          <w:u w:color="auto"/>
        </w:rPr>
        <w:t>亿元。</w:t>
      </w:r>
      <w:r>
        <w:rPr>
          <w:rFonts w:ascii="仿宋_GB2312" w:eastAsia="仿宋_GB2312"/>
          <w:i/>
          <w:iCs/>
          <w:color w:val="FF0000"/>
          <w:sz w:val="32"/>
          <w:szCs w:val="32"/>
        </w:rPr>
        <w:t>请人工补充分析</w:t>
      </w:r>
      <w:r>
        <w:rPr>
          <w:rFonts w:ascii="仿宋_GB2312" w:eastAsia="仿宋_GB2312"/>
          <w:sz w:val="32"/>
          <w:szCs w:val="32"/>
        </w:rPr>
        <w:t>。</w:t>
      </w:r>
    </w:p>
    <w:p w14:paraId="21A4FBFA">
      <w:pPr>
        <w:spacing w:line="560" w:lineRule="exact"/>
        <w:ind w:firstLine="640" w:firstLineChars="200"/>
        <w:rPr>
          <w:rFonts w:ascii="仿宋_GB2312" w:eastAsia="仿宋_GB2312"/>
          <w:sz w:val="32"/>
          <w:szCs w:val="32"/>
        </w:rPr>
      </w:pPr>
      <w:r>
        <w:rPr>
          <w:rFonts w:hint="eastAsia" w:ascii="仿宋_GB2312" w:eastAsia="仿宋_GB2312"/>
          <w:sz w:val="32"/>
          <w:szCs w:val="32"/>
        </w:rPr>
        <w:t>通过分析各机构资金净流入情况表可以看出，</w:t>
      </w:r>
      <w:r>
        <w:rPr>
          <w:rFonts w:hint="eastAsia" w:ascii="仿宋_GB2312" w:eastAsia="仿宋_GB2312"/>
          <w:i/>
          <w:iCs/>
          <w:color w:val="FF0000"/>
          <w:sz w:val="32"/>
          <w:szCs w:val="32"/>
        </w:rPr>
        <w:t>请人工补充分析</w:t>
      </w:r>
      <w:r>
        <w:rPr>
          <w:rFonts w:hint="eastAsia" w:ascii="仿宋_GB2312" w:eastAsia="仿宋_GB2312"/>
          <w:sz w:val="32"/>
          <w:szCs w:val="32"/>
        </w:rPr>
        <w:t>。按净流入金额（剔除公转商置换）由高到低分别是：</w:t>
      </w:r>
      <w:r>
        <w:rPr>
          <w:rFonts w:ascii="仿宋_GB2312" w:eastAsia="仿宋_GB2312"/>
          <w:sz w:val="32"/>
          <w:szCs w:val="32"/>
          <w:u/>
        </w:rPr>
        <w:t/>
      </w:r>
      <w:r>
        <w:rPr>
          <w:rFonts w:ascii="仿宋_GB2312" w:eastAsia="仿宋_GB2312"/>
          <w:sz w:val="32"/>
          <w:u w:color="auto"/>
        </w:rPr>
        <w:t>市中管理部</w:t>
      </w:r>
      <w:r>
        <w:rPr>
          <w:rFonts w:ascii="仿宋_GB2312" w:eastAsia="仿宋_GB2312"/>
          <w:sz w:val="32"/>
          <w:u w:color="auto"/>
        </w:rPr>
        <w:t>11104.76</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峄城管理部</w:t>
      </w:r>
      <w:r>
        <w:rPr>
          <w:rFonts w:ascii="仿宋_GB2312" w:eastAsia="仿宋_GB2312"/>
          <w:sz w:val="32"/>
          <w:u w:color="auto"/>
        </w:rPr>
        <w:t>18745.04</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山亭管理部</w:t>
      </w:r>
      <w:r>
        <w:rPr>
          <w:rFonts w:ascii="仿宋_GB2312" w:eastAsia="仿宋_GB2312"/>
          <w:sz w:val="32"/>
          <w:u w:color="auto"/>
        </w:rPr>
        <w:t>9456.07</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台儿庄管理部</w:t>
      </w:r>
      <w:r>
        <w:rPr>
          <w:rFonts w:ascii="仿宋_GB2312" w:eastAsia="仿宋_GB2312"/>
          <w:sz w:val="32"/>
          <w:u w:color="auto"/>
        </w:rPr>
        <w:t>12234.41</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薛城管理部</w:t>
      </w:r>
      <w:r>
        <w:rPr>
          <w:rFonts w:ascii="仿宋_GB2312" w:eastAsia="仿宋_GB2312"/>
          <w:sz w:val="32"/>
          <w:u w:color="auto"/>
        </w:rPr>
        <w:t>6642.5</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滕州分中心</w:t>
      </w:r>
      <w:r>
        <w:rPr>
          <w:rFonts w:ascii="仿宋_GB2312" w:eastAsia="仿宋_GB2312"/>
          <w:sz w:val="32"/>
          <w:u w:color="auto"/>
        </w:rPr>
        <w:t>41867.37</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枣矿分中心</w:t>
      </w:r>
      <w:r>
        <w:rPr>
          <w:rFonts w:ascii="仿宋_GB2312" w:eastAsia="仿宋_GB2312"/>
          <w:sz w:val="32"/>
          <w:u w:color="auto"/>
        </w:rPr>
        <w:t>20111.66</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高新区管理部</w:t>
      </w:r>
      <w:r>
        <w:rPr>
          <w:rFonts w:ascii="仿宋_GB2312" w:eastAsia="仿宋_GB2312"/>
          <w:sz w:val="32"/>
          <w:u w:color="auto"/>
        </w:rPr>
        <w:t>3125.17</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市直一部</w:t>
      </w:r>
      <w:r>
        <w:rPr>
          <w:rFonts w:ascii="仿宋_GB2312" w:eastAsia="仿宋_GB2312"/>
          <w:sz w:val="32"/>
          <w:u w:color="auto"/>
        </w:rPr>
        <w:t>53779.42</w:t>
      </w:r>
      <w:r>
        <w:rPr>
          <w:rFonts w:ascii="仿宋_GB2312" w:eastAsia="仿宋_GB2312"/>
          <w:sz w:val="32"/>
          <w:u w:color="auto"/>
        </w:rPr>
        <w:t>万元</w:t>
      </w:r>
      <w:r>
        <w:rPr>
          <w:rFonts w:ascii="仿宋_GB2312" w:eastAsia="仿宋_GB2312"/>
          <w:sz w:val="32"/>
          <w:u w:color="auto"/>
        </w:rPr>
        <w:t>、</w:t>
      </w:r>
      <w:r>
        <w:rPr>
          <w:rFonts w:ascii="仿宋_GB2312" w:eastAsia="仿宋_GB2312"/>
          <w:sz w:val="32"/>
          <w:u w:color="auto"/>
        </w:rPr>
        <w:t>市直二部</w:t>
      </w:r>
      <w:r>
        <w:rPr>
          <w:rFonts w:ascii="仿宋_GB2312" w:eastAsia="仿宋_GB2312"/>
          <w:sz w:val="32"/>
          <w:u w:color="auto"/>
        </w:rPr>
        <w:t>-3352.36</w:t>
      </w:r>
      <w:r>
        <w:rPr>
          <w:rFonts w:ascii="仿宋_GB2312" w:eastAsia="仿宋_GB2312"/>
          <w:sz w:val="32"/>
          <w:u w:color="auto"/>
        </w:rPr>
        <w:t>万元</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w:t>
      </w:r>
    </w:p>
    <w:p w14:paraId="5163582C">
      <w:pPr>
        <w:rPr>
          <w:rFonts w:ascii="仿宋_GB2312" w:eastAsia="仿宋_GB2312"/>
          <w:sz w:val="32"/>
          <w:szCs w:val="32"/>
        </w:rPr>
      </w:pPr>
      <w:r>
        <w:rPr>
          <w:rFonts w:hint="eastAsia" w:ascii="黑体" w:hAnsi="黑体" w:eastAsia="黑体" w:cs="黑体"/>
          <w:bCs/>
          <w:sz w:val="32"/>
          <w:szCs w:val="32"/>
        </w:rPr>
        <w:drawing>
          <wp:inline distT="0" distB="0" distL="0" distR="0">
            <wp:extent cx="5274310" cy="3076575"/>
            <wp:effectExtent l="5080" t="4445" r="16510" b="5080"/>
            <wp:docPr id="8" name="图表 8" descr="{{fzjgzjjlrqkb}}"/>
            <wp:cNvGraphicFramePr/>
            <a:graphic xmlns:a="http://schemas.openxmlformats.org/drawingml/2006/main">
              <a:graphicData uri="http://schemas.openxmlformats.org/drawingml/2006/chart">
                <c:chart xmlns:c="http://schemas.openxmlformats.org/drawingml/2006/chart" r:id="rId5"/>
              </a:graphicData>
            </a:graphic>
          </wp:inline>
        </w:drawing>
      </w:r>
    </w:p>
    <w:p w14:paraId="6B3A6C38">
      <w:pPr>
        <w:spacing w:line="560" w:lineRule="exact"/>
        <w:ind w:firstLine="640" w:firstLineChars="200"/>
        <w:rPr>
          <w:rFonts w:ascii="黑体" w:hAnsi="黑体" w:eastAsia="黑体" w:cs="黑体"/>
          <w:bCs/>
          <w:sz w:val="32"/>
          <w:szCs w:val="32"/>
        </w:rPr>
      </w:pPr>
      <w:r>
        <w:rPr>
          <w:rFonts w:hint="eastAsia" w:ascii="黑体" w:hAnsi="黑体" w:eastAsia="黑体" w:cs="黑体"/>
          <w:bCs/>
          <w:sz w:val="32"/>
          <w:szCs w:val="32"/>
        </w:rPr>
        <w:t>二、各项指标计划执行情况分析</w:t>
      </w:r>
    </w:p>
    <w:p w14:paraId="3B569130">
      <w:pPr>
        <w:spacing w:line="560" w:lineRule="exact"/>
        <w:ind w:firstLine="643" w:firstLineChars="200"/>
        <w:rPr>
          <w:rFonts w:ascii="仿宋_GB2312" w:eastAsia="仿宋_GB2312"/>
          <w:sz w:val="32"/>
          <w:szCs w:val="32"/>
        </w:rPr>
      </w:pPr>
      <w:r>
        <w:rPr>
          <w:rFonts w:hint="eastAsia" w:ascii="楷体_GB2312" w:eastAsia="楷体_GB2312"/>
          <w:b/>
          <w:sz w:val="32"/>
          <w:szCs w:val="32"/>
        </w:rPr>
        <w:t>（一）住房公积金归集。</w:t>
      </w:r>
      <w:r>
        <w:rPr>
          <w:rFonts w:hint="eastAsia" w:ascii="仿宋_GB2312" w:eastAsia="仿宋_GB2312"/>
          <w:sz w:val="32"/>
          <w:szCs w:val="32"/>
          <w:u/>
        </w:rPr>
        <w:t>全市归集住房公积金</w:t>
      </w:r>
      <w:r>
        <w:rPr>
          <w:rFonts w:ascii="仿宋_GB2312" w:eastAsia="仿宋_GB2312"/>
          <w:sz w:val="32"/>
          <w:u w:color="auto"/>
        </w:rPr>
        <w:t>41.94</w:t>
      </w:r>
      <w:r>
        <w:rPr>
          <w:rFonts w:ascii="仿宋_GB2312" w:eastAsia="仿宋_GB2312"/>
          <w:sz w:val="32"/>
          <w:u w:color="auto"/>
        </w:rPr>
        <w:t>亿元（含结息</w:t>
      </w:r>
      <w:r>
        <w:rPr>
          <w:rFonts w:ascii="仿宋_GB2312" w:eastAsia="仿宋_GB2312"/>
          <w:sz w:val="32"/>
          <w:u w:color="auto"/>
        </w:rPr>
        <w:t>3.2</w:t>
      </w:r>
      <w:r>
        <w:rPr>
          <w:rFonts w:ascii="仿宋_GB2312" w:eastAsia="仿宋_GB2312"/>
          <w:sz w:val="32"/>
          <w:u w:color="auto"/>
        </w:rPr>
        <w:t>亿元，剔除结息</w:t>
      </w:r>
      <w:r>
        <w:rPr>
          <w:rFonts w:ascii="仿宋_GB2312" w:eastAsia="仿宋_GB2312"/>
          <w:sz w:val="32"/>
          <w:u w:color="auto"/>
        </w:rPr>
        <w:t>38.74</w:t>
      </w:r>
      <w:r>
        <w:rPr>
          <w:rFonts w:ascii="仿宋_GB2312" w:eastAsia="仿宋_GB2312"/>
          <w:sz w:val="32"/>
          <w:u w:color="auto"/>
        </w:rPr>
        <w:t>亿元），同比增长</w:t>
      </w:r>
      <w:r>
        <w:rPr>
          <w:rFonts w:ascii="仿宋_GB2312" w:eastAsia="仿宋_GB2312"/>
          <w:sz w:val="32"/>
          <w:u w:color="auto"/>
        </w:rPr>
        <w:t>-28.45</w:t>
      </w:r>
      <w:r>
        <w:rPr>
          <w:rFonts w:ascii="仿宋_GB2312" w:eastAsia="仿宋_GB2312"/>
          <w:sz w:val="32"/>
          <w:u w:color="auto"/>
        </w:rPr>
        <w:t>%，近三年平均增长率</w:t>
      </w:r>
      <w:r>
        <w:rPr>
          <w:rFonts w:ascii="仿宋_GB2312" w:eastAsia="仿宋_GB2312"/>
          <w:sz w:val="32"/>
          <w:u w:color="auto"/>
        </w:rPr>
        <w:t>4.69</w:t>
      </w:r>
      <w:r>
        <w:rPr>
          <w:rFonts w:ascii="仿宋_GB2312" w:eastAsia="仿宋_GB2312"/>
          <w:sz w:val="32"/>
          <w:u w:color="auto"/>
        </w:rPr>
        <w:t>%，剔除结息后月均缴存金额</w:t>
      </w:r>
      <w:r>
        <w:rPr>
          <w:rFonts w:ascii="仿宋_GB2312" w:eastAsia="仿宋_GB2312"/>
          <w:sz w:val="32"/>
          <w:u w:color="auto"/>
        </w:rPr>
        <w:t>3.23</w:t>
      </w:r>
      <w:r>
        <w:rPr>
          <w:rFonts w:ascii="仿宋_GB2312" w:eastAsia="仿宋_GB2312"/>
          <w:sz w:val="32"/>
          <w:u w:color="auto"/>
        </w:rPr>
        <w:t>亿元，年末缴存余额</w:t>
      </w:r>
      <w:r>
        <w:rPr>
          <w:rFonts w:ascii="仿宋_GB2312" w:eastAsia="仿宋_GB2312"/>
          <w:sz w:val="32"/>
          <w:u w:color="auto"/>
        </w:rPr>
        <w:t>0</w:t>
      </w:r>
      <w:r>
        <w:rPr>
          <w:rFonts w:ascii="仿宋_GB2312" w:eastAsia="仿宋_GB2312"/>
          <w:sz w:val="32"/>
          <w:u w:color="auto"/>
        </w:rPr>
        <w:t>亿元。</w:t>
      </w:r>
    </w:p>
    <w:p w14:paraId="030CA732">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9" name="图表 9" descr="{{gjqst}}"/>
            <wp:cNvGraphicFramePr/>
            <a:graphic xmlns:a="http://schemas.openxmlformats.org/drawingml/2006/main">
              <a:graphicData uri="http://schemas.openxmlformats.org/drawingml/2006/chart">
                <c:chart xmlns:c="http://schemas.openxmlformats.org/drawingml/2006/chart" r:id="rId6"/>
              </a:graphicData>
            </a:graphic>
          </wp:inline>
        </w:drawing>
      </w:r>
    </w:p>
    <w:p w14:paraId="1776EAF4">
      <w:pPr>
        <w:spacing w:line="57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4820588D">
      <w:pPr>
        <w:spacing w:line="560" w:lineRule="exact"/>
        <w:ind w:firstLine="640" w:firstLineChars="200"/>
        <w:rPr>
          <w:rFonts w:ascii="仿宋_GB2312" w:eastAsia="仿宋_GB2312"/>
          <w:sz w:val="32"/>
          <w:szCs w:val="32"/>
        </w:rPr>
      </w:pPr>
      <w:r>
        <w:rPr>
          <w:rFonts w:ascii="仿宋_GB2312" w:eastAsia="仿宋_GB2312"/>
          <w:sz w:val="32"/>
          <w:szCs w:val="32"/>
        </w:rPr>
        <w:t>1.请人工补充分析。</w:t>
      </w:r>
    </w:p>
    <w:p w14:paraId="1BF1F5C3">
      <w:pPr>
        <w:spacing w:line="560" w:lineRule="exact"/>
        <w:ind w:firstLine="640" w:firstLineChars="200"/>
        <w:rPr>
          <w:rFonts w:ascii="仿宋_GB2312" w:eastAsia="仿宋_GB2312"/>
          <w:sz w:val="32"/>
          <w:szCs w:val="32"/>
        </w:rPr>
      </w:pPr>
      <w:r>
        <w:rPr>
          <w:rFonts w:ascii="仿宋_GB2312" w:eastAsia="仿宋_GB2312"/>
          <w:sz w:val="32"/>
          <w:szCs w:val="32"/>
          <w:u/>
        </w:rPr>
        <w:t xml:space="preserve">2. </w:t>
      </w:r>
      <w:r>
        <w:rPr>
          <w:rFonts w:ascii="仿宋_GB2312" w:eastAsia="仿宋_GB2312"/>
          <w:sz w:val="32"/>
          <w:u w:color="auto"/>
        </w:rPr>
        <w:t>2026</w:t>
      </w:r>
      <w:r>
        <w:rPr>
          <w:rFonts w:ascii="仿宋_GB2312" w:eastAsia="仿宋_GB2312"/>
          <w:sz w:val="32"/>
          <w:u w:color="auto"/>
        </w:rPr>
        <w:t>年归集增长率超过4%的分支机构为</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；归集增长率低于2%的分支机构为</w:t>
      </w:r>
      <w:r>
        <w:rPr>
          <w:rFonts w:ascii="仿宋_GB2312" w:eastAsia="仿宋_GB2312"/>
          <w:sz w:val="32"/>
          <w:u w:color="auto"/>
        </w:rPr>
        <w:t/>
      </w:r>
      <w:r>
        <w:rPr>
          <w:rFonts w:ascii="仿宋_GB2312" w:eastAsia="仿宋_GB2312"/>
          <w:sz w:val="32"/>
          <w:u w:color="auto"/>
        </w:rPr>
        <w:t>市直二部</w:t>
      </w:r>
      <w:r>
        <w:rPr>
          <w:rFonts w:ascii="仿宋_GB2312" w:eastAsia="仿宋_GB2312"/>
          <w:sz w:val="32"/>
          <w:u w:color="auto"/>
        </w:rPr>
        <w:t>（</w:t>
      </w:r>
      <w:r>
        <w:rPr>
          <w:rFonts w:ascii="仿宋_GB2312" w:eastAsia="仿宋_GB2312"/>
          <w:sz w:val="32"/>
          <w:u w:color="auto"/>
        </w:rPr>
        <w:t>-58.04</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薛城管理部</w:t>
      </w:r>
      <w:r>
        <w:rPr>
          <w:rFonts w:ascii="仿宋_GB2312" w:eastAsia="仿宋_GB2312"/>
          <w:sz w:val="32"/>
          <w:u w:color="auto"/>
        </w:rPr>
        <w:t>（</w:t>
      </w:r>
      <w:r>
        <w:rPr>
          <w:rFonts w:ascii="仿宋_GB2312" w:eastAsia="仿宋_GB2312"/>
          <w:sz w:val="32"/>
          <w:u w:color="auto"/>
        </w:rPr>
        <w:t>-45.87</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市直一部</w:t>
      </w:r>
      <w:r>
        <w:rPr>
          <w:rFonts w:ascii="仿宋_GB2312" w:eastAsia="仿宋_GB2312"/>
          <w:sz w:val="32"/>
          <w:u w:color="auto"/>
        </w:rPr>
        <w:t>（</w:t>
      </w:r>
      <w:r>
        <w:rPr>
          <w:rFonts w:ascii="仿宋_GB2312" w:eastAsia="仿宋_GB2312"/>
          <w:sz w:val="32"/>
          <w:u w:color="auto"/>
        </w:rPr>
        <w:t>-32.16</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枣矿分中心</w:t>
      </w:r>
      <w:r>
        <w:rPr>
          <w:rFonts w:ascii="仿宋_GB2312" w:eastAsia="仿宋_GB2312"/>
          <w:sz w:val="32"/>
          <w:u w:color="auto"/>
        </w:rPr>
        <w:t>（</w:t>
      </w:r>
      <w:r>
        <w:rPr>
          <w:rFonts w:ascii="仿宋_GB2312" w:eastAsia="仿宋_GB2312"/>
          <w:sz w:val="32"/>
          <w:u w:color="auto"/>
        </w:rPr>
        <w:t>-26.14</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台儿庄管理部</w:t>
      </w:r>
      <w:r>
        <w:rPr>
          <w:rFonts w:ascii="仿宋_GB2312" w:eastAsia="仿宋_GB2312"/>
          <w:sz w:val="32"/>
          <w:u w:color="auto"/>
        </w:rPr>
        <w:t>（</w:t>
      </w:r>
      <w:r>
        <w:rPr>
          <w:rFonts w:ascii="仿宋_GB2312" w:eastAsia="仿宋_GB2312"/>
          <w:sz w:val="32"/>
          <w:u w:color="auto"/>
        </w:rPr>
        <w:t>-21.87</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市中管理部</w:t>
      </w:r>
      <w:r>
        <w:rPr>
          <w:rFonts w:ascii="仿宋_GB2312" w:eastAsia="仿宋_GB2312"/>
          <w:sz w:val="32"/>
          <w:u w:color="auto"/>
        </w:rPr>
        <w:t>（</w:t>
      </w:r>
      <w:r>
        <w:rPr>
          <w:rFonts w:ascii="仿宋_GB2312" w:eastAsia="仿宋_GB2312"/>
          <w:sz w:val="32"/>
          <w:u w:color="auto"/>
        </w:rPr>
        <w:t>-21.27</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高新区管理部</w:t>
      </w:r>
      <w:r>
        <w:rPr>
          <w:rFonts w:ascii="仿宋_GB2312" w:eastAsia="仿宋_GB2312"/>
          <w:sz w:val="32"/>
          <w:u w:color="auto"/>
        </w:rPr>
        <w:t>（</w:t>
      </w:r>
      <w:r>
        <w:rPr>
          <w:rFonts w:ascii="仿宋_GB2312" w:eastAsia="仿宋_GB2312"/>
          <w:sz w:val="32"/>
          <w:u w:color="auto"/>
        </w:rPr>
        <w:t>-20.93</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山亭管理部</w:t>
      </w:r>
      <w:r>
        <w:rPr>
          <w:rFonts w:ascii="仿宋_GB2312" w:eastAsia="仿宋_GB2312"/>
          <w:sz w:val="32"/>
          <w:u w:color="auto"/>
        </w:rPr>
        <w:t>（</w:t>
      </w:r>
      <w:r>
        <w:rPr>
          <w:rFonts w:ascii="仿宋_GB2312" w:eastAsia="仿宋_GB2312"/>
          <w:sz w:val="32"/>
          <w:u w:color="auto"/>
        </w:rPr>
        <w:t>-19.5</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峄城管理部</w:t>
      </w:r>
      <w:r>
        <w:rPr>
          <w:rFonts w:ascii="仿宋_GB2312" w:eastAsia="仿宋_GB2312"/>
          <w:sz w:val="32"/>
          <w:u w:color="auto"/>
        </w:rPr>
        <w:t>（</w:t>
      </w:r>
      <w:r>
        <w:rPr>
          <w:rFonts w:ascii="仿宋_GB2312" w:eastAsia="仿宋_GB2312"/>
          <w:sz w:val="32"/>
          <w:u w:color="auto"/>
        </w:rPr>
        <w:t>-18.11</w:t>
      </w:r>
      <w:r>
        <w:rPr>
          <w:rFonts w:ascii="仿宋_GB2312" w:eastAsia="仿宋_GB2312"/>
          <w:sz w:val="32"/>
          <w:u w:color="auto"/>
        </w:rPr>
        <w:t>%）</w:t>
      </w:r>
      <w:r>
        <w:rPr>
          <w:rFonts w:ascii="仿宋_GB2312" w:eastAsia="仿宋_GB2312"/>
          <w:sz w:val="32"/>
          <w:u w:color="auto"/>
        </w:rPr>
        <w:t>、</w:t>
      </w:r>
      <w:r>
        <w:rPr>
          <w:rFonts w:ascii="仿宋_GB2312" w:eastAsia="仿宋_GB2312"/>
          <w:sz w:val="32"/>
          <w:u w:color="auto"/>
        </w:rPr>
        <w:t>滕州分中心</w:t>
      </w:r>
      <w:r>
        <w:rPr>
          <w:rFonts w:ascii="仿宋_GB2312" w:eastAsia="仿宋_GB2312"/>
          <w:sz w:val="32"/>
          <w:u w:color="auto"/>
        </w:rPr>
        <w:t>（</w:t>
      </w:r>
      <w:r>
        <w:rPr>
          <w:rFonts w:ascii="仿宋_GB2312" w:eastAsia="仿宋_GB2312"/>
          <w:sz w:val="32"/>
          <w:u w:color="auto"/>
        </w:rPr>
        <w:t>-17.87</w:t>
      </w:r>
      <w:r>
        <w:rPr>
          <w:rFonts w:ascii="仿宋_GB2312" w:eastAsia="仿宋_GB2312"/>
          <w:sz w:val="32"/>
          <w:u w:color="auto"/>
        </w:rPr>
        <w:t>%）</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w:t>
      </w:r>
    </w:p>
    <w:p w14:paraId="2C6DF9D5">
      <w:pPr>
        <w:spacing w:line="560" w:lineRule="exact"/>
        <w:ind w:firstLine="562" w:firstLineChars="200"/>
        <w:rPr>
          <w:rFonts w:ascii="宋体" w:hAnsi="宋体" w:eastAsia="宋体"/>
          <w:b/>
          <w:bCs/>
          <w:sz w:val="28"/>
          <w:szCs w:val="28"/>
        </w:rPr>
      </w:pPr>
      <w:r>
        <w:rPr>
          <w:rFonts w:ascii="宋体" w:hAnsi="宋体" w:eastAsia="宋体"/>
          <w:b/>
          <w:bCs/>
          <w:sz w:val="28"/>
          <w:szCs w:val="28"/>
          <w:u/>
        </w:rPr>
        <w:t>2026</w:t>
      </w:r>
      <w:r>
        <w:rPr>
          <w:b w:val="on"/>
          <w:rFonts w:ascii="宋体" w:eastAsia="宋体" w:hAnsi="宋体"/>
          <w:sz w:val="28"/>
          <w:u w:color="auto"/>
        </w:rPr>
        <w:t>年全市各分支机构归集情况表（单位：万元）</w:t>
      </w:r>
    </w:p>
    <w:tbl>
      <w:tblPr>
        <w:tblW w:w="5000" w:type="pct"/>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type="dxa" w:w="107"/>
          <w:right w:type="dxa" w:w="107"/>
        </w:tblCellMar>
      </w:tblPr>
      <w:tblGrid>
        <w:gridCol w:w="2076"/>
        <w:gridCol w:w="2076"/>
        <w:gridCol w:w="2076"/>
        <w:gridCol w:w="2076"/>
      </w:tblGrid>
      <w:tr>
        <w:tc>
          <w:tcPr>
            <w:tcW w:type="pct" w:w="1250"/>
          </w:tcPr>
          <w:p>
            <w:pPr>
              <w:pBdr/>
              <w:ind/>
            </w:pPr>
            <w:r>
              <w:rPr>
                <w:u w:color="auto"/>
                <w:sz w:val="32"/>
                <w:rFonts w:eastAsia="仿宋_GB2312" w:ascii="仿宋_GB2312" w:hAnsi="仿宋_GB2312" w:cs="仿宋_GB2312"/>
              </w:rPr>
              <w:t>机构</w:t>
            </w:r>
            <w:r>
              <w:rPr>
                <w:u/>
              </w:rPr>
            </w:r>
          </w:p>
        </w:tc>
        <w:tc>
          <w:tcPr>
            <w:tcW w:type="pct" w:w="1250"/>
          </w:tcPr>
          <w:p>
            <w:pPr>
              <w:pBdr/>
              <w:ind/>
            </w:pPr>
            <w:r>
              <w:rPr>
                <w:u w:color="auto"/>
                <w:sz w:val="32"/>
                <w:rFonts w:eastAsia="仿宋_GB2312" w:ascii="仿宋_GB2312" w:hAnsi="仿宋_GB2312" w:cs="仿宋_GB2312"/>
              </w:rPr>
              <w:t>归集额</w:t>
            </w:r>
            <w:r>
              <w:rPr>
                <w:u/>
              </w:rPr>
            </w:r>
          </w:p>
        </w:tc>
        <w:tc>
          <w:tcPr>
            <w:tcW w:type="pct" w:w="1250"/>
          </w:tcPr>
          <w:p>
            <w:pPr>
              <w:pBdr/>
              <w:ind/>
            </w:pPr>
            <w:r>
              <w:rPr>
                <w:u w:color="auto"/>
                <w:sz w:val="32"/>
                <w:rFonts w:eastAsia="仿宋_GB2312" w:ascii="仿宋_GB2312" w:hAnsi="仿宋_GB2312" w:cs="仿宋_GB2312"/>
              </w:rPr>
              <w:t>同比变动率</w:t>
            </w:r>
            <w:r>
              <w:rPr>
                <w:u/>
              </w:rPr>
            </w:r>
          </w:p>
        </w:tc>
        <w:tc>
          <w:tcPr>
            <w:tcW w:type="pct" w:w="1250"/>
          </w:tcPr>
          <w:p>
            <w:pPr>
              <w:pBdr/>
              <w:ind/>
            </w:pPr>
            <w:r>
              <w:rPr>
                <w:u w:color="auto"/>
                <w:sz w:val="32"/>
                <w:rFonts w:eastAsia="仿宋_GB2312" w:ascii="仿宋_GB2312" w:hAnsi="仿宋_GB2312" w:cs="仿宋_GB2312"/>
              </w:rPr>
              <w:t>同比变动金额</w:t>
            </w:r>
            <w:r>
              <w:rPr>
                <w:u/>
              </w:rPr>
            </w:r>
          </w:p>
        </w:tc>
      </w:tr>
      <w:tr>
        <w:tc>
          <w:tcPr>
            <w:tcW w:type="pct" w:w="1250"/>
          </w:tcPr>
          <w:p>
            <w:pPr>
              <w:pBdr/>
              <w:ind/>
            </w:pPr>
            <w:r>
              <w:rPr>
                <w:u w:color="auto"/>
                <w:sz w:val="32"/>
                <w:rFonts w:eastAsia="仿宋_GB2312" w:ascii="仿宋_GB2312" w:hAnsi="仿宋_GB2312" w:cs="仿宋_GB2312"/>
              </w:rPr>
              <w:t>市中管理部</w:t>
            </w:r>
            <w:r>
              <w:rPr>
                <w:u/>
              </w:rPr>
            </w:r>
          </w:p>
        </w:tc>
        <w:tc>
          <w:tcPr>
            <w:tcW w:type="pct" w:w="1250"/>
          </w:tcPr>
          <w:p>
            <w:pPr>
              <w:pBdr/>
              <w:ind/>
            </w:pPr>
            <w:r>
              <w:rPr>
                <w:u w:color="auto"/>
                <w:sz w:val="32"/>
                <w:rFonts w:eastAsia="仿宋_GB2312" w:ascii="仿宋_GB2312" w:hAnsi="仿宋_GB2312" w:cs="仿宋_GB2312"/>
              </w:rPr>
              <w:t>25517.05</w:t>
            </w:r>
            <w:r>
              <w:rPr>
                <w:u/>
              </w:rPr>
            </w:r>
          </w:p>
        </w:tc>
        <w:tc>
          <w:tcPr>
            <w:tcW w:type="pct" w:w="1250"/>
          </w:tcPr>
          <w:p>
            <w:pPr>
              <w:pBdr/>
              <w:ind/>
            </w:pPr>
            <w:r>
              <w:rPr>
                <w:u w:color="auto"/>
                <w:sz w:val="32"/>
                <w:rFonts w:eastAsia="仿宋_GB2312" w:ascii="仿宋_GB2312" w:hAnsi="仿宋_GB2312" w:cs="仿宋_GB2312"/>
              </w:rPr>
              <w:t>-21.27</w:t>
            </w:r>
            <w:r>
              <w:rPr>
                <w:u/>
              </w:rPr>
            </w:r>
          </w:p>
        </w:tc>
        <w:tc>
          <w:tcPr>
            <w:tcW w:type="pct" w:w="1250"/>
          </w:tcPr>
          <w:p>
            <w:pPr>
              <w:pBdr/>
              <w:ind/>
            </w:pPr>
            <w:r>
              <w:rPr>
                <w:u w:color="auto"/>
                <w:sz w:val="32"/>
                <w:rFonts w:eastAsia="仿宋_GB2312" w:ascii="仿宋_GB2312" w:hAnsi="仿宋_GB2312" w:cs="仿宋_GB2312"/>
              </w:rPr>
              <w:t>-6895.49</w:t>
            </w:r>
            <w:r>
              <w:rPr>
                <w:u/>
              </w:rPr>
            </w:r>
          </w:p>
        </w:tc>
      </w:tr>
      <w:tr>
        <w:tc>
          <w:tcPr>
            <w:tcW w:type="pct" w:w="1250"/>
          </w:tcPr>
          <w:p>
            <w:pPr>
              <w:pBdr/>
              <w:ind/>
            </w:pPr>
            <w:r>
              <w:rPr>
                <w:u w:color="auto"/>
                <w:sz w:val="32"/>
                <w:rFonts w:eastAsia="仿宋_GB2312" w:ascii="仿宋_GB2312" w:hAnsi="仿宋_GB2312" w:cs="仿宋_GB2312"/>
              </w:rPr>
              <w:t>峄城管理部</w:t>
            </w:r>
            <w:r>
              <w:rPr>
                <w:u/>
              </w:rPr>
            </w:r>
          </w:p>
        </w:tc>
        <w:tc>
          <w:tcPr>
            <w:tcW w:type="pct" w:w="1250"/>
          </w:tcPr>
          <w:p>
            <w:pPr>
              <w:pBdr/>
              <w:ind/>
            </w:pPr>
            <w:r>
              <w:rPr>
                <w:u w:color="auto"/>
                <w:sz w:val="32"/>
                <w:rFonts w:eastAsia="仿宋_GB2312" w:ascii="仿宋_GB2312" w:hAnsi="仿宋_GB2312" w:cs="仿宋_GB2312"/>
              </w:rPr>
              <w:t>30933.79</w:t>
            </w:r>
            <w:r>
              <w:rPr>
                <w:u/>
              </w:rPr>
            </w:r>
          </w:p>
        </w:tc>
        <w:tc>
          <w:tcPr>
            <w:tcW w:type="pct" w:w="1250"/>
          </w:tcPr>
          <w:p>
            <w:pPr>
              <w:pBdr/>
              <w:ind/>
            </w:pPr>
            <w:r>
              <w:rPr>
                <w:u w:color="auto"/>
                <w:sz w:val="32"/>
                <w:rFonts w:eastAsia="仿宋_GB2312" w:ascii="仿宋_GB2312" w:hAnsi="仿宋_GB2312" w:cs="仿宋_GB2312"/>
              </w:rPr>
              <w:t>-18.11</w:t>
            </w:r>
            <w:r>
              <w:rPr>
                <w:u/>
              </w:rPr>
            </w:r>
          </w:p>
        </w:tc>
        <w:tc>
          <w:tcPr>
            <w:tcW w:type="pct" w:w="1250"/>
          </w:tcPr>
          <w:p>
            <w:pPr>
              <w:pBdr/>
              <w:ind/>
            </w:pPr>
            <w:r>
              <w:rPr>
                <w:u w:color="auto"/>
                <w:sz w:val="32"/>
                <w:rFonts w:eastAsia="仿宋_GB2312" w:ascii="仿宋_GB2312" w:hAnsi="仿宋_GB2312" w:cs="仿宋_GB2312"/>
              </w:rPr>
              <w:t>-6842.42</w:t>
            </w:r>
            <w:r>
              <w:rPr>
                <w:u/>
              </w:rPr>
            </w:r>
          </w:p>
        </w:tc>
      </w:tr>
      <w:tr>
        <w:tc>
          <w:tcPr>
            <w:tcW w:type="pct" w:w="1250"/>
          </w:tcPr>
          <w:p>
            <w:pPr>
              <w:pBdr/>
              <w:ind/>
            </w:pPr>
            <w:r>
              <w:rPr>
                <w:u w:color="auto"/>
                <w:sz w:val="32"/>
                <w:rFonts w:eastAsia="仿宋_GB2312" w:ascii="仿宋_GB2312" w:hAnsi="仿宋_GB2312" w:cs="仿宋_GB2312"/>
              </w:rPr>
              <w:t>山亭管理部</w:t>
            </w:r>
            <w:r>
              <w:rPr>
                <w:u/>
              </w:rPr>
            </w:r>
          </w:p>
        </w:tc>
        <w:tc>
          <w:tcPr>
            <w:tcW w:type="pct" w:w="1250"/>
          </w:tcPr>
          <w:p>
            <w:pPr>
              <w:pBdr/>
              <w:ind/>
            </w:pPr>
            <w:r>
              <w:rPr>
                <w:u w:color="auto"/>
                <w:sz w:val="32"/>
                <w:rFonts w:eastAsia="仿宋_GB2312" w:ascii="仿宋_GB2312" w:hAnsi="仿宋_GB2312" w:cs="仿宋_GB2312"/>
              </w:rPr>
              <w:t>20482.14</w:t>
            </w:r>
            <w:r>
              <w:rPr>
                <w:u/>
              </w:rPr>
            </w:r>
          </w:p>
        </w:tc>
        <w:tc>
          <w:tcPr>
            <w:tcW w:type="pct" w:w="1250"/>
          </w:tcPr>
          <w:p>
            <w:pPr>
              <w:pBdr/>
              <w:ind/>
            </w:pPr>
            <w:r>
              <w:rPr>
                <w:u w:color="auto"/>
                <w:sz w:val="32"/>
                <w:rFonts w:eastAsia="仿宋_GB2312" w:ascii="仿宋_GB2312" w:hAnsi="仿宋_GB2312" w:cs="仿宋_GB2312"/>
              </w:rPr>
              <w:t>-19.5</w:t>
            </w:r>
            <w:r>
              <w:rPr>
                <w:u/>
              </w:rPr>
            </w:r>
          </w:p>
        </w:tc>
        <w:tc>
          <w:tcPr>
            <w:tcW w:type="pct" w:w="1250"/>
          </w:tcPr>
          <w:p>
            <w:pPr>
              <w:pBdr/>
              <w:ind/>
            </w:pPr>
            <w:r>
              <w:rPr>
                <w:u w:color="auto"/>
                <w:sz w:val="32"/>
                <w:rFonts w:eastAsia="仿宋_GB2312" w:ascii="仿宋_GB2312" w:hAnsi="仿宋_GB2312" w:cs="仿宋_GB2312"/>
              </w:rPr>
              <w:t>-4961.05</w:t>
            </w:r>
            <w:r>
              <w:rPr>
                <w:u/>
              </w:rPr>
            </w:r>
          </w:p>
        </w:tc>
      </w:tr>
      <w:tr>
        <w:tc>
          <w:tcPr>
            <w:tcW w:type="pct" w:w="1250"/>
          </w:tcPr>
          <w:p>
            <w:pPr>
              <w:pBdr/>
              <w:ind/>
            </w:pPr>
            <w:r>
              <w:rPr>
                <w:u w:color="auto"/>
                <w:sz w:val="32"/>
                <w:rFonts w:eastAsia="仿宋_GB2312" w:ascii="仿宋_GB2312" w:hAnsi="仿宋_GB2312" w:cs="仿宋_GB2312"/>
              </w:rPr>
              <w:t>台儿庄管理部</w:t>
            </w:r>
            <w:r>
              <w:rPr>
                <w:u/>
              </w:rPr>
            </w:r>
          </w:p>
        </w:tc>
        <w:tc>
          <w:tcPr>
            <w:tcW w:type="pct" w:w="1250"/>
          </w:tcPr>
          <w:p>
            <w:pPr>
              <w:pBdr/>
              <w:ind/>
            </w:pPr>
            <w:r>
              <w:rPr>
                <w:u w:color="auto"/>
                <w:sz w:val="32"/>
                <w:rFonts w:eastAsia="仿宋_GB2312" w:ascii="仿宋_GB2312" w:hAnsi="仿宋_GB2312" w:cs="仿宋_GB2312"/>
              </w:rPr>
              <w:t>24809.72</w:t>
            </w:r>
            <w:r>
              <w:rPr>
                <w:u/>
              </w:rPr>
            </w:r>
          </w:p>
        </w:tc>
        <w:tc>
          <w:tcPr>
            <w:tcW w:type="pct" w:w="1250"/>
          </w:tcPr>
          <w:p>
            <w:pPr>
              <w:pBdr/>
              <w:ind/>
            </w:pPr>
            <w:r>
              <w:rPr>
                <w:u w:color="auto"/>
                <w:sz w:val="32"/>
                <w:rFonts w:eastAsia="仿宋_GB2312" w:ascii="仿宋_GB2312" w:hAnsi="仿宋_GB2312" w:cs="仿宋_GB2312"/>
              </w:rPr>
              <w:t>-21.87</w:t>
            </w:r>
            <w:r>
              <w:rPr>
                <w:u/>
              </w:rPr>
            </w:r>
          </w:p>
        </w:tc>
        <w:tc>
          <w:tcPr>
            <w:tcW w:type="pct" w:w="1250"/>
          </w:tcPr>
          <w:p>
            <w:pPr>
              <w:pBdr/>
              <w:ind/>
            </w:pPr>
            <w:r>
              <w:rPr>
                <w:u w:color="auto"/>
                <w:sz w:val="32"/>
                <w:rFonts w:eastAsia="仿宋_GB2312" w:ascii="仿宋_GB2312" w:hAnsi="仿宋_GB2312" w:cs="仿宋_GB2312"/>
              </w:rPr>
              <w:t>-6943.21</w:t>
            </w:r>
            <w:r>
              <w:rPr>
                <w:u/>
              </w:rPr>
            </w:r>
          </w:p>
        </w:tc>
      </w:tr>
      <w:tr>
        <w:tc>
          <w:tcPr>
            <w:tcW w:type="pct" w:w="1250"/>
          </w:tcPr>
          <w:p>
            <w:pPr>
              <w:pBdr/>
              <w:ind/>
            </w:pPr>
            <w:r>
              <w:rPr>
                <w:u w:color="auto"/>
                <w:sz w:val="32"/>
                <w:rFonts w:eastAsia="仿宋_GB2312" w:ascii="仿宋_GB2312" w:hAnsi="仿宋_GB2312" w:cs="仿宋_GB2312"/>
              </w:rPr>
              <w:t>薛城管理部</w:t>
            </w:r>
            <w:r>
              <w:rPr>
                <w:u/>
              </w:rPr>
            </w:r>
          </w:p>
        </w:tc>
        <w:tc>
          <w:tcPr>
            <w:tcW w:type="pct" w:w="1250"/>
          </w:tcPr>
          <w:p>
            <w:pPr>
              <w:pBdr/>
              <w:ind/>
            </w:pPr>
            <w:r>
              <w:rPr>
                <w:u w:color="auto"/>
                <w:sz w:val="32"/>
                <w:rFonts w:eastAsia="仿宋_GB2312" w:ascii="仿宋_GB2312" w:hAnsi="仿宋_GB2312" w:cs="仿宋_GB2312"/>
              </w:rPr>
              <w:t>18948.01</w:t>
            </w:r>
            <w:r>
              <w:rPr>
                <w:u/>
              </w:rPr>
            </w:r>
          </w:p>
        </w:tc>
        <w:tc>
          <w:tcPr>
            <w:tcW w:type="pct" w:w="1250"/>
          </w:tcPr>
          <w:p>
            <w:pPr>
              <w:pBdr/>
              <w:ind/>
            </w:pPr>
            <w:r>
              <w:rPr>
                <w:u w:color="auto"/>
                <w:sz w:val="32"/>
                <w:rFonts w:eastAsia="仿宋_GB2312" w:ascii="仿宋_GB2312" w:hAnsi="仿宋_GB2312" w:cs="仿宋_GB2312"/>
              </w:rPr>
              <w:t>-45.87</w:t>
            </w:r>
            <w:r>
              <w:rPr>
                <w:u/>
              </w:rPr>
            </w:r>
          </w:p>
        </w:tc>
        <w:tc>
          <w:tcPr>
            <w:tcW w:type="pct" w:w="1250"/>
          </w:tcPr>
          <w:p>
            <w:pPr>
              <w:pBdr/>
              <w:ind/>
            </w:pPr>
            <w:r>
              <w:rPr>
                <w:u w:color="auto"/>
                <w:sz w:val="32"/>
                <w:rFonts w:eastAsia="仿宋_GB2312" w:ascii="仿宋_GB2312" w:hAnsi="仿宋_GB2312" w:cs="仿宋_GB2312"/>
              </w:rPr>
              <w:t>-16059.09</w:t>
            </w:r>
            <w:r>
              <w:rPr>
                <w:u/>
              </w:rPr>
            </w:r>
          </w:p>
        </w:tc>
      </w:tr>
      <w:tr>
        <w:tc>
          <w:tcPr>
            <w:tcW w:type="pct" w:w="1250"/>
          </w:tcPr>
          <w:p>
            <w:pPr>
              <w:pBdr/>
              <w:ind/>
            </w:pPr>
            <w:r>
              <w:rPr>
                <w:u w:color="auto"/>
                <w:sz w:val="32"/>
                <w:rFonts w:eastAsia="仿宋_GB2312" w:ascii="仿宋_GB2312" w:hAnsi="仿宋_GB2312" w:cs="仿宋_GB2312"/>
              </w:rPr>
              <w:t>滕州分中心</w:t>
            </w:r>
            <w:r>
              <w:rPr>
                <w:u/>
              </w:rPr>
            </w:r>
          </w:p>
        </w:tc>
        <w:tc>
          <w:tcPr>
            <w:tcW w:type="pct" w:w="1250"/>
          </w:tcPr>
          <w:p>
            <w:pPr>
              <w:pBdr/>
              <w:ind/>
            </w:pPr>
            <w:r>
              <w:rPr>
                <w:u w:color="auto"/>
                <w:sz w:val="32"/>
                <w:rFonts w:eastAsia="仿宋_GB2312" w:ascii="仿宋_GB2312" w:hAnsi="仿宋_GB2312" w:cs="仿宋_GB2312"/>
              </w:rPr>
              <w:t>97173.08</w:t>
            </w:r>
            <w:r>
              <w:rPr>
                <w:u/>
              </w:rPr>
            </w:r>
          </w:p>
        </w:tc>
        <w:tc>
          <w:tcPr>
            <w:tcW w:type="pct" w:w="1250"/>
          </w:tcPr>
          <w:p>
            <w:pPr>
              <w:pBdr/>
              <w:ind/>
            </w:pPr>
            <w:r>
              <w:rPr>
                <w:u w:color="auto"/>
                <w:sz w:val="32"/>
                <w:rFonts w:eastAsia="仿宋_GB2312" w:ascii="仿宋_GB2312" w:hAnsi="仿宋_GB2312" w:cs="仿宋_GB2312"/>
              </w:rPr>
              <w:t>-17.87</w:t>
            </w:r>
            <w:r>
              <w:rPr>
                <w:u/>
              </w:rPr>
            </w:r>
          </w:p>
        </w:tc>
        <w:tc>
          <w:tcPr>
            <w:tcW w:type="pct" w:w="1250"/>
          </w:tcPr>
          <w:p>
            <w:pPr>
              <w:pBdr/>
              <w:ind/>
            </w:pPr>
            <w:r>
              <w:rPr>
                <w:u w:color="auto"/>
                <w:sz w:val="32"/>
                <w:rFonts w:eastAsia="仿宋_GB2312" w:ascii="仿宋_GB2312" w:hAnsi="仿宋_GB2312" w:cs="仿宋_GB2312"/>
              </w:rPr>
              <w:t>-21138.85</w:t>
            </w:r>
            <w:r>
              <w:rPr>
                <w:u/>
              </w:rPr>
            </w:r>
          </w:p>
        </w:tc>
      </w:tr>
      <w:tr>
        <w:tc>
          <w:tcPr>
            <w:tcW w:type="pct" w:w="1250"/>
          </w:tcPr>
          <w:p>
            <w:pPr>
              <w:pBdr/>
              <w:ind/>
            </w:pPr>
            <w:r>
              <w:rPr>
                <w:u w:color="auto"/>
                <w:sz w:val="32"/>
                <w:rFonts w:eastAsia="仿宋_GB2312" w:ascii="仿宋_GB2312" w:hAnsi="仿宋_GB2312" w:cs="仿宋_GB2312"/>
              </w:rPr>
              <w:t>枣矿分中心</w:t>
            </w:r>
            <w:r>
              <w:rPr>
                <w:u/>
              </w:rPr>
            </w:r>
          </w:p>
        </w:tc>
        <w:tc>
          <w:tcPr>
            <w:tcW w:type="pct" w:w="1250"/>
          </w:tcPr>
          <w:p>
            <w:pPr>
              <w:pBdr/>
              <w:ind/>
            </w:pPr>
            <w:r>
              <w:rPr>
                <w:u w:color="auto"/>
                <w:sz w:val="32"/>
                <w:rFonts w:eastAsia="仿宋_GB2312" w:ascii="仿宋_GB2312" w:hAnsi="仿宋_GB2312" w:cs="仿宋_GB2312"/>
              </w:rPr>
              <w:t>76984.43</w:t>
            </w:r>
            <w:r>
              <w:rPr>
                <w:u/>
              </w:rPr>
            </w:r>
          </w:p>
        </w:tc>
        <w:tc>
          <w:tcPr>
            <w:tcW w:type="pct" w:w="1250"/>
          </w:tcPr>
          <w:p>
            <w:pPr>
              <w:pBdr/>
              <w:ind/>
            </w:pPr>
            <w:r>
              <w:rPr>
                <w:u w:color="auto"/>
                <w:sz w:val="32"/>
                <w:rFonts w:eastAsia="仿宋_GB2312" w:ascii="仿宋_GB2312" w:hAnsi="仿宋_GB2312" w:cs="仿宋_GB2312"/>
              </w:rPr>
              <w:t>-26.14</w:t>
            </w:r>
            <w:r>
              <w:rPr>
                <w:u/>
              </w:rPr>
            </w:r>
          </w:p>
        </w:tc>
        <w:tc>
          <w:tcPr>
            <w:tcW w:type="pct" w:w="1250"/>
          </w:tcPr>
          <w:p>
            <w:pPr>
              <w:pBdr/>
              <w:ind/>
            </w:pPr>
            <w:r>
              <w:rPr>
                <w:u w:color="auto"/>
                <w:sz w:val="32"/>
                <w:rFonts w:eastAsia="仿宋_GB2312" w:ascii="仿宋_GB2312" w:hAnsi="仿宋_GB2312" w:cs="仿宋_GB2312"/>
              </w:rPr>
              <w:t>-27246.16</w:t>
            </w:r>
            <w:r>
              <w:rPr>
                <w:u/>
              </w:rPr>
            </w:r>
          </w:p>
        </w:tc>
      </w:tr>
      <w:tr>
        <w:tc>
          <w:tcPr>
            <w:tcW w:type="pct" w:w="1250"/>
          </w:tcPr>
          <w:p>
            <w:pPr>
              <w:pBdr/>
              <w:ind/>
            </w:pPr>
            <w:r>
              <w:rPr>
                <w:u w:color="auto"/>
                <w:sz w:val="32"/>
                <w:rFonts w:eastAsia="仿宋_GB2312" w:ascii="仿宋_GB2312" w:hAnsi="仿宋_GB2312" w:cs="仿宋_GB2312"/>
              </w:rPr>
              <w:t>高新区管理部</w:t>
            </w:r>
            <w:r>
              <w:rPr>
                <w:u/>
              </w:rPr>
            </w:r>
          </w:p>
        </w:tc>
        <w:tc>
          <w:tcPr>
            <w:tcW w:type="pct" w:w="1250"/>
          </w:tcPr>
          <w:p>
            <w:pPr>
              <w:pBdr/>
              <w:ind/>
            </w:pPr>
            <w:r>
              <w:rPr>
                <w:u w:color="auto"/>
                <w:sz w:val="32"/>
                <w:rFonts w:eastAsia="仿宋_GB2312" w:ascii="仿宋_GB2312" w:hAnsi="仿宋_GB2312" w:cs="仿宋_GB2312"/>
              </w:rPr>
              <w:t>10213.69</w:t>
            </w:r>
            <w:r>
              <w:rPr>
                <w:u/>
              </w:rPr>
            </w:r>
          </w:p>
        </w:tc>
        <w:tc>
          <w:tcPr>
            <w:tcW w:type="pct" w:w="1250"/>
          </w:tcPr>
          <w:p>
            <w:pPr>
              <w:pBdr/>
              <w:ind/>
            </w:pPr>
            <w:r>
              <w:rPr>
                <w:u w:color="auto"/>
                <w:sz w:val="32"/>
                <w:rFonts w:eastAsia="仿宋_GB2312" w:ascii="仿宋_GB2312" w:hAnsi="仿宋_GB2312" w:cs="仿宋_GB2312"/>
              </w:rPr>
              <w:t>-20.93</w:t>
            </w:r>
            <w:r>
              <w:rPr>
                <w:u/>
              </w:rPr>
            </w:r>
          </w:p>
        </w:tc>
        <w:tc>
          <w:tcPr>
            <w:tcW w:type="pct" w:w="1250"/>
          </w:tcPr>
          <w:p>
            <w:pPr>
              <w:pBdr/>
              <w:ind/>
            </w:pPr>
            <w:r>
              <w:rPr>
                <w:u w:color="auto"/>
                <w:sz w:val="32"/>
                <w:rFonts w:eastAsia="仿宋_GB2312" w:ascii="仿宋_GB2312" w:hAnsi="仿宋_GB2312" w:cs="仿宋_GB2312"/>
              </w:rPr>
              <w:t>-2704.17</w:t>
            </w:r>
            <w:r>
              <w:rPr>
                <w:u/>
              </w:rPr>
            </w:r>
          </w:p>
        </w:tc>
      </w:tr>
      <w:tr>
        <w:tc>
          <w:tcPr>
            <w:tcW w:type="pct" w:w="1250"/>
          </w:tcPr>
          <w:p>
            <w:pPr>
              <w:pBdr/>
              <w:ind/>
            </w:pPr>
            <w:r>
              <w:rPr>
                <w:u w:color="auto"/>
                <w:sz w:val="32"/>
                <w:rFonts w:eastAsia="仿宋_GB2312" w:ascii="仿宋_GB2312" w:hAnsi="仿宋_GB2312" w:cs="仿宋_GB2312"/>
              </w:rPr>
              <w:t>市直一部</w:t>
            </w:r>
            <w:r>
              <w:rPr>
                <w:u/>
              </w:rPr>
            </w:r>
          </w:p>
        </w:tc>
        <w:tc>
          <w:tcPr>
            <w:tcW w:type="pct" w:w="1250"/>
          </w:tcPr>
          <w:p>
            <w:pPr>
              <w:pBdr/>
              <w:ind/>
            </w:pPr>
            <w:r>
              <w:rPr>
                <w:u w:color="auto"/>
                <w:sz w:val="32"/>
                <w:rFonts w:eastAsia="仿宋_GB2312" w:ascii="仿宋_GB2312" w:hAnsi="仿宋_GB2312" w:cs="仿宋_GB2312"/>
              </w:rPr>
              <w:t>92516.61</w:t>
            </w:r>
            <w:r>
              <w:rPr>
                <w:u/>
              </w:rPr>
            </w:r>
          </w:p>
        </w:tc>
        <w:tc>
          <w:tcPr>
            <w:tcW w:type="pct" w:w="1250"/>
          </w:tcPr>
          <w:p>
            <w:pPr>
              <w:pBdr/>
              <w:ind/>
            </w:pPr>
            <w:r>
              <w:rPr>
                <w:u w:color="auto"/>
                <w:sz w:val="32"/>
                <w:rFonts w:eastAsia="仿宋_GB2312" w:ascii="仿宋_GB2312" w:hAnsi="仿宋_GB2312" w:cs="仿宋_GB2312"/>
              </w:rPr>
              <w:t>-32.16</w:t>
            </w:r>
            <w:r>
              <w:rPr>
                <w:u/>
              </w:rPr>
            </w:r>
          </w:p>
        </w:tc>
        <w:tc>
          <w:tcPr>
            <w:tcW w:type="pct" w:w="1250"/>
          </w:tcPr>
          <w:p>
            <w:pPr>
              <w:pBdr/>
              <w:ind/>
            </w:pPr>
            <w:r>
              <w:rPr>
                <w:u w:color="auto"/>
                <w:sz w:val="32"/>
                <w:rFonts w:eastAsia="仿宋_GB2312" w:ascii="仿宋_GB2312" w:hAnsi="仿宋_GB2312" w:cs="仿宋_GB2312"/>
              </w:rPr>
              <w:t>-43851.34</w:t>
            </w:r>
            <w:r>
              <w:rPr>
                <w:u/>
              </w:rPr>
            </w:r>
          </w:p>
        </w:tc>
      </w:tr>
      <w:tr>
        <w:tc>
          <w:tcPr>
            <w:tcW w:type="pct" w:w="1250"/>
          </w:tcPr>
          <w:p>
            <w:pPr>
              <w:pBdr/>
              <w:ind/>
            </w:pPr>
            <w:r>
              <w:rPr>
                <w:u w:color="auto"/>
                <w:sz w:val="32"/>
                <w:rFonts w:eastAsia="仿宋_GB2312" w:ascii="仿宋_GB2312" w:hAnsi="仿宋_GB2312" w:cs="仿宋_GB2312"/>
              </w:rPr>
              <w:t>市直二部</w:t>
            </w:r>
            <w:r>
              <w:rPr>
                <w:u/>
              </w:rPr>
            </w:r>
          </w:p>
        </w:tc>
        <w:tc>
          <w:tcPr>
            <w:tcW w:type="pct" w:w="1250"/>
          </w:tcPr>
          <w:p>
            <w:pPr>
              <w:pBdr/>
              <w:ind/>
            </w:pPr>
            <w:r>
              <w:rPr>
                <w:u w:color="auto"/>
                <w:sz w:val="32"/>
                <w:rFonts w:eastAsia="仿宋_GB2312" w:ascii="仿宋_GB2312" w:hAnsi="仿宋_GB2312" w:cs="仿宋_GB2312"/>
              </w:rPr>
              <w:t>21791.99</w:t>
            </w:r>
            <w:r>
              <w:rPr>
                <w:u/>
              </w:rPr>
            </w:r>
          </w:p>
        </w:tc>
        <w:tc>
          <w:tcPr>
            <w:tcW w:type="pct" w:w="1250"/>
          </w:tcPr>
          <w:p>
            <w:pPr>
              <w:pBdr/>
              <w:ind/>
            </w:pPr>
            <w:r>
              <w:rPr>
                <w:u w:color="auto"/>
                <w:sz w:val="32"/>
                <w:rFonts w:eastAsia="仿宋_GB2312" w:ascii="仿宋_GB2312" w:hAnsi="仿宋_GB2312" w:cs="仿宋_GB2312"/>
              </w:rPr>
              <w:t>-58.04</w:t>
            </w:r>
            <w:r>
              <w:rPr>
                <w:u/>
              </w:rPr>
            </w:r>
          </w:p>
        </w:tc>
        <w:tc>
          <w:tcPr>
            <w:tcW w:type="pct" w:w="1250"/>
          </w:tcPr>
          <w:p>
            <w:pPr>
              <w:pBdr/>
              <w:ind/>
            </w:pPr>
            <w:r>
              <w:rPr>
                <w:u w:color="auto"/>
                <w:sz w:val="32"/>
                <w:rFonts w:eastAsia="仿宋_GB2312" w:ascii="仿宋_GB2312" w:hAnsi="仿宋_GB2312" w:cs="仿宋_GB2312"/>
              </w:rPr>
              <w:t>-30146.83</w:t>
            </w:r>
            <w:r>
              <w:rPr>
                <w:u/>
              </w:rPr>
            </w:r>
          </w:p>
        </w:tc>
      </w:tr>
      <w:tr>
        <w:tc>
          <w:tcPr>
            <w:tcW w:type="pct" w:w="1250"/>
          </w:tcPr>
          <w:p>
            <w:pPr>
              <w:pBdr/>
              <w:ind/>
            </w:pPr>
            <w:r>
              <w:rPr>
                <w:u w:color="auto"/>
                <w:sz w:val="32"/>
                <w:rFonts w:eastAsia="仿宋_GB2312" w:ascii="仿宋_GB2312" w:hAnsi="仿宋_GB2312" w:cs="仿宋_GB2312"/>
              </w:rPr>
              <w:t>合计</w:t>
            </w:r>
            <w:r>
              <w:rPr>
                <w:u/>
              </w:rPr>
            </w:r>
          </w:p>
        </w:tc>
        <w:tc>
          <w:tcPr>
            <w:tcW w:type="pct" w:w="1250"/>
          </w:tcPr>
          <w:p>
            <w:pPr>
              <w:pBdr/>
              <w:ind/>
            </w:pPr>
            <w:r>
              <w:rPr>
                <w:u w:color="auto"/>
                <w:sz w:val="32"/>
                <w:rFonts w:eastAsia="仿宋_GB2312" w:ascii="仿宋_GB2312" w:hAnsi="仿宋_GB2312" w:cs="仿宋_GB2312"/>
              </w:rPr>
              <w:t>419370.52</w:t>
            </w:r>
            <w:r>
              <w:rPr>
                <w:u/>
              </w:rPr>
            </w:r>
          </w:p>
        </w:tc>
        <w:tc>
          <w:tcPr>
            <w:tcW w:type="pct" w:w="1250"/>
          </w:tcPr>
          <w:p>
            <w:pPr>
              <w:pBdr/>
              <w:ind/>
            </w:pPr>
            <w:r>
              <w:rPr>
                <w:u w:color="auto"/>
                <w:sz w:val="32"/>
                <w:rFonts w:eastAsia="仿宋_GB2312" w:ascii="仿宋_GB2312" w:hAnsi="仿宋_GB2312" w:cs="仿宋_GB2312"/>
              </w:rPr>
              <w:t>-28.45</w:t>
            </w:r>
            <w:r>
              <w:rPr>
                <w:u/>
              </w:rPr>
            </w:r>
          </w:p>
        </w:tc>
        <w:tc>
          <w:tcPr>
            <w:tcW w:type="pct" w:w="1250"/>
          </w:tcPr>
          <w:p>
            <w:pPr>
              <w:pBdr/>
              <w:ind/>
            </w:pPr>
            <w:r>
              <w:rPr>
                <w:u w:color="auto"/>
                <w:sz w:val="32"/>
                <w:rFonts w:eastAsia="仿宋_GB2312" w:ascii="仿宋_GB2312" w:hAnsi="仿宋_GB2312" w:cs="仿宋_GB2312"/>
              </w:rPr>
              <w:t>-166788.61</w:t>
            </w:r>
            <w:r>
              <w:rPr>
                <w:u/>
              </w:rPr>
            </w:r>
          </w:p>
        </w:tc>
      </w:tr>
    </w:tbl>
    <w:p w14:paraId="74B6C236">
      <w:pPr>
        <w:spacing w:line="560" w:lineRule="exact"/>
        <w:ind w:firstLine="640" w:firstLineChars="200"/>
        <w:rPr>
          <w:rFonts w:ascii="仿宋_GB2312" w:eastAsia="仿宋_GB2312"/>
          <w:sz w:val="32"/>
          <w:szCs w:val="32"/>
        </w:rPr>
      </w:pPr>
      <w:r>
        <w:rPr>
          <w:rFonts w:ascii="仿宋_GB2312" w:eastAsia="仿宋_GB2312"/>
          <w:sz w:val="32"/>
          <w:szCs w:val="32"/>
          <w:u/>
        </w:rPr>
        <w:t>3. 开展</w:t>
      </w:r>
      <w:r>
        <w:rPr>
          <w:rFonts w:ascii="仿宋_GB2312" w:eastAsia="仿宋_GB2312"/>
          <w:sz w:val="32"/>
          <w:u w:color="auto"/>
        </w:rPr>
        <w:t>2026</w:t>
      </w:r>
      <w:r>
        <w:rPr>
          <w:rFonts w:ascii="仿宋_GB2312" w:eastAsia="仿宋_GB2312"/>
          <w:sz w:val="32"/>
          <w:u w:color="auto"/>
        </w:rPr>
        <w:t>年度基数调整后，各分支机构归集增长情况高低不均，多数分支机构基数调整后归集变动不大。环比增长率最高为</w:t>
      </w:r>
      <w:r>
        <w:rPr>
          <w:rFonts w:hint="eastAsia" w:ascii="仿宋_GB2312" w:eastAsia="仿宋_GB2312"/>
          <w:sz w:val="32"/>
          <w:szCs w:val="32"/>
        </w:rPr>
        <w:t>高新区管理部</w:t>
      </w:r>
      <w:r>
        <w:rPr>
          <w:rFonts w:hint="eastAsia" w:ascii="仿宋_GB2312" w:eastAsia="仿宋_GB2312"/>
          <w:sz w:val="32"/>
          <w:szCs w:val="32"/>
        </w:rPr>
        <w:t>-49.1</w:t>
      </w:r>
      <w:r>
        <w:rPr>
          <w:rFonts w:ascii="仿宋_GB2312" w:eastAsia="仿宋_GB2312"/>
          <w:sz w:val="32"/>
          <w:szCs w:val="32"/>
          <w:u/>
        </w:rPr>
        <w:t>%，环比增长率最低为</w:t>
      </w:r>
      <w:r>
        <w:rPr>
          <w:rFonts w:ascii="仿宋_GB2312" w:eastAsia="仿宋_GB2312"/>
          <w:sz w:val="32"/>
          <w:u w:color="auto"/>
        </w:rPr>
        <w:t>滕州分中心</w:t>
      </w:r>
      <w:r>
        <w:rPr>
          <w:rFonts w:ascii="仿宋_GB2312" w:eastAsia="仿宋_GB2312"/>
          <w:sz w:val="32"/>
          <w:u w:color="auto"/>
        </w:rPr>
        <w:t>-62.94</w:t>
      </w:r>
      <w:r>
        <w:rPr>
          <w:rFonts w:ascii="仿宋_GB2312" w:eastAsia="仿宋_GB2312"/>
          <w:sz w:val="32"/>
          <w:u w:color="auto"/>
        </w:rPr>
        <w:t>%。</w:t>
      </w:r>
    </w:p>
    <w:p w14:paraId="2245780C">
      <w:pPr>
        <w:spacing w:line="560" w:lineRule="exact"/>
        <w:ind w:firstLine="562" w:firstLineChars="200"/>
        <w:rPr>
          <w:rFonts w:ascii="仿宋_GB2312" w:eastAsia="仿宋_GB2312"/>
          <w:sz w:val="32"/>
          <w:szCs w:val="32"/>
        </w:rPr>
      </w:pPr>
      <w:r>
        <w:rPr>
          <w:rFonts w:ascii="宋体" w:hAnsi="宋体" w:eastAsia="宋体"/>
          <w:b/>
          <w:bCs/>
          <w:sz w:val="28"/>
          <w:szCs w:val="28"/>
          <w:u/>
        </w:rPr>
        <w:t>2026</w:t>
      </w:r>
      <w:r>
        <w:rPr>
          <w:b w:val="on"/>
          <w:rFonts w:ascii="宋体" w:eastAsia="宋体" w:hAnsi="宋体"/>
          <w:sz w:val="28"/>
          <w:u w:color="auto"/>
        </w:rPr>
        <w:t>年各分支机构基数调整后归集变动情况表（单位：万元）</w:t>
      </w:r>
    </w:p>
    <w:tbl>
      <w:tblPr>
        <w:tblW w:w="5000" w:type="pct"/>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type="dxa" w:w="107"/>
          <w:right w:type="dxa" w:w="107"/>
        </w:tblCellMar>
      </w:tblPr>
      <w:tblGrid>
        <w:gridCol w:w="1661"/>
        <w:gridCol w:w="1661"/>
        <w:gridCol w:w="1661"/>
        <w:gridCol w:w="1661"/>
        <w:gridCol w:w="1661"/>
      </w:tblGrid>
      <w:tr>
        <w:tc>
          <w:tcPr>
            <w:tcW w:type="pct" w:w="1000"/>
          </w:tcPr>
          <w:p>
            <w:pPr>
              <w:pBdr/>
              <w:ind/>
            </w:pPr>
            <w:r>
              <w:rPr>
                <w:u w:color="auto"/>
                <w:sz w:val="32"/>
                <w:rFonts w:eastAsia="仿宋_GB2312" w:ascii="仿宋_GB2312" w:hAnsi="仿宋_GB2312" w:cs="仿宋_GB2312"/>
              </w:rPr>
              <w:t>机构</w:t>
            </w:r>
            <w:r>
              <w:rPr>
                <w:u/>
              </w:rPr>
            </w:r>
          </w:p>
        </w:tc>
        <w:tc>
          <w:tcPr>
            <w:tcW w:type="pct" w:w="1000"/>
          </w:tcPr>
          <w:p>
            <w:pPr>
              <w:pBdr/>
              <w:ind/>
            </w:pPr>
            <w:r>
              <w:rPr>
                <w:u w:color="auto"/>
                <w:sz w:val="32"/>
                <w:rFonts w:eastAsia="仿宋_GB2312" w:ascii="仿宋_GB2312" w:hAnsi="仿宋_GB2312" w:cs="仿宋_GB2312"/>
              </w:rPr>
              <w:t>下半年月均归集</w:t>
            </w:r>
            <w:r>
              <w:rPr>
                <w:u/>
              </w:rPr>
            </w:r>
          </w:p>
        </w:tc>
        <w:tc>
          <w:tcPr>
            <w:tcW w:type="pct" w:w="1000"/>
          </w:tcPr>
          <w:p>
            <w:pPr>
              <w:pBdr/>
              <w:ind/>
            </w:pPr>
            <w:r>
              <w:rPr>
                <w:u w:color="auto"/>
                <w:sz w:val="32"/>
                <w:rFonts w:eastAsia="仿宋_GB2312" w:ascii="仿宋_GB2312" w:hAnsi="仿宋_GB2312" w:cs="仿宋_GB2312"/>
              </w:rPr>
              <w:t>上半年月均归集</w:t>
            </w:r>
            <w:r>
              <w:rPr>
                <w:u/>
              </w:rPr>
            </w:r>
          </w:p>
        </w:tc>
        <w:tc>
          <w:tcPr>
            <w:tcW w:type="pct" w:w="1000"/>
          </w:tcPr>
          <w:p>
            <w:pPr>
              <w:pBdr/>
              <w:ind/>
            </w:pPr>
            <w:r>
              <w:rPr>
                <w:u w:color="auto"/>
                <w:sz w:val="32"/>
                <w:rFonts w:eastAsia="仿宋_GB2312" w:ascii="仿宋_GB2312" w:hAnsi="仿宋_GB2312" w:cs="仿宋_GB2312"/>
              </w:rPr>
              <w:t>月均归集增长额</w:t>
            </w:r>
            <w:r>
              <w:rPr>
                <w:u/>
              </w:rPr>
            </w:r>
          </w:p>
        </w:tc>
        <w:tc>
          <w:tcPr>
            <w:tcW w:type="pct" w:w="1000"/>
          </w:tcPr>
          <w:p>
            <w:pPr>
              <w:pBdr/>
              <w:ind/>
            </w:pPr>
            <w:r>
              <w:rPr>
                <w:u w:color="auto"/>
                <w:sz w:val="32"/>
                <w:rFonts w:eastAsia="仿宋_GB2312" w:ascii="仿宋_GB2312" w:hAnsi="仿宋_GB2312" w:cs="仿宋_GB2312"/>
              </w:rPr>
              <w:t>环比增长率</w:t>
            </w:r>
            <w:r>
              <w:rPr>
                <w:u/>
              </w:rPr>
            </w:r>
          </w:p>
        </w:tc>
      </w:tr>
      <w:tr>
        <w:tc>
          <w:tcPr>
            <w:tcW w:type="pct" w:w="1000"/>
          </w:tcPr>
          <w:p>
            <w:pPr>
              <w:pBdr/>
              <w:ind/>
            </w:pPr>
            <w:r>
              <w:rPr>
                <w:u w:color="auto"/>
                <w:sz w:val="32"/>
                <w:rFonts w:eastAsia="仿宋_GB2312" w:ascii="仿宋_GB2312" w:hAnsi="仿宋_GB2312" w:cs="仿宋_GB2312"/>
              </w:rPr>
              <w:t>市中管理部</w:t>
            </w:r>
            <w:r>
              <w:rPr>
                <w:u/>
              </w:rPr>
            </w:r>
          </w:p>
        </w:tc>
        <w:tc>
          <w:tcPr>
            <w:tcW w:type="pct" w:w="1000"/>
          </w:tcPr>
          <w:p>
            <w:pPr>
              <w:pBdr/>
              <w:ind/>
            </w:pPr>
            <w:r>
              <w:rPr>
                <w:u w:color="auto"/>
                <w:sz w:val="32"/>
                <w:rFonts w:eastAsia="仿宋_GB2312" w:ascii="仿宋_GB2312" w:hAnsi="仿宋_GB2312" w:cs="仿宋_GB2312"/>
              </w:rPr>
              <w:t>1327.49</w:t>
            </w:r>
            <w:r>
              <w:rPr>
                <w:u/>
              </w:rPr>
            </w:r>
          </w:p>
        </w:tc>
        <w:tc>
          <w:tcPr>
            <w:tcW w:type="pct" w:w="1000"/>
          </w:tcPr>
          <w:p>
            <w:pPr>
              <w:pBdr/>
              <w:ind/>
            </w:pPr>
            <w:r>
              <w:rPr>
                <w:u w:color="auto"/>
                <w:sz w:val="32"/>
                <w:rFonts w:eastAsia="仿宋_GB2312" w:ascii="仿宋_GB2312" w:hAnsi="仿宋_GB2312" w:cs="仿宋_GB2312"/>
              </w:rPr>
              <w:t>2925.36</w:t>
            </w:r>
            <w:r>
              <w:rPr>
                <w:u/>
              </w:rPr>
            </w:r>
          </w:p>
        </w:tc>
        <w:tc>
          <w:tcPr>
            <w:tcW w:type="pct" w:w="1000"/>
          </w:tcPr>
          <w:p>
            <w:pPr>
              <w:pBdr/>
              <w:ind/>
            </w:pPr>
            <w:r>
              <w:rPr>
                <w:u w:color="auto"/>
                <w:sz w:val="32"/>
                <w:rFonts w:eastAsia="仿宋_GB2312" w:ascii="仿宋_GB2312" w:hAnsi="仿宋_GB2312" w:cs="仿宋_GB2312"/>
              </w:rPr>
              <w:t>2126.42</w:t>
            </w:r>
            <w:r>
              <w:rPr>
                <w:u/>
              </w:rPr>
            </w:r>
          </w:p>
        </w:tc>
        <w:tc>
          <w:tcPr>
            <w:tcW w:type="pct" w:w="1000"/>
          </w:tcPr>
          <w:p>
            <w:pPr>
              <w:pBdr/>
              <w:ind/>
            </w:pPr>
            <w:r>
              <w:rPr>
                <w:u w:color="auto"/>
                <w:sz w:val="32"/>
                <w:rFonts w:eastAsia="仿宋_GB2312" w:ascii="仿宋_GB2312" w:hAnsi="仿宋_GB2312" w:cs="仿宋_GB2312"/>
              </w:rPr>
              <w:t>-21.27</w:t>
            </w:r>
            <w:r>
              <w:rPr>
                <w:u/>
              </w:rPr>
            </w:r>
          </w:p>
        </w:tc>
      </w:tr>
      <w:tr>
        <w:tc>
          <w:tcPr>
            <w:tcW w:type="pct" w:w="1000"/>
          </w:tcPr>
          <w:p>
            <w:pPr>
              <w:pBdr/>
              <w:ind/>
            </w:pPr>
            <w:r>
              <w:rPr>
                <w:u w:color="auto"/>
                <w:sz w:val="32"/>
                <w:rFonts w:eastAsia="仿宋_GB2312" w:ascii="仿宋_GB2312" w:hAnsi="仿宋_GB2312" w:cs="仿宋_GB2312"/>
              </w:rPr>
              <w:t>峄城管理部</w:t>
            </w:r>
            <w:r>
              <w:rPr>
                <w:u/>
              </w:rPr>
            </w:r>
          </w:p>
        </w:tc>
        <w:tc>
          <w:tcPr>
            <w:tcW w:type="pct" w:w="1000"/>
          </w:tcPr>
          <w:p>
            <w:pPr>
              <w:pBdr/>
              <w:ind/>
            </w:pPr>
            <w:r>
              <w:rPr>
                <w:u w:color="auto"/>
                <w:sz w:val="32"/>
                <w:rFonts w:eastAsia="仿宋_GB2312" w:ascii="仿宋_GB2312" w:hAnsi="仿宋_GB2312" w:cs="仿宋_GB2312"/>
              </w:rPr>
              <w:t>1617.57</w:t>
            </w:r>
            <w:r>
              <w:rPr>
                <w:u/>
              </w:rPr>
            </w:r>
          </w:p>
        </w:tc>
        <w:tc>
          <w:tcPr>
            <w:tcW w:type="pct" w:w="1000"/>
          </w:tcPr>
          <w:p>
            <w:pPr>
              <w:pBdr/>
              <w:ind/>
            </w:pPr>
            <w:r>
              <w:rPr>
                <w:u w:color="auto"/>
                <w:sz w:val="32"/>
                <w:rFonts w:eastAsia="仿宋_GB2312" w:ascii="仿宋_GB2312" w:hAnsi="仿宋_GB2312" w:cs="仿宋_GB2312"/>
              </w:rPr>
              <w:t>3538.06</w:t>
            </w:r>
            <w:r>
              <w:rPr>
                <w:u/>
              </w:rPr>
            </w:r>
          </w:p>
        </w:tc>
        <w:tc>
          <w:tcPr>
            <w:tcW w:type="pct" w:w="1000"/>
          </w:tcPr>
          <w:p>
            <w:pPr>
              <w:pBdr/>
              <w:ind/>
            </w:pPr>
            <w:r>
              <w:rPr>
                <w:u w:color="auto"/>
                <w:sz w:val="32"/>
                <w:rFonts w:eastAsia="仿宋_GB2312" w:ascii="仿宋_GB2312" w:hAnsi="仿宋_GB2312" w:cs="仿宋_GB2312"/>
              </w:rPr>
              <w:t>2577.82</w:t>
            </w:r>
            <w:r>
              <w:rPr>
                <w:u/>
              </w:rPr>
            </w:r>
          </w:p>
        </w:tc>
        <w:tc>
          <w:tcPr>
            <w:tcW w:type="pct" w:w="1000"/>
          </w:tcPr>
          <w:p>
            <w:pPr>
              <w:pBdr/>
              <w:ind/>
            </w:pPr>
            <w:r>
              <w:rPr>
                <w:u w:color="auto"/>
                <w:sz w:val="32"/>
                <w:rFonts w:eastAsia="仿宋_GB2312" w:ascii="仿宋_GB2312" w:hAnsi="仿宋_GB2312" w:cs="仿宋_GB2312"/>
              </w:rPr>
              <w:t>-18.11</w:t>
            </w:r>
            <w:r>
              <w:rPr>
                <w:u/>
              </w:rPr>
            </w:r>
          </w:p>
        </w:tc>
      </w:tr>
      <w:tr>
        <w:tc>
          <w:tcPr>
            <w:tcW w:type="pct" w:w="1000"/>
          </w:tcPr>
          <w:p>
            <w:pPr>
              <w:pBdr/>
              <w:ind/>
            </w:pPr>
            <w:r>
              <w:rPr>
                <w:u w:color="auto"/>
                <w:sz w:val="32"/>
                <w:rFonts w:eastAsia="仿宋_GB2312" w:ascii="仿宋_GB2312" w:hAnsi="仿宋_GB2312" w:cs="仿宋_GB2312"/>
              </w:rPr>
              <w:t>山亭管理部</w:t>
            </w:r>
            <w:r>
              <w:rPr>
                <w:u/>
              </w:rPr>
            </w:r>
          </w:p>
        </w:tc>
        <w:tc>
          <w:tcPr>
            <w:tcW w:type="pct" w:w="1000"/>
          </w:tcPr>
          <w:p>
            <w:pPr>
              <w:pBdr/>
              <w:ind/>
            </w:pPr>
            <w:r>
              <w:rPr>
                <w:u w:color="auto"/>
                <w:sz w:val="32"/>
                <w:rFonts w:eastAsia="仿宋_GB2312" w:ascii="仿宋_GB2312" w:hAnsi="仿宋_GB2312" w:cs="仿宋_GB2312"/>
              </w:rPr>
              <w:t>1050.93</w:t>
            </w:r>
            <w:r>
              <w:rPr>
                <w:u/>
              </w:rPr>
            </w:r>
          </w:p>
        </w:tc>
        <w:tc>
          <w:tcPr>
            <w:tcW w:type="pct" w:w="1000"/>
          </w:tcPr>
          <w:p>
            <w:pPr>
              <w:pBdr/>
              <w:ind/>
            </w:pPr>
            <w:r>
              <w:rPr>
                <w:u w:color="auto"/>
                <w:sz w:val="32"/>
                <w:rFonts w:eastAsia="仿宋_GB2312" w:ascii="仿宋_GB2312" w:hAnsi="仿宋_GB2312" w:cs="仿宋_GB2312"/>
              </w:rPr>
              <w:t>2362.76</w:t>
            </w:r>
            <w:r>
              <w:rPr>
                <w:u/>
              </w:rPr>
            </w:r>
          </w:p>
        </w:tc>
        <w:tc>
          <w:tcPr>
            <w:tcW w:type="pct" w:w="1000"/>
          </w:tcPr>
          <w:p>
            <w:pPr>
              <w:pBdr/>
              <w:ind/>
            </w:pPr>
            <w:r>
              <w:rPr>
                <w:u w:color="auto"/>
                <w:sz w:val="32"/>
                <w:rFonts w:eastAsia="仿宋_GB2312" w:ascii="仿宋_GB2312" w:hAnsi="仿宋_GB2312" w:cs="仿宋_GB2312"/>
              </w:rPr>
              <w:t>1706.85</w:t>
            </w:r>
            <w:r>
              <w:rPr>
                <w:u/>
              </w:rPr>
            </w:r>
          </w:p>
        </w:tc>
        <w:tc>
          <w:tcPr>
            <w:tcW w:type="pct" w:w="1000"/>
          </w:tcPr>
          <w:p>
            <w:pPr>
              <w:pBdr/>
              <w:ind/>
            </w:pPr>
            <w:r>
              <w:rPr>
                <w:u w:color="auto"/>
                <w:sz w:val="32"/>
                <w:rFonts w:eastAsia="仿宋_GB2312" w:ascii="仿宋_GB2312" w:hAnsi="仿宋_GB2312" w:cs="仿宋_GB2312"/>
              </w:rPr>
              <w:t>-19.5</w:t>
            </w:r>
            <w:r>
              <w:rPr>
                <w:u/>
              </w:rPr>
            </w:r>
          </w:p>
        </w:tc>
      </w:tr>
      <w:tr>
        <w:tc>
          <w:tcPr>
            <w:tcW w:type="pct" w:w="1000"/>
          </w:tcPr>
          <w:p>
            <w:pPr>
              <w:pBdr/>
              <w:ind/>
            </w:pPr>
            <w:r>
              <w:rPr>
                <w:u w:color="auto"/>
                <w:sz w:val="32"/>
                <w:rFonts w:eastAsia="仿宋_GB2312" w:ascii="仿宋_GB2312" w:hAnsi="仿宋_GB2312" w:cs="仿宋_GB2312"/>
              </w:rPr>
              <w:t>台儿庄管理部</w:t>
            </w:r>
            <w:r>
              <w:rPr>
                <w:u/>
              </w:rPr>
            </w:r>
          </w:p>
        </w:tc>
        <w:tc>
          <w:tcPr>
            <w:tcW w:type="pct" w:w="1000"/>
          </w:tcPr>
          <w:p>
            <w:pPr>
              <w:pBdr/>
              <w:ind/>
            </w:pPr>
            <w:r>
              <w:rPr>
                <w:u w:color="auto"/>
                <w:sz w:val="32"/>
                <w:rFonts w:eastAsia="仿宋_GB2312" w:ascii="仿宋_GB2312" w:hAnsi="仿宋_GB2312" w:cs="仿宋_GB2312"/>
              </w:rPr>
              <w:t>1311.8</w:t>
            </w:r>
            <w:r>
              <w:rPr>
                <w:u/>
              </w:rPr>
            </w:r>
          </w:p>
        </w:tc>
        <w:tc>
          <w:tcPr>
            <w:tcW w:type="pct" w:w="1000"/>
          </w:tcPr>
          <w:p>
            <w:pPr>
              <w:pBdr/>
              <w:ind/>
            </w:pPr>
            <w:r>
              <w:rPr>
                <w:u w:color="auto"/>
                <w:sz w:val="32"/>
                <w:rFonts w:eastAsia="仿宋_GB2312" w:ascii="仿宋_GB2312" w:hAnsi="仿宋_GB2312" w:cs="仿宋_GB2312"/>
              </w:rPr>
              <w:t>2823.15</w:t>
            </w:r>
            <w:r>
              <w:rPr>
                <w:u/>
              </w:rPr>
            </w:r>
          </w:p>
        </w:tc>
        <w:tc>
          <w:tcPr>
            <w:tcW w:type="pct" w:w="1000"/>
          </w:tcPr>
          <w:p>
            <w:pPr>
              <w:pBdr/>
              <w:ind/>
            </w:pPr>
            <w:r>
              <w:rPr>
                <w:u w:color="auto"/>
                <w:sz w:val="32"/>
                <w:rFonts w:eastAsia="仿宋_GB2312" w:ascii="仿宋_GB2312" w:hAnsi="仿宋_GB2312" w:cs="仿宋_GB2312"/>
              </w:rPr>
              <w:t>2067.48</w:t>
            </w:r>
            <w:r>
              <w:rPr>
                <w:u/>
              </w:rPr>
            </w:r>
          </w:p>
        </w:tc>
        <w:tc>
          <w:tcPr>
            <w:tcW w:type="pct" w:w="1000"/>
          </w:tcPr>
          <w:p>
            <w:pPr>
              <w:pBdr/>
              <w:ind/>
            </w:pPr>
            <w:r>
              <w:rPr>
                <w:u w:color="auto"/>
                <w:sz w:val="32"/>
                <w:rFonts w:eastAsia="仿宋_GB2312" w:ascii="仿宋_GB2312" w:hAnsi="仿宋_GB2312" w:cs="仿宋_GB2312"/>
              </w:rPr>
              <w:t>-21.87</w:t>
            </w:r>
            <w:r>
              <w:rPr>
                <w:u/>
              </w:rPr>
            </w:r>
          </w:p>
        </w:tc>
      </w:tr>
      <w:tr>
        <w:tc>
          <w:tcPr>
            <w:tcW w:type="pct" w:w="1000"/>
          </w:tcPr>
          <w:p>
            <w:pPr>
              <w:pBdr/>
              <w:ind/>
            </w:pPr>
            <w:r>
              <w:rPr>
                <w:u w:color="auto"/>
                <w:sz w:val="32"/>
                <w:rFonts w:eastAsia="仿宋_GB2312" w:ascii="仿宋_GB2312" w:hAnsi="仿宋_GB2312" w:cs="仿宋_GB2312"/>
              </w:rPr>
              <w:t>薛城管理部</w:t>
            </w:r>
            <w:r>
              <w:rPr>
                <w:u/>
              </w:rPr>
            </w:r>
          </w:p>
        </w:tc>
        <w:tc>
          <w:tcPr>
            <w:tcW w:type="pct" w:w="1000"/>
          </w:tcPr>
          <w:p>
            <w:pPr>
              <w:pBdr/>
              <w:ind/>
            </w:pPr>
            <w:r>
              <w:rPr>
                <w:u w:color="auto"/>
                <w:sz w:val="32"/>
                <w:rFonts w:eastAsia="仿宋_GB2312" w:ascii="仿宋_GB2312" w:hAnsi="仿宋_GB2312" w:cs="仿宋_GB2312"/>
              </w:rPr>
              <w:t>877.29</w:t>
            </w:r>
            <w:r>
              <w:rPr>
                <w:u/>
              </w:rPr>
            </w:r>
          </w:p>
        </w:tc>
        <w:tc>
          <w:tcPr>
            <w:tcW w:type="pct" w:w="1000"/>
          </w:tcPr>
          <w:p>
            <w:pPr>
              <w:pBdr/>
              <w:ind/>
            </w:pPr>
            <w:r>
              <w:rPr>
                <w:u w:color="auto"/>
                <w:sz w:val="32"/>
                <w:rFonts w:eastAsia="仿宋_GB2312" w:ascii="仿宋_GB2312" w:hAnsi="仿宋_GB2312" w:cs="仿宋_GB2312"/>
              </w:rPr>
              <w:t>2280.71</w:t>
            </w:r>
            <w:r>
              <w:rPr>
                <w:u/>
              </w:rPr>
            </w:r>
          </w:p>
        </w:tc>
        <w:tc>
          <w:tcPr>
            <w:tcW w:type="pct" w:w="1000"/>
          </w:tcPr>
          <w:p>
            <w:pPr>
              <w:pBdr/>
              <w:ind/>
            </w:pPr>
            <w:r>
              <w:rPr>
                <w:u w:color="auto"/>
                <w:sz w:val="32"/>
                <w:rFonts w:eastAsia="仿宋_GB2312" w:ascii="仿宋_GB2312" w:hAnsi="仿宋_GB2312" w:cs="仿宋_GB2312"/>
              </w:rPr>
              <w:t>1579</w:t>
            </w:r>
            <w:r>
              <w:rPr>
                <w:u/>
              </w:rPr>
            </w:r>
          </w:p>
        </w:tc>
        <w:tc>
          <w:tcPr>
            <w:tcW w:type="pct" w:w="1000"/>
          </w:tcPr>
          <w:p>
            <w:pPr>
              <w:pBdr/>
              <w:ind/>
            </w:pPr>
            <w:r>
              <w:rPr>
                <w:u w:color="auto"/>
                <w:sz w:val="32"/>
                <w:rFonts w:eastAsia="仿宋_GB2312" w:ascii="仿宋_GB2312" w:hAnsi="仿宋_GB2312" w:cs="仿宋_GB2312"/>
              </w:rPr>
              <w:t>-45.87</w:t>
            </w:r>
            <w:r>
              <w:rPr>
                <w:u/>
              </w:rPr>
            </w:r>
          </w:p>
        </w:tc>
      </w:tr>
      <w:tr>
        <w:tc>
          <w:tcPr>
            <w:tcW w:type="pct" w:w="1000"/>
          </w:tcPr>
          <w:p>
            <w:pPr>
              <w:pBdr/>
              <w:ind/>
            </w:pPr>
            <w:r>
              <w:rPr>
                <w:u w:color="auto"/>
                <w:sz w:val="32"/>
                <w:rFonts w:eastAsia="仿宋_GB2312" w:ascii="仿宋_GB2312" w:hAnsi="仿宋_GB2312" w:cs="仿宋_GB2312"/>
              </w:rPr>
              <w:t>滕州分中心</w:t>
            </w:r>
            <w:r>
              <w:rPr>
                <w:u/>
              </w:rPr>
            </w:r>
          </w:p>
        </w:tc>
        <w:tc>
          <w:tcPr>
            <w:tcW w:type="pct" w:w="1000"/>
          </w:tcPr>
          <w:p>
            <w:pPr>
              <w:pBdr/>
              <w:ind/>
            </w:pPr>
            <w:r>
              <w:rPr>
                <w:u w:color="auto"/>
                <w:sz w:val="32"/>
                <w:rFonts w:eastAsia="仿宋_GB2312" w:ascii="仿宋_GB2312" w:hAnsi="仿宋_GB2312" w:cs="仿宋_GB2312"/>
              </w:rPr>
              <w:t>4379.39</w:t>
            </w:r>
            <w:r>
              <w:rPr>
                <w:u/>
              </w:rPr>
            </w:r>
          </w:p>
        </w:tc>
        <w:tc>
          <w:tcPr>
            <w:tcW w:type="pct" w:w="1000"/>
          </w:tcPr>
          <w:p>
            <w:pPr>
              <w:pBdr/>
              <w:ind/>
            </w:pPr>
            <w:r>
              <w:rPr>
                <w:u w:color="auto"/>
                <w:sz w:val="32"/>
                <w:rFonts w:eastAsia="仿宋_GB2312" w:ascii="仿宋_GB2312" w:hAnsi="仿宋_GB2312" w:cs="仿宋_GB2312"/>
              </w:rPr>
              <w:t>11816.12</w:t>
            </w:r>
            <w:r>
              <w:rPr>
                <w:u/>
              </w:rPr>
            </w:r>
          </w:p>
        </w:tc>
        <w:tc>
          <w:tcPr>
            <w:tcW w:type="pct" w:w="1000"/>
          </w:tcPr>
          <w:p>
            <w:pPr>
              <w:pBdr/>
              <w:ind/>
            </w:pPr>
            <w:r>
              <w:rPr>
                <w:u w:color="auto"/>
                <w:sz w:val="32"/>
                <w:rFonts w:eastAsia="仿宋_GB2312" w:ascii="仿宋_GB2312" w:hAnsi="仿宋_GB2312" w:cs="仿宋_GB2312"/>
              </w:rPr>
              <w:t>8097.76</w:t>
            </w:r>
            <w:r>
              <w:rPr>
                <w:u/>
              </w:rPr>
            </w:r>
          </w:p>
        </w:tc>
        <w:tc>
          <w:tcPr>
            <w:tcW w:type="pct" w:w="1000"/>
          </w:tcPr>
          <w:p>
            <w:pPr>
              <w:pBdr/>
              <w:ind/>
            </w:pPr>
            <w:r>
              <w:rPr>
                <w:u w:color="auto"/>
                <w:sz w:val="32"/>
                <w:rFonts w:eastAsia="仿宋_GB2312" w:ascii="仿宋_GB2312" w:hAnsi="仿宋_GB2312" w:cs="仿宋_GB2312"/>
              </w:rPr>
              <w:t>-17.87</w:t>
            </w:r>
            <w:r>
              <w:rPr>
                <w:u/>
              </w:rPr>
            </w:r>
          </w:p>
        </w:tc>
      </w:tr>
      <w:tr>
        <w:tc>
          <w:tcPr>
            <w:tcW w:type="pct" w:w="1000"/>
          </w:tcPr>
          <w:p>
            <w:pPr>
              <w:pBdr/>
              <w:ind/>
            </w:pPr>
            <w:r>
              <w:rPr>
                <w:u w:color="auto"/>
                <w:sz w:val="32"/>
                <w:rFonts w:eastAsia="仿宋_GB2312" w:ascii="仿宋_GB2312" w:hAnsi="仿宋_GB2312" w:cs="仿宋_GB2312"/>
              </w:rPr>
              <w:t>枣矿分中心</w:t>
            </w:r>
            <w:r>
              <w:rPr>
                <w:u/>
              </w:rPr>
            </w:r>
          </w:p>
        </w:tc>
        <w:tc>
          <w:tcPr>
            <w:tcW w:type="pct" w:w="1000"/>
          </w:tcPr>
          <w:p>
            <w:pPr>
              <w:pBdr/>
              <w:ind/>
            </w:pPr>
            <w:r>
              <w:rPr>
                <w:u w:color="auto"/>
                <w:sz w:val="32"/>
                <w:rFonts w:eastAsia="仿宋_GB2312" w:ascii="仿宋_GB2312" w:hAnsi="仿宋_GB2312" w:cs="仿宋_GB2312"/>
              </w:rPr>
              <w:t>3882.61</w:t>
            </w:r>
            <w:r>
              <w:rPr>
                <w:u/>
              </w:rPr>
            </w:r>
          </w:p>
        </w:tc>
        <w:tc>
          <w:tcPr>
            <w:tcW w:type="pct" w:w="1000"/>
          </w:tcPr>
          <w:p>
            <w:pPr>
              <w:pBdr/>
              <w:ind/>
            </w:pPr>
            <w:r>
              <w:rPr>
                <w:u w:color="auto"/>
                <w:sz w:val="32"/>
                <w:rFonts w:eastAsia="仿宋_GB2312" w:ascii="仿宋_GB2312" w:hAnsi="仿宋_GB2312" w:cs="仿宋_GB2312"/>
              </w:rPr>
              <w:t>8948.12</w:t>
            </w:r>
            <w:r>
              <w:rPr>
                <w:u/>
              </w:rPr>
            </w:r>
          </w:p>
        </w:tc>
        <w:tc>
          <w:tcPr>
            <w:tcW w:type="pct" w:w="1000"/>
          </w:tcPr>
          <w:p>
            <w:pPr>
              <w:pBdr/>
              <w:ind/>
            </w:pPr>
            <w:r>
              <w:rPr>
                <w:u w:color="auto"/>
                <w:sz w:val="32"/>
                <w:rFonts w:eastAsia="仿宋_GB2312" w:ascii="仿宋_GB2312" w:hAnsi="仿宋_GB2312" w:cs="仿宋_GB2312"/>
              </w:rPr>
              <w:t>6415.37</w:t>
            </w:r>
            <w:r>
              <w:rPr>
                <w:u/>
              </w:rPr>
            </w:r>
          </w:p>
        </w:tc>
        <w:tc>
          <w:tcPr>
            <w:tcW w:type="pct" w:w="1000"/>
          </w:tcPr>
          <w:p>
            <w:pPr>
              <w:pBdr/>
              <w:ind/>
            </w:pPr>
            <w:r>
              <w:rPr>
                <w:u w:color="auto"/>
                <w:sz w:val="32"/>
                <w:rFonts w:eastAsia="仿宋_GB2312" w:ascii="仿宋_GB2312" w:hAnsi="仿宋_GB2312" w:cs="仿宋_GB2312"/>
              </w:rPr>
              <w:t>-26.14</w:t>
            </w:r>
            <w:r>
              <w:rPr>
                <w:u/>
              </w:rPr>
            </w:r>
          </w:p>
        </w:tc>
      </w:tr>
      <w:tr>
        <w:tc>
          <w:tcPr>
            <w:tcW w:type="pct" w:w="1000"/>
          </w:tcPr>
          <w:p>
            <w:pPr>
              <w:pBdr/>
              <w:ind/>
            </w:pPr>
            <w:r>
              <w:rPr>
                <w:u w:color="auto"/>
                <w:sz w:val="32"/>
                <w:rFonts w:eastAsia="仿宋_GB2312" w:ascii="仿宋_GB2312" w:hAnsi="仿宋_GB2312" w:cs="仿宋_GB2312"/>
              </w:rPr>
              <w:t>高新区管理部</w:t>
            </w:r>
            <w:r>
              <w:rPr>
                <w:u/>
              </w:rPr>
            </w:r>
          </w:p>
        </w:tc>
        <w:tc>
          <w:tcPr>
            <w:tcW w:type="pct" w:w="1000"/>
          </w:tcPr>
          <w:p>
            <w:pPr>
              <w:pBdr/>
              <w:ind/>
            </w:pPr>
            <w:r>
              <w:rPr>
                <w:u w:color="auto"/>
                <w:sz w:val="32"/>
                <w:rFonts w:eastAsia="仿宋_GB2312" w:ascii="仿宋_GB2312" w:hAnsi="仿宋_GB2312" w:cs="仿宋_GB2312"/>
              </w:rPr>
              <w:t>574.19</w:t>
            </w:r>
            <w:r>
              <w:rPr>
                <w:u/>
              </w:rPr>
            </w:r>
          </w:p>
        </w:tc>
        <w:tc>
          <w:tcPr>
            <w:tcW w:type="pct" w:w="1000"/>
          </w:tcPr>
          <w:p>
            <w:pPr>
              <w:pBdr/>
              <w:ind/>
            </w:pPr>
            <w:r>
              <w:rPr>
                <w:u w:color="auto"/>
                <w:sz w:val="32"/>
                <w:rFonts w:eastAsia="仿宋_GB2312" w:ascii="仿宋_GB2312" w:hAnsi="仿宋_GB2312" w:cs="仿宋_GB2312"/>
              </w:rPr>
              <w:t>1128.09</w:t>
            </w:r>
            <w:r>
              <w:rPr>
                <w:u/>
              </w:rPr>
            </w:r>
          </w:p>
        </w:tc>
        <w:tc>
          <w:tcPr>
            <w:tcW w:type="pct" w:w="1000"/>
          </w:tcPr>
          <w:p>
            <w:pPr>
              <w:pBdr/>
              <w:ind/>
            </w:pPr>
            <w:r>
              <w:rPr>
                <w:u w:color="auto"/>
                <w:sz w:val="32"/>
                <w:rFonts w:eastAsia="仿宋_GB2312" w:ascii="仿宋_GB2312" w:hAnsi="仿宋_GB2312" w:cs="仿宋_GB2312"/>
              </w:rPr>
              <w:t>851.14</w:t>
            </w:r>
            <w:r>
              <w:rPr>
                <w:u/>
              </w:rPr>
            </w:r>
          </w:p>
        </w:tc>
        <w:tc>
          <w:tcPr>
            <w:tcW w:type="pct" w:w="1000"/>
          </w:tcPr>
          <w:p>
            <w:pPr>
              <w:pBdr/>
              <w:ind/>
            </w:pPr>
            <w:r>
              <w:rPr>
                <w:u w:color="auto"/>
                <w:sz w:val="32"/>
                <w:rFonts w:eastAsia="仿宋_GB2312" w:ascii="仿宋_GB2312" w:hAnsi="仿宋_GB2312" w:cs="仿宋_GB2312"/>
              </w:rPr>
              <w:t>-20.93</w:t>
            </w:r>
            <w:r>
              <w:rPr>
                <w:u/>
              </w:rPr>
            </w:r>
          </w:p>
        </w:tc>
      </w:tr>
      <w:tr>
        <w:tc>
          <w:tcPr>
            <w:tcW w:type="pct" w:w="1000"/>
          </w:tcPr>
          <w:p>
            <w:pPr>
              <w:pBdr/>
              <w:ind/>
            </w:pPr>
            <w:r>
              <w:rPr>
                <w:u w:color="auto"/>
                <w:sz w:val="32"/>
                <w:rFonts w:eastAsia="仿宋_GB2312" w:ascii="仿宋_GB2312" w:hAnsi="仿宋_GB2312" w:cs="仿宋_GB2312"/>
              </w:rPr>
              <w:t>市直一部</w:t>
            </w:r>
            <w:r>
              <w:rPr>
                <w:u/>
              </w:rPr>
            </w:r>
          </w:p>
        </w:tc>
        <w:tc>
          <w:tcPr>
            <w:tcW w:type="pct" w:w="1000"/>
          </w:tcPr>
          <w:p>
            <w:pPr>
              <w:pBdr/>
              <w:ind/>
            </w:pPr>
            <w:r>
              <w:rPr>
                <w:u w:color="auto"/>
                <w:sz w:val="32"/>
                <w:rFonts w:eastAsia="仿宋_GB2312" w:ascii="仿宋_GB2312" w:hAnsi="仿宋_GB2312" w:cs="仿宋_GB2312"/>
              </w:rPr>
              <w:t>4921.54</w:t>
            </w:r>
            <w:r>
              <w:rPr>
                <w:u/>
              </w:rPr>
            </w:r>
          </w:p>
        </w:tc>
        <w:tc>
          <w:tcPr>
            <w:tcW w:type="pct" w:w="1000"/>
          </w:tcPr>
          <w:p>
            <w:pPr>
              <w:pBdr/>
              <w:ind/>
            </w:pPr>
            <w:r>
              <w:rPr>
                <w:u w:color="auto"/>
                <w:sz w:val="32"/>
                <w:rFonts w:eastAsia="仿宋_GB2312" w:ascii="仿宋_GB2312" w:hAnsi="仿宋_GB2312" w:cs="仿宋_GB2312"/>
              </w:rPr>
              <w:t>10497.9</w:t>
            </w:r>
            <w:r>
              <w:rPr>
                <w:u/>
              </w:rPr>
            </w:r>
          </w:p>
        </w:tc>
        <w:tc>
          <w:tcPr>
            <w:tcW w:type="pct" w:w="1000"/>
          </w:tcPr>
          <w:p>
            <w:pPr>
              <w:pBdr/>
              <w:ind/>
            </w:pPr>
            <w:r>
              <w:rPr>
                <w:u w:color="auto"/>
                <w:sz w:val="32"/>
                <w:rFonts w:eastAsia="仿宋_GB2312" w:ascii="仿宋_GB2312" w:hAnsi="仿宋_GB2312" w:cs="仿宋_GB2312"/>
              </w:rPr>
              <w:t>7709.72</w:t>
            </w:r>
            <w:r>
              <w:rPr>
                <w:u/>
              </w:rPr>
            </w:r>
          </w:p>
        </w:tc>
        <w:tc>
          <w:tcPr>
            <w:tcW w:type="pct" w:w="1000"/>
          </w:tcPr>
          <w:p>
            <w:pPr>
              <w:pBdr/>
              <w:ind/>
            </w:pPr>
            <w:r>
              <w:rPr>
                <w:u w:color="auto"/>
                <w:sz w:val="32"/>
                <w:rFonts w:eastAsia="仿宋_GB2312" w:ascii="仿宋_GB2312" w:hAnsi="仿宋_GB2312" w:cs="仿宋_GB2312"/>
              </w:rPr>
              <w:t>-32.16</w:t>
            </w:r>
            <w:r>
              <w:rPr>
                <w:u/>
              </w:rPr>
            </w:r>
          </w:p>
        </w:tc>
      </w:tr>
      <w:tr>
        <w:tc>
          <w:tcPr>
            <w:tcW w:type="pct" w:w="1000"/>
          </w:tcPr>
          <w:p>
            <w:pPr>
              <w:pBdr/>
              <w:ind/>
            </w:pPr>
            <w:r>
              <w:rPr>
                <w:u w:color="auto"/>
                <w:sz w:val="32"/>
                <w:rFonts w:eastAsia="仿宋_GB2312" w:ascii="仿宋_GB2312" w:hAnsi="仿宋_GB2312" w:cs="仿宋_GB2312"/>
              </w:rPr>
              <w:t>市直二部</w:t>
            </w:r>
            <w:r>
              <w:rPr>
                <w:u/>
              </w:rPr>
            </w:r>
          </w:p>
        </w:tc>
        <w:tc>
          <w:tcPr>
            <w:tcW w:type="pct" w:w="1000"/>
          </w:tcPr>
          <w:p>
            <w:pPr>
              <w:pBdr/>
              <w:ind/>
            </w:pPr>
            <w:r>
              <w:rPr>
                <w:u w:color="auto"/>
                <w:sz w:val="32"/>
                <w:rFonts w:eastAsia="仿宋_GB2312" w:ascii="仿宋_GB2312" w:hAnsi="仿宋_GB2312" w:cs="仿宋_GB2312"/>
              </w:rPr>
              <w:t>1124.99</w:t>
            </w:r>
            <w:r>
              <w:rPr>
                <w:u/>
              </w:rPr>
            </w:r>
          </w:p>
        </w:tc>
        <w:tc>
          <w:tcPr>
            <w:tcW w:type="pct" w:w="1000"/>
          </w:tcPr>
          <w:p>
            <w:pPr>
              <w:pBdr/>
              <w:ind/>
            </w:pPr>
            <w:r>
              <w:rPr>
                <w:u w:color="auto"/>
                <w:sz w:val="32"/>
                <w:rFonts w:eastAsia="仿宋_GB2312" w:ascii="仿宋_GB2312" w:hAnsi="仿宋_GB2312" w:cs="仿宋_GB2312"/>
              </w:rPr>
              <w:t>2507</w:t>
            </w:r>
            <w:r>
              <w:rPr>
                <w:u/>
              </w:rPr>
            </w:r>
          </w:p>
        </w:tc>
        <w:tc>
          <w:tcPr>
            <w:tcW w:type="pct" w:w="1000"/>
          </w:tcPr>
          <w:p>
            <w:pPr>
              <w:pBdr/>
              <w:ind/>
            </w:pPr>
            <w:r>
              <w:rPr>
                <w:u w:color="auto"/>
                <w:sz w:val="32"/>
                <w:rFonts w:eastAsia="仿宋_GB2312" w:ascii="仿宋_GB2312" w:hAnsi="仿宋_GB2312" w:cs="仿宋_GB2312"/>
              </w:rPr>
              <w:t>1816</w:t>
            </w:r>
            <w:r>
              <w:rPr>
                <w:u/>
              </w:rPr>
            </w:r>
          </w:p>
        </w:tc>
        <w:tc>
          <w:tcPr>
            <w:tcW w:type="pct" w:w="1000"/>
          </w:tcPr>
          <w:p>
            <w:pPr>
              <w:pBdr/>
              <w:ind/>
            </w:pPr>
            <w:r>
              <w:rPr>
                <w:u w:color="auto"/>
                <w:sz w:val="32"/>
                <w:rFonts w:eastAsia="仿宋_GB2312" w:ascii="仿宋_GB2312" w:hAnsi="仿宋_GB2312" w:cs="仿宋_GB2312"/>
              </w:rPr>
              <w:t>-58.04</w:t>
            </w:r>
            <w:r>
              <w:rPr>
                <w:u/>
              </w:rPr>
            </w:r>
          </w:p>
        </w:tc>
      </w:tr>
    </w:tbl>
    <w:p w14:paraId="522EAA3D">
      <w:pPr>
        <w:spacing w:line="560" w:lineRule="exact"/>
        <w:ind w:firstLine="643" w:firstLineChars="200"/>
        <w:rPr>
          <w:rFonts w:ascii="仿宋_GB2312" w:eastAsia="仿宋_GB2312"/>
          <w:sz w:val="32"/>
          <w:szCs w:val="32"/>
        </w:rPr>
      </w:pPr>
      <w:r>
        <w:rPr>
          <w:rFonts w:hint="eastAsia" w:ascii="楷体_GB2312" w:eastAsia="楷体_GB2312"/>
          <w:b/>
          <w:sz w:val="32"/>
          <w:szCs w:val="32"/>
        </w:rPr>
        <w:t>（二）住房公积金提取。</w:t>
      </w:r>
      <w:r>
        <w:rPr>
          <w:rFonts w:hint="eastAsia" w:ascii="仿宋_GB2312" w:eastAsia="仿宋_GB2312"/>
          <w:sz w:val="32"/>
          <w:szCs w:val="32"/>
        </w:rPr>
        <w:t>全市提取住房公积金</w:t>
      </w:r>
      <w:r>
        <w:rPr>
          <w:rFonts w:ascii="仿宋_GB2312" w:eastAsia="仿宋_GB2312"/>
          <w:sz w:val="32"/>
          <w:szCs w:val="32"/>
          <w:u/>
        </w:rPr>
        <w:t>29.02</w:t>
      </w:r>
      <w:r>
        <w:rPr>
          <w:rFonts w:ascii="仿宋_GB2312" w:eastAsia="仿宋_GB2312"/>
          <w:sz w:val="32"/>
          <w:u w:color="auto"/>
        </w:rPr>
        <w:t>亿元，同比增长</w:t>
      </w:r>
      <w:r>
        <w:rPr>
          <w:rFonts w:ascii="仿宋_GB2312" w:eastAsia="仿宋_GB2312"/>
          <w:sz w:val="32"/>
          <w:u w:color="auto"/>
        </w:rPr>
        <w:t>-22.16</w:t>
      </w:r>
      <w:r>
        <w:rPr>
          <w:rFonts w:ascii="仿宋_GB2312" w:eastAsia="仿宋_GB2312"/>
          <w:sz w:val="32"/>
          <w:u w:color="auto"/>
        </w:rPr>
        <w:t>%，近三年平均增长率</w:t>
      </w:r>
      <w:r>
        <w:rPr>
          <w:rFonts w:ascii="仿宋_GB2312" w:eastAsia="仿宋_GB2312"/>
          <w:sz w:val="32"/>
          <w:u w:color="auto"/>
        </w:rPr>
        <w:t>3.74</w:t>
      </w:r>
      <w:r>
        <w:rPr>
          <w:rFonts w:ascii="仿宋_GB2312" w:eastAsia="仿宋_GB2312"/>
          <w:sz w:val="32"/>
          <w:u w:color="auto"/>
        </w:rPr>
        <w:t>%。提取占归集额比例为</w:t>
      </w:r>
      <w:r>
        <w:rPr>
          <w:rFonts w:ascii="仿宋_GB2312" w:eastAsia="仿宋_GB2312"/>
          <w:sz w:val="32"/>
          <w:u w:color="auto"/>
        </w:rPr>
        <w:t>74.91</w:t>
      </w:r>
      <w:r>
        <w:rPr>
          <w:rFonts w:ascii="仿宋_GB2312" w:eastAsia="仿宋_GB2312"/>
          <w:sz w:val="32"/>
          <w:u w:color="auto"/>
        </w:rPr>
        <w:t>%，较上一年占比</w:t>
      </w:r>
      <w:r>
        <w:rPr>
          <w:rFonts w:ascii="仿宋_GB2312" w:eastAsia="仿宋_GB2312"/>
          <w:sz w:val="32"/>
          <w:u w:color="auto"/>
        </w:rPr>
        <w:t>上升</w:t>
      </w:r>
      <w:r>
        <w:rPr>
          <w:rFonts w:ascii="仿宋_GB2312" w:eastAsia="仿宋_GB2312"/>
          <w:sz w:val="32"/>
          <w:u w:color="auto"/>
        </w:rPr>
        <w:t>8.02</w:t>
      </w:r>
      <w:r>
        <w:rPr>
          <w:rFonts w:ascii="仿宋_GB2312" w:eastAsia="仿宋_GB2312"/>
          <w:sz w:val="32"/>
          <w:u w:color="auto"/>
        </w:rPr>
        <w:t>%，月均提取金额</w:t>
      </w:r>
      <w:r>
        <w:rPr>
          <w:rFonts w:ascii="仿宋_GB2312" w:eastAsia="仿宋_GB2312"/>
          <w:sz w:val="32"/>
          <w:u w:color="auto"/>
        </w:rPr>
        <w:t>2.42</w:t>
      </w:r>
      <w:r>
        <w:rPr>
          <w:rFonts w:ascii="仿宋_GB2312" w:eastAsia="仿宋_GB2312"/>
          <w:sz w:val="32"/>
          <w:u w:color="auto"/>
        </w:rPr>
        <w:t>亿元。</w:t>
      </w:r>
    </w:p>
    <w:p w14:paraId="6345C8D7">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2" name="图表 2" descr="{{tqqst}}"/>
            <wp:cNvGraphicFramePr/>
            <a:graphic xmlns:a="http://schemas.openxmlformats.org/drawingml/2006/main">
              <a:graphicData uri="http://schemas.openxmlformats.org/drawingml/2006/chart">
                <c:chart xmlns:c="http://schemas.openxmlformats.org/drawingml/2006/chart" r:id="rId7"/>
              </a:graphicData>
            </a:graphic>
          </wp:inline>
        </w:drawing>
      </w:r>
    </w:p>
    <w:p w14:paraId="0736C26A">
      <w:pPr>
        <w:spacing w:line="560" w:lineRule="exact"/>
        <w:jc w:val="center"/>
        <w:rPr>
          <w:rFonts w:ascii="宋体" w:hAnsi="宋体" w:eastAsia="宋体"/>
          <w:b/>
          <w:bCs/>
          <w:sz w:val="28"/>
          <w:szCs w:val="28"/>
        </w:rPr>
      </w:pPr>
      <w:r>
        <w:rPr>
          <w:rFonts w:ascii="宋体" w:hAnsi="宋体" w:eastAsia="宋体"/>
          <w:b/>
          <w:bCs/>
          <w:sz w:val="28"/>
          <w:szCs w:val="28"/>
          <w:u/>
        </w:rPr>
        <w:t>2026</w:t>
      </w:r>
      <w:r>
        <w:rPr>
          <w:b w:val="on"/>
          <w:rFonts w:ascii="宋体" w:eastAsia="宋体" w:hAnsi="宋体"/>
          <w:sz w:val="28"/>
          <w:u w:color="auto"/>
        </w:rPr>
        <w:t>年住房公积金提取事项分类表</w:t>
      </w:r>
    </w:p>
    <w:tbl>
      <w:tblPr>
        <w:tblW w:w="5000" w:type="pct"/>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type="dxa" w:w="107"/>
          <w:right w:type="dxa" w:w="107"/>
        </w:tblCellMar>
      </w:tblPr>
      <w:tblGrid>
        <w:gridCol w:w="2076"/>
        <w:gridCol w:w="2076"/>
        <w:gridCol w:w="2076"/>
        <w:gridCol w:w="2076"/>
      </w:tblGrid>
      <w:tr>
        <w:tc>
          <w:tcPr>
            <w:tcW w:type="pct" w:w="1250"/>
          </w:tcPr>
          <w:p>
            <w:pPr>
              <w:pBdr/>
              <w:ind/>
            </w:pPr>
            <w:r>
              <w:rPr>
                <w:u w:color="auto"/>
                <w:sz w:val="32"/>
                <w:rFonts w:eastAsia="仿宋_GB2312" w:ascii="仿宋_GB2312" w:hAnsi="仿宋_GB2312" w:cs="仿宋_GB2312"/>
              </w:rPr>
              <w:t>提取事项</w:t>
            </w:r>
            <w:r>
              <w:rPr>
                <w:u/>
              </w:rPr>
            </w:r>
          </w:p>
        </w:tc>
        <w:tc>
          <w:tcPr>
            <w:tcW w:type="pct" w:w="1250"/>
          </w:tcPr>
          <w:p>
            <w:pPr>
              <w:pBdr/>
              <w:ind/>
            </w:pPr>
            <w:r>
              <w:rPr>
                <w:u w:color="auto"/>
                <w:sz w:val="32"/>
                <w:rFonts w:eastAsia="仿宋_GB2312" w:ascii="仿宋_GB2312" w:hAnsi="仿宋_GB2312" w:cs="仿宋_GB2312"/>
              </w:rPr>
              <w:t>金额（万元）</w:t>
            </w:r>
            <w:r>
              <w:rPr>
                <w:u/>
              </w:rPr>
            </w:r>
          </w:p>
        </w:tc>
        <w:tc>
          <w:tcPr>
            <w:tcW w:type="pct" w:w="1250"/>
          </w:tcPr>
          <w:p>
            <w:pPr>
              <w:pBdr/>
              <w:ind/>
            </w:pPr>
            <w:r>
              <w:rPr>
                <w:u w:color="auto"/>
                <w:sz w:val="32"/>
                <w:rFonts w:eastAsia="仿宋_GB2312" w:ascii="仿宋_GB2312" w:hAnsi="仿宋_GB2312" w:cs="仿宋_GB2312"/>
              </w:rPr>
              <w:t>占比</w:t>
            </w:r>
            <w:r>
              <w:rPr>
                <w:u/>
              </w:rPr>
            </w:r>
          </w:p>
        </w:tc>
        <w:tc>
          <w:tcPr>
            <w:tcW w:type="pct" w:w="1250"/>
          </w:tcPr>
          <w:p>
            <w:pPr>
              <w:pBdr/>
              <w:ind/>
            </w:pPr>
            <w:r>
              <w:rPr>
                <w:u w:color="auto"/>
                <w:sz w:val="32"/>
                <w:rFonts w:eastAsia="仿宋_GB2312" w:ascii="仿宋_GB2312" w:hAnsi="仿宋_GB2312" w:cs="仿宋_GB2312"/>
              </w:rPr>
              <w:t>同比增长率</w:t>
            </w:r>
            <w:r>
              <w:rPr>
                <w:u/>
              </w:rPr>
            </w:r>
          </w:p>
        </w:tc>
      </w:tr>
      <w:tr>
        <w:tc>
          <w:tcPr>
            <w:tcW w:type="pct" w:w="1250"/>
          </w:tcPr>
          <w:p>
            <w:pPr>
              <w:pBdr/>
              <w:ind/>
            </w:pPr>
            <w:r>
              <w:rPr>
                <w:u w:color="auto"/>
                <w:sz w:val="32"/>
                <w:rFonts w:eastAsia="仿宋_GB2312" w:ascii="仿宋_GB2312" w:hAnsi="仿宋_GB2312" w:cs="仿宋_GB2312"/>
              </w:rPr>
              <w:t>购建房提取</w:t>
            </w:r>
            <w:r>
              <w:rPr>
                <w:u/>
              </w:rPr>
            </w:r>
          </w:p>
        </w:tc>
        <w:tc>
          <w:tcPr>
            <w:tcW w:type="pct" w:w="1250"/>
          </w:tcPr>
          <w:p>
            <w:pPr>
              <w:pBdr/>
              <w:ind/>
            </w:pPr>
            <w:r>
              <w:rPr>
                <w:u w:color="auto"/>
                <w:sz w:val="32"/>
                <w:rFonts w:eastAsia="仿宋_GB2312" w:ascii="仿宋_GB2312" w:hAnsi="仿宋_GB2312" w:cs="仿宋_GB2312"/>
              </w:rPr>
              <w:t>54622.53</w:t>
            </w:r>
            <w:r>
              <w:rPr>
                <w:u/>
              </w:rPr>
            </w:r>
          </w:p>
        </w:tc>
        <w:tc>
          <w:tcPr>
            <w:tcW w:type="pct" w:w="1250"/>
          </w:tcPr>
          <w:p>
            <w:pPr>
              <w:pBdr/>
              <w:ind/>
            </w:pPr>
            <w:r>
              <w:rPr>
                <w:u w:color="auto"/>
                <w:sz w:val="32"/>
                <w:rFonts w:eastAsia="仿宋_GB2312" w:ascii="仿宋_GB2312" w:hAnsi="仿宋_GB2312" w:cs="仿宋_GB2312"/>
              </w:rPr>
              <w:t>18.82</w:t>
            </w:r>
            <w:r>
              <w:rPr>
                <w:u/>
              </w:rPr>
            </w:r>
          </w:p>
        </w:tc>
        <w:tc>
          <w:tcPr>
            <w:tcW w:type="pct" w:w="1250"/>
          </w:tcPr>
          <w:p>
            <w:pPr>
              <w:pBdr/>
              <w:ind/>
            </w:pPr>
            <w:r>
              <w:rPr>
                <w:u w:color="auto"/>
                <w:sz w:val="32"/>
                <w:rFonts w:eastAsia="仿宋_GB2312" w:ascii="仿宋_GB2312" w:hAnsi="仿宋_GB2312" w:cs="仿宋_GB2312"/>
              </w:rPr>
              <w:t>-11.59%</w:t>
            </w:r>
            <w:r>
              <w:rPr>
                <w:u/>
              </w:rPr>
            </w:r>
          </w:p>
        </w:tc>
      </w:tr>
      <w:tr>
        <w:tc>
          <w:tcPr>
            <w:tcW w:type="pct" w:w="1250"/>
          </w:tcPr>
          <w:p>
            <w:pPr>
              <w:pBdr/>
              <w:ind/>
            </w:pPr>
            <w:r>
              <w:rPr>
                <w:u w:color="auto"/>
                <w:sz w:val="32"/>
                <w:rFonts w:eastAsia="仿宋_GB2312" w:ascii="仿宋_GB2312" w:hAnsi="仿宋_GB2312" w:cs="仿宋_GB2312"/>
              </w:rPr>
              <w:t>离休、退休提取</w:t>
            </w:r>
            <w:r>
              <w:rPr>
                <w:u/>
              </w:rPr>
            </w:r>
          </w:p>
        </w:tc>
        <w:tc>
          <w:tcPr>
            <w:tcW w:type="pct" w:w="1250"/>
          </w:tcPr>
          <w:p>
            <w:pPr>
              <w:pBdr/>
              <w:ind/>
            </w:pPr>
            <w:r>
              <w:rPr>
                <w:u w:color="auto"/>
                <w:sz w:val="32"/>
                <w:rFonts w:eastAsia="仿宋_GB2312" w:ascii="仿宋_GB2312" w:hAnsi="仿宋_GB2312" w:cs="仿宋_GB2312"/>
              </w:rPr>
              <w:t>72780.39</w:t>
            </w:r>
            <w:r>
              <w:rPr>
                <w:u/>
              </w:rPr>
            </w:r>
          </w:p>
        </w:tc>
        <w:tc>
          <w:tcPr>
            <w:tcW w:type="pct" w:w="1250"/>
          </w:tcPr>
          <w:p>
            <w:pPr>
              <w:pBdr/>
              <w:ind/>
            </w:pPr>
            <w:r>
              <w:rPr>
                <w:u w:color="auto"/>
                <w:sz w:val="32"/>
                <w:rFonts w:eastAsia="仿宋_GB2312" w:ascii="仿宋_GB2312" w:hAnsi="仿宋_GB2312" w:cs="仿宋_GB2312"/>
              </w:rPr>
              <w:t>25.08</w:t>
            </w:r>
            <w:r>
              <w:rPr>
                <w:u/>
              </w:rPr>
            </w:r>
          </w:p>
        </w:tc>
        <w:tc>
          <w:tcPr>
            <w:tcW w:type="pct" w:w="1250"/>
          </w:tcPr>
          <w:p>
            <w:pPr>
              <w:pBdr/>
              <w:ind/>
            </w:pPr>
            <w:r>
              <w:rPr>
                <w:u w:color="auto"/>
                <w:sz w:val="32"/>
                <w:rFonts w:eastAsia="仿宋_GB2312" w:ascii="仿宋_GB2312" w:hAnsi="仿宋_GB2312" w:cs="仿宋_GB2312"/>
              </w:rPr>
              <w:t>-16.73%</w:t>
            </w:r>
            <w:r>
              <w:rPr>
                <w:u/>
              </w:rPr>
            </w:r>
          </w:p>
        </w:tc>
      </w:tr>
      <w:tr>
        <w:tc>
          <w:tcPr>
            <w:tcW w:type="pct" w:w="1250"/>
          </w:tcPr>
          <w:p>
            <w:pPr>
              <w:pBdr/>
              <w:ind/>
            </w:pPr>
            <w:r>
              <w:rPr>
                <w:u w:color="auto"/>
                <w:sz w:val="32"/>
                <w:rFonts w:eastAsia="仿宋_GB2312" w:ascii="仿宋_GB2312" w:hAnsi="仿宋_GB2312" w:cs="仿宋_GB2312"/>
              </w:rPr>
              <w:t>还贷提取</w:t>
            </w:r>
            <w:r>
              <w:rPr>
                <w:u/>
              </w:rPr>
            </w:r>
          </w:p>
        </w:tc>
        <w:tc>
          <w:tcPr>
            <w:tcW w:type="pct" w:w="1250"/>
          </w:tcPr>
          <w:p>
            <w:pPr>
              <w:pBdr/>
              <w:ind/>
            </w:pPr>
            <w:r>
              <w:rPr>
                <w:u w:color="auto"/>
                <w:sz w:val="32"/>
                <w:rFonts w:eastAsia="仿宋_GB2312" w:ascii="仿宋_GB2312" w:hAnsi="仿宋_GB2312" w:cs="仿宋_GB2312"/>
              </w:rPr>
              <w:t>138403.45</w:t>
            </w:r>
            <w:r>
              <w:rPr>
                <w:u/>
              </w:rPr>
            </w:r>
          </w:p>
        </w:tc>
        <w:tc>
          <w:tcPr>
            <w:tcW w:type="pct" w:w="1250"/>
          </w:tcPr>
          <w:p>
            <w:pPr>
              <w:pBdr/>
              <w:ind/>
            </w:pPr>
            <w:r>
              <w:rPr>
                <w:u w:color="auto"/>
                <w:sz w:val="32"/>
                <w:rFonts w:eastAsia="仿宋_GB2312" w:ascii="仿宋_GB2312" w:hAnsi="仿宋_GB2312" w:cs="仿宋_GB2312"/>
              </w:rPr>
              <w:t>47.69</w:t>
            </w:r>
            <w:r>
              <w:rPr>
                <w:u/>
              </w:rPr>
            </w:r>
          </w:p>
        </w:tc>
        <w:tc>
          <w:tcPr>
            <w:tcW w:type="pct" w:w="1250"/>
          </w:tcPr>
          <w:p>
            <w:pPr>
              <w:pBdr/>
              <w:ind/>
            </w:pPr>
            <w:r>
              <w:rPr>
                <w:u w:color="auto"/>
                <w:sz w:val="32"/>
                <w:rFonts w:eastAsia="仿宋_GB2312" w:ascii="仿宋_GB2312" w:hAnsi="仿宋_GB2312" w:cs="仿宋_GB2312"/>
              </w:rPr>
              <w:t>-29.51%</w:t>
            </w:r>
            <w:r>
              <w:rPr>
                <w:u/>
              </w:rPr>
            </w:r>
          </w:p>
        </w:tc>
      </w:tr>
      <w:tr>
        <w:tc>
          <w:tcPr>
            <w:tcW w:type="pct" w:w="1250"/>
          </w:tcPr>
          <w:p>
            <w:pPr>
              <w:pBdr/>
              <w:ind/>
            </w:pPr>
            <w:r>
              <w:rPr>
                <w:u w:color="auto"/>
                <w:sz w:val="32"/>
                <w:rFonts w:eastAsia="仿宋_GB2312" w:ascii="仿宋_GB2312" w:hAnsi="仿宋_GB2312" w:cs="仿宋_GB2312"/>
              </w:rPr>
              <w:t>无房租赁提取</w:t>
            </w:r>
            <w:r>
              <w:rPr>
                <w:u/>
              </w:rPr>
            </w:r>
          </w:p>
        </w:tc>
        <w:tc>
          <w:tcPr>
            <w:tcW w:type="pct" w:w="1250"/>
          </w:tcPr>
          <w:p>
            <w:pPr>
              <w:pBdr/>
              <w:ind/>
            </w:pPr>
            <w:r>
              <w:rPr>
                <w:u w:color="auto"/>
                <w:sz w:val="32"/>
                <w:rFonts w:eastAsia="仿宋_GB2312" w:ascii="仿宋_GB2312" w:hAnsi="仿宋_GB2312" w:cs="仿宋_GB2312"/>
              </w:rPr>
              <w:t>9346.18</w:t>
            </w:r>
            <w:r>
              <w:rPr>
                <w:u/>
              </w:rPr>
            </w:r>
          </w:p>
        </w:tc>
        <w:tc>
          <w:tcPr>
            <w:tcW w:type="pct" w:w="1250"/>
          </w:tcPr>
          <w:p>
            <w:pPr>
              <w:pBdr/>
              <w:ind/>
            </w:pPr>
            <w:r>
              <w:rPr>
                <w:u w:color="auto"/>
                <w:sz w:val="32"/>
                <w:rFonts w:eastAsia="仿宋_GB2312" w:ascii="仿宋_GB2312" w:hAnsi="仿宋_GB2312" w:cs="仿宋_GB2312"/>
              </w:rPr>
              <w:t>3.22</w:t>
            </w:r>
            <w:r>
              <w:rPr>
                <w:u/>
              </w:rPr>
            </w:r>
          </w:p>
        </w:tc>
        <w:tc>
          <w:tcPr>
            <w:tcW w:type="pct" w:w="1250"/>
          </w:tcPr>
          <w:p>
            <w:pPr>
              <w:pBdr/>
              <w:ind/>
            </w:pPr>
            <w:r>
              <w:rPr>
                <w:u w:color="auto"/>
                <w:sz w:val="32"/>
                <w:rFonts w:eastAsia="仿宋_GB2312" w:ascii="仿宋_GB2312" w:hAnsi="仿宋_GB2312" w:cs="仿宋_GB2312"/>
              </w:rPr>
              <w:t>17.06%</w:t>
            </w:r>
            <w:r>
              <w:rPr>
                <w:u/>
              </w:rPr>
            </w:r>
          </w:p>
        </w:tc>
      </w:tr>
      <w:tr>
        <w:tc>
          <w:tcPr>
            <w:tcW w:type="pct" w:w="1250"/>
          </w:tcPr>
          <w:p>
            <w:pPr>
              <w:pBdr/>
              <w:ind/>
            </w:pPr>
            <w:r>
              <w:rPr>
                <w:u w:color="auto"/>
                <w:sz w:val="32"/>
                <w:rFonts w:eastAsia="仿宋_GB2312" w:ascii="仿宋_GB2312" w:hAnsi="仿宋_GB2312" w:cs="仿宋_GB2312"/>
              </w:rPr>
              <w:t>其他</w:t>
            </w:r>
            <w:r>
              <w:rPr>
                <w:u/>
              </w:rPr>
            </w:r>
          </w:p>
        </w:tc>
        <w:tc>
          <w:tcPr>
            <w:tcW w:type="pct" w:w="1250"/>
          </w:tcPr>
          <w:p>
            <w:pPr>
              <w:pBdr/>
              <w:ind/>
            </w:pPr>
            <w:r>
              <w:rPr>
                <w:u w:color="auto"/>
                <w:sz w:val="32"/>
                <w:rFonts w:eastAsia="仿宋_GB2312" w:ascii="仿宋_GB2312" w:hAnsi="仿宋_GB2312" w:cs="仿宋_GB2312"/>
              </w:rPr>
              <w:t>15057.37</w:t>
            </w:r>
            <w:r>
              <w:rPr>
                <w:u/>
              </w:rPr>
            </w:r>
          </w:p>
        </w:tc>
        <w:tc>
          <w:tcPr>
            <w:tcW w:type="pct" w:w="1250"/>
          </w:tcPr>
          <w:p>
            <w:pPr>
              <w:pBdr/>
              <w:ind/>
            </w:pPr>
            <w:r>
              <w:rPr>
                <w:u w:color="auto"/>
                <w:sz w:val="32"/>
                <w:rFonts w:eastAsia="仿宋_GB2312" w:ascii="仿宋_GB2312" w:hAnsi="仿宋_GB2312" w:cs="仿宋_GB2312"/>
              </w:rPr>
              <w:t>5.19</w:t>
            </w:r>
            <w:r>
              <w:rPr>
                <w:u/>
              </w:rPr>
            </w:r>
          </w:p>
        </w:tc>
        <w:tc>
          <w:tcPr>
            <w:tcW w:type="pct" w:w="1250"/>
          </w:tcPr>
          <w:p>
            <w:pPr>
              <w:pBdr/>
              <w:ind/>
            </w:pPr>
            <w:r>
              <w:rPr>
                <w:u w:color="auto"/>
                <w:sz w:val="32"/>
                <w:rFonts w:eastAsia="仿宋_GB2312" w:ascii="仿宋_GB2312" w:hAnsi="仿宋_GB2312" w:cs="仿宋_GB2312"/>
              </w:rPr>
              <w:t>-22.08%</w:t>
            </w:r>
            <w:r>
              <w:rPr>
                <w:u/>
              </w:rPr>
            </w:r>
          </w:p>
        </w:tc>
      </w:tr>
      <w:tr>
        <w:tc>
          <w:tcPr>
            <w:tcW w:type="pct" w:w="1250"/>
          </w:tcPr>
          <w:p>
            <w:pPr>
              <w:pBdr/>
              <w:ind/>
            </w:pPr>
            <w:r>
              <w:rPr>
                <w:u w:color="auto"/>
                <w:sz w:val="32"/>
                <w:rFonts w:eastAsia="仿宋_GB2312" w:ascii="仿宋_GB2312" w:hAnsi="仿宋_GB2312" w:cs="仿宋_GB2312"/>
              </w:rPr>
              <w:t>汇总</w:t>
            </w:r>
            <w:r>
              <w:rPr>
                <w:u/>
              </w:rPr>
            </w:r>
          </w:p>
        </w:tc>
        <w:tc>
          <w:tcPr>
            <w:tcW w:type="pct" w:w="1250"/>
          </w:tcPr>
          <w:p>
            <w:pPr>
              <w:pBdr/>
              <w:ind/>
            </w:pPr>
            <w:r>
              <w:rPr>
                <w:u w:color="auto"/>
                <w:sz w:val="32"/>
                <w:rFonts w:eastAsia="仿宋_GB2312" w:ascii="仿宋_GB2312" w:hAnsi="仿宋_GB2312" w:cs="仿宋_GB2312"/>
              </w:rPr>
              <w:t>290209.91</w:t>
            </w:r>
            <w:r>
              <w:rPr>
                <w:u/>
              </w:rPr>
            </w:r>
          </w:p>
        </w:tc>
        <w:tc>
          <w:tcPr>
            <w:tcW w:type="pct" w:w="1250"/>
          </w:tcPr>
          <w:p>
            <w:pPr>
              <w:pBdr/>
              <w:ind/>
            </w:pPr>
            <w:r>
              <w:rPr>
                <w:u w:color="auto"/>
                <w:sz w:val="32"/>
                <w:rFonts w:eastAsia="仿宋_GB2312" w:ascii="仿宋_GB2312" w:hAnsi="仿宋_GB2312" w:cs="仿宋_GB2312"/>
              </w:rPr>
              <w:t>100.00%</w:t>
            </w:r>
            <w:r>
              <w:rPr>
                <w:u/>
              </w:rPr>
            </w:r>
          </w:p>
        </w:tc>
        <w:tc>
          <w:tcPr>
            <w:tcW w:type="pct" w:w="1250"/>
          </w:tcPr>
          <w:p>
            <w:pPr>
              <w:pBdr/>
              <w:ind/>
            </w:pPr>
            <w:r>
              <w:rPr>
                <w:u w:color="auto"/>
                <w:sz w:val="32"/>
                <w:rFonts w:eastAsia="仿宋_GB2312" w:ascii="仿宋_GB2312" w:hAnsi="仿宋_GB2312" w:cs="仿宋_GB2312"/>
              </w:rPr>
              <w:t/>
            </w:r>
            <w:r>
              <w:rPr>
                <w:u/>
              </w:rPr>
            </w:r>
          </w:p>
        </w:tc>
      </w:tr>
    </w:tbl>
    <w:p w14:paraId="09B6F388">
      <w:pPr>
        <w:spacing w:line="560" w:lineRule="exact"/>
        <w:ind w:firstLine="640" w:firstLineChars="200"/>
        <w:rPr>
          <w:rFonts w:ascii="仿宋_GB2312" w:eastAsia="仿宋_GB2312"/>
          <w:sz w:val="32"/>
          <w:szCs w:val="32"/>
        </w:rPr>
      </w:pPr>
      <w:r>
        <w:rPr>
          <w:rFonts w:ascii="仿宋_GB2312" w:eastAsia="仿宋_GB2312"/>
          <w:sz w:val="32"/>
          <w:szCs w:val="32"/>
          <w:u/>
        </w:rPr>
        <w:t>1.购建房提取额同比</w:t>
      </w:r>
      <w:r>
        <w:rPr>
          <w:rFonts w:ascii="仿宋_GB2312" w:eastAsia="仿宋_GB2312"/>
          <w:sz w:val="32"/>
          <w:u w:color="auto"/>
        </w:rPr>
        <w:t>下降</w:t>
      </w:r>
      <w:r>
        <w:rPr>
          <w:rFonts w:ascii="仿宋_GB2312" w:eastAsia="仿宋_GB2312"/>
          <w:sz w:val="32"/>
          <w:u w:color="auto"/>
        </w:rPr>
        <w:t>2.47</w:t>
      </w:r>
      <w:r>
        <w:rPr>
          <w:rFonts w:ascii="仿宋_GB2312" w:eastAsia="仿宋_GB2312"/>
          <w:sz w:val="32"/>
          <w:u w:color="auto"/>
        </w:rPr>
        <w:t>%。</w:t>
      </w:r>
      <w:r>
        <w:rPr>
          <w:rFonts w:hint="eastAsia" w:ascii="仿宋_GB2312" w:eastAsia="仿宋_GB2312"/>
          <w:i/>
          <w:iCs/>
          <w:color w:val="FF0000"/>
          <w:sz w:val="32"/>
          <w:szCs w:val="32"/>
        </w:rPr>
        <w:t>请人工补充分析</w:t>
      </w:r>
      <w:r>
        <w:rPr>
          <w:rFonts w:ascii="仿宋_GB2312" w:eastAsia="仿宋_GB2312"/>
          <w:sz w:val="32"/>
          <w:szCs w:val="32"/>
          <w:u/>
        </w:rPr>
        <w:t>，购建房提取占提取总额的</w:t>
      </w:r>
      <w:r>
        <w:rPr>
          <w:rFonts w:ascii="仿宋_GB2312" w:eastAsia="仿宋_GB2312"/>
          <w:sz w:val="32"/>
          <w:u w:color="auto"/>
        </w:rPr>
        <w:t>18.82</w:t>
      </w:r>
      <w:r>
        <w:rPr>
          <w:rFonts w:ascii="仿宋_GB2312" w:eastAsia="仿宋_GB2312"/>
          <w:sz w:val="32"/>
          <w:u w:color="auto"/>
        </w:rPr>
        <w:t>%。</w:t>
      </w:r>
      <w:r>
        <w:rPr>
          <w:rFonts w:ascii="仿宋_GB2312" w:eastAsia="仿宋_GB2312"/>
          <w:sz w:val="32"/>
          <w:u w:color="auto"/>
        </w:rPr>
        <w:t>1月份占比最低为14.6%</w:t>
      </w:r>
      <w:r>
        <w:rPr>
          <w:rFonts w:ascii="仿宋_GB2312" w:eastAsia="仿宋_GB2312"/>
          <w:sz w:val="32"/>
          <w:u w:color="auto"/>
        </w:rPr>
        <w:t>。</w:t>
      </w:r>
    </w:p>
    <w:p w14:paraId="4AA9543D">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4" name="图表 4" descr="{{jyngftqzbqk}}"/>
            <wp:cNvGraphicFramePr/>
            <a:graphic xmlns:a="http://schemas.openxmlformats.org/drawingml/2006/main">
              <a:graphicData uri="http://schemas.openxmlformats.org/drawingml/2006/chart">
                <c:chart xmlns:c="http://schemas.openxmlformats.org/drawingml/2006/chart" r:id="rId8"/>
              </a:graphicData>
            </a:graphic>
          </wp:inline>
        </w:drawing>
      </w:r>
    </w:p>
    <w:p w14:paraId="5D118BF7">
      <w:pPr>
        <w:spacing w:line="560" w:lineRule="exact"/>
        <w:ind w:firstLine="640" w:firstLineChars="200"/>
        <w:rPr>
          <w:rFonts w:ascii="仿宋_GB2312" w:eastAsia="仿宋_GB2312"/>
          <w:sz w:val="32"/>
          <w:szCs w:val="32"/>
        </w:rPr>
      </w:pPr>
      <w:r>
        <w:rPr>
          <w:rFonts w:ascii="仿宋_GB2312" w:eastAsia="仿宋_GB2312"/>
          <w:sz w:val="32"/>
          <w:szCs w:val="32"/>
          <w:u/>
        </w:rPr>
        <w:t>2.还贷提取额同比</w:t>
      </w:r>
      <w:r>
        <w:rPr>
          <w:rFonts w:ascii="仿宋_GB2312" w:eastAsia="仿宋_GB2312"/>
          <w:sz w:val="32"/>
          <w:u w:color="auto"/>
        </w:rPr>
        <w:t>增长</w:t>
      </w:r>
      <w:r>
        <w:rPr>
          <w:rFonts w:ascii="仿宋_GB2312" w:eastAsia="仿宋_GB2312"/>
          <w:sz w:val="32"/>
          <w:u w:color="auto"/>
        </w:rPr>
        <w:t>70.49</w:t>
      </w:r>
      <w:r>
        <w:rPr>
          <w:rFonts w:ascii="仿宋_GB2312" w:eastAsia="仿宋_GB2312"/>
          <w:sz w:val="32"/>
          <w:u w:color="auto"/>
        </w:rPr>
        <w:t>%。</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05335A7A">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5" name="图表 5" descr="{{jynhdtqqk}}"/>
            <wp:cNvGraphicFramePr/>
            <a:graphic xmlns:a="http://schemas.openxmlformats.org/drawingml/2006/main">
              <a:graphicData uri="http://schemas.openxmlformats.org/drawingml/2006/chart">
                <c:chart xmlns:c="http://schemas.openxmlformats.org/drawingml/2006/chart" r:id="rId9"/>
              </a:graphicData>
            </a:graphic>
          </wp:inline>
        </w:drawing>
      </w:r>
    </w:p>
    <w:p w14:paraId="1E22A256">
      <w:pPr>
        <w:spacing w:line="560" w:lineRule="exact"/>
        <w:ind w:firstLine="640" w:firstLineChars="200"/>
        <w:rPr>
          <w:rFonts w:ascii="仿宋_GB2312" w:eastAsia="仿宋_GB2312"/>
          <w:sz w:val="32"/>
          <w:szCs w:val="32"/>
        </w:rPr>
      </w:pPr>
      <w:r>
        <w:rPr>
          <w:rFonts w:ascii="仿宋_GB2312" w:eastAsia="仿宋_GB2312"/>
          <w:sz w:val="32"/>
          <w:szCs w:val="32"/>
          <w:u/>
        </w:rPr>
        <w:t>3.无房租赁提取金额同比</w:t>
      </w:r>
      <w:r>
        <w:rPr>
          <w:rFonts w:ascii="仿宋_GB2312" w:eastAsia="仿宋_GB2312"/>
          <w:sz w:val="32"/>
          <w:u w:color="auto"/>
        </w:rPr>
        <w:t>增长</w:t>
      </w:r>
      <w:r>
        <w:rPr>
          <w:rFonts w:ascii="仿宋_GB2312" w:eastAsia="仿宋_GB2312"/>
          <w:sz w:val="32"/>
          <w:u w:color="auto"/>
        </w:rPr>
        <w:t>30.27</w:t>
      </w:r>
      <w:r>
        <w:rPr>
          <w:rFonts w:ascii="仿宋_GB2312" w:eastAsia="仿宋_GB2312"/>
          <w:sz w:val="32"/>
          <w:u w:color="auto"/>
        </w:rPr>
        <w:t>%。</w:t>
      </w:r>
      <w:r>
        <w:rPr>
          <w:rFonts w:ascii="仿宋_GB2312" w:eastAsia="仿宋_GB2312"/>
          <w:sz w:val="32"/>
          <w:u w:color="auto"/>
        </w:rPr>
        <w:t>2月份无房租赁提取达到年内峰值</w:t>
      </w:r>
      <w:r>
        <w:rPr>
          <w:rFonts w:ascii="仿宋_GB2312" w:eastAsia="仿宋_GB2312"/>
          <w:sz w:val="32"/>
          <w:u w:color="auto"/>
        </w:rPr>
        <w:t>。</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31BA7092">
      <w:pPr>
        <w:rPr>
          <w:rFonts w:ascii="仿宋_GB2312" w:eastAsia="仿宋_GB2312"/>
          <w:sz w:val="32"/>
          <w:szCs w:val="32"/>
        </w:rPr>
      </w:pPr>
      <w:r>
        <w:rPr>
          <w:rFonts w:hint="eastAsia" w:ascii="楷体_GB2312" w:eastAsia="楷体_GB2312"/>
          <w:b/>
          <w:sz w:val="32"/>
          <w:szCs w:val="32"/>
        </w:rPr>
        <w:drawing>
          <wp:inline distT="0" distB="0" distL="0" distR="0">
            <wp:extent cx="5274310" cy="3076575"/>
            <wp:effectExtent l="5080" t="4445" r="16510" b="5080"/>
            <wp:docPr id="6" name="图表 6" descr="{{jynwfzntqqk}}"/>
            <wp:cNvGraphicFramePr/>
            <a:graphic xmlns:a="http://schemas.openxmlformats.org/drawingml/2006/main">
              <a:graphicData uri="http://schemas.openxmlformats.org/drawingml/2006/chart">
                <c:chart xmlns:c="http://schemas.openxmlformats.org/drawingml/2006/chart" r:id="rId10"/>
              </a:graphicData>
            </a:graphic>
          </wp:inline>
        </w:drawing>
      </w:r>
    </w:p>
    <w:p w14:paraId="587D54C6">
      <w:pPr>
        <w:spacing w:line="560" w:lineRule="exact"/>
        <w:ind w:firstLine="640" w:firstLineChars="200"/>
        <w:rPr>
          <w:rFonts w:ascii="仿宋_GB2312" w:eastAsia="仿宋_GB2312"/>
          <w:sz w:val="32"/>
          <w:szCs w:val="32"/>
        </w:rPr>
      </w:pPr>
      <w:r>
        <w:rPr>
          <w:rFonts w:ascii="仿宋_GB2312" w:eastAsia="仿宋_GB2312"/>
          <w:sz w:val="32"/>
          <w:szCs w:val="32"/>
        </w:rPr>
        <w:t>4.横向比较全省各地住房公积金提取情况，</w:t>
      </w:r>
      <w:r>
        <w:rPr>
          <w:rFonts w:hint="eastAsia" w:ascii="仿宋_GB2312" w:eastAsia="仿宋_GB2312"/>
          <w:sz w:val="32"/>
          <w:szCs w:val="32"/>
          <w:lang w:eastAsia="zh-CN"/>
        </w:rPr>
        <w:t>枣庄</w:t>
      </w:r>
      <w:r>
        <w:rPr>
          <w:rFonts w:ascii="仿宋_GB2312" w:eastAsia="仿宋_GB2312"/>
          <w:sz w:val="32"/>
          <w:szCs w:val="32"/>
          <w:u/>
        </w:rPr>
        <w:t>住房消费提取占提取比例为</w:t>
      </w:r>
      <w:r>
        <w:rPr>
          <w:rFonts w:ascii="仿宋_GB2312" w:eastAsia="仿宋_GB2312"/>
          <w:sz w:val="32"/>
          <w:u w:color="auto"/>
        </w:rPr>
        <w:t>113.22</w:t>
      </w:r>
      <w:r>
        <w:rPr>
          <w:rFonts w:ascii="仿宋_GB2312" w:eastAsia="仿宋_GB2312"/>
          <w:sz w:val="32"/>
          <w:szCs w:val="32"/>
        </w:rPr>
        <w:t>%，在全省排名第</w:t>
      </w:r>
      <w:r>
        <w:rPr>
          <w:rFonts w:ascii="仿宋_GB2312" w:eastAsia="仿宋_GB2312"/>
          <w:color w:val="FF0000"/>
          <w:sz w:val="32"/>
          <w:szCs w:val="32"/>
        </w:rPr>
        <w:t>**</w:t>
      </w:r>
      <w:r>
        <w:rPr>
          <w:rFonts w:ascii="仿宋_GB2312" w:eastAsia="仿宋_GB2312"/>
          <w:sz w:val="32"/>
          <w:szCs w:val="32"/>
        </w:rPr>
        <w:t>位</w:t>
      </w:r>
      <w:r>
        <w:rPr>
          <w:rFonts w:hint="eastAsia" w:ascii="仿宋_GB2312" w:eastAsia="仿宋_GB2312"/>
          <w:sz w:val="32"/>
          <w:szCs w:val="32"/>
        </w:rPr>
        <w:t>。</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5B2A118F">
      <w:pPr>
        <w:spacing w:line="560" w:lineRule="exact"/>
        <w:jc w:val="center"/>
        <w:rPr>
          <w:rFonts w:ascii="宋体" w:hAnsi="宋体" w:eastAsia="宋体"/>
          <w:b/>
          <w:bCs/>
          <w:sz w:val="28"/>
          <w:szCs w:val="28"/>
        </w:rPr>
      </w:pPr>
      <w:r>
        <w:rPr>
          <w:rFonts w:ascii="宋体" w:hAnsi="宋体" w:eastAsia="宋体"/>
          <w:b/>
          <w:bCs/>
          <w:sz w:val="28"/>
          <w:szCs w:val="28"/>
        </w:rPr>
        <w:t>全省各地住房公积金提取情况表</w:t>
      </w:r>
    </w:p>
    <w:p w14:paraId="77F08EC9">
      <w:pPr>
        <w:spacing w:line="560" w:lineRule="exact"/>
        <w:rPr>
          <w:rFonts w:ascii="仿宋_GB2312" w:eastAsia="仿宋_GB2312"/>
          <w:sz w:val="32"/>
          <w:szCs w:val="32"/>
        </w:rPr>
      </w:pPr>
      <w:r>
        <w:rPr>
          <w:rFonts w:hint="eastAsia" w:ascii="仿宋_GB2312" w:eastAsia="仿宋_GB2312"/>
          <w:i/>
          <w:iCs/>
          <w:color w:val="FF0000"/>
          <w:sz w:val="32"/>
          <w:szCs w:val="32"/>
        </w:rPr>
        <w:t>请人工补充分析</w:t>
      </w:r>
    </w:p>
    <w:p w14:paraId="62A2AE2D">
      <w:pPr>
        <w:spacing w:line="560" w:lineRule="exact"/>
        <w:ind w:firstLine="643" w:firstLineChars="200"/>
        <w:rPr>
          <w:rFonts w:ascii="仿宋_GB2312" w:eastAsia="仿宋_GB2312"/>
          <w:sz w:val="32"/>
          <w:szCs w:val="32"/>
        </w:rPr>
      </w:pPr>
      <w:r>
        <w:rPr>
          <w:rFonts w:hint="eastAsia" w:ascii="楷体_GB2312" w:eastAsia="楷体_GB2312"/>
          <w:b/>
          <w:sz w:val="32"/>
          <w:szCs w:val="32"/>
        </w:rPr>
        <w:t>（三）个人住房公积金贷款发放。</w:t>
      </w:r>
      <w:r>
        <w:rPr>
          <w:rFonts w:hint="eastAsia" w:ascii="仿宋_GB2312" w:eastAsia="仿宋_GB2312"/>
          <w:sz w:val="32"/>
          <w:szCs w:val="32"/>
        </w:rPr>
        <w:t>全市发放个人住房公积金贷款</w:t>
      </w:r>
      <w:r>
        <w:rPr>
          <w:rFonts w:ascii="仿宋_GB2312" w:eastAsia="仿宋_GB2312"/>
          <w:sz w:val="32"/>
          <w:szCs w:val="32"/>
          <w:u/>
        </w:rPr>
        <w:t>2902</w:t>
      </w:r>
      <w:r>
        <w:rPr>
          <w:rFonts w:ascii="仿宋_GB2312" w:eastAsia="仿宋_GB2312"/>
          <w:sz w:val="32"/>
          <w:u w:color="auto"/>
        </w:rPr>
        <w:t>笔，金额</w:t>
      </w:r>
      <w:r>
        <w:rPr>
          <w:rFonts w:ascii="仿宋_GB2312" w:eastAsia="仿宋_GB2312"/>
          <w:sz w:val="32"/>
          <w:u w:color="auto"/>
        </w:rPr>
        <w:t>14.84</w:t>
      </w:r>
      <w:r>
        <w:rPr>
          <w:rFonts w:ascii="仿宋_GB2312" w:eastAsia="仿宋_GB2312"/>
          <w:sz w:val="32"/>
          <w:u w:color="auto"/>
        </w:rPr>
        <w:t>亿元，分别同比</w:t>
      </w:r>
      <w:r>
        <w:rPr>
          <w:rFonts w:ascii="仿宋_GB2312" w:eastAsia="仿宋_GB2312"/>
          <w:sz w:val="32"/>
          <w:u w:color="auto"/>
        </w:rPr>
        <w:t>下降</w:t>
      </w:r>
      <w:r>
        <w:rPr>
          <w:rFonts w:ascii="仿宋_GB2312" w:eastAsia="仿宋_GB2312"/>
          <w:sz w:val="32"/>
          <w:u w:color="auto"/>
        </w:rPr>
        <w:t>0</w:t>
      </w:r>
      <w:r>
        <w:rPr>
          <w:rFonts w:ascii="仿宋_GB2312" w:eastAsia="仿宋_GB2312"/>
          <w:sz w:val="32"/>
          <w:u w:color="auto"/>
        </w:rPr>
        <w:t>%、</w:t>
      </w:r>
      <w:r>
        <w:rPr>
          <w:rFonts w:ascii="仿宋_GB2312" w:eastAsia="仿宋_GB2312"/>
          <w:sz w:val="32"/>
          <w:u w:color="auto"/>
        </w:rPr>
        <w:t>下降</w:t>
      </w:r>
      <w:r>
        <w:rPr>
          <w:rFonts w:ascii="仿宋_GB2312" w:eastAsia="仿宋_GB2312"/>
          <w:sz w:val="32"/>
          <w:u w:color="auto"/>
        </w:rPr>
        <w:t>19.26</w:t>
      </w:r>
      <w:r>
        <w:rPr>
          <w:rFonts w:ascii="仿宋_GB2312" w:eastAsia="仿宋_GB2312"/>
          <w:sz w:val="32"/>
          <w:u w:color="auto"/>
        </w:rPr>
        <w:t>%，剔除置换后发放贷款</w:t>
      </w:r>
      <w:r>
        <w:rPr>
          <w:rFonts w:ascii="仿宋_GB2312" w:eastAsia="仿宋_GB2312"/>
          <w:sz w:val="32"/>
          <w:u w:color="auto"/>
        </w:rPr>
        <w:t>2511</w:t>
      </w:r>
      <w:r>
        <w:rPr>
          <w:rFonts w:ascii="仿宋_GB2312" w:eastAsia="仿宋_GB2312"/>
          <w:sz w:val="32"/>
          <w:u w:color="auto"/>
        </w:rPr>
        <w:t>笔、金额</w:t>
      </w:r>
      <w:r>
        <w:rPr>
          <w:rFonts w:ascii="仿宋_GB2312" w:eastAsia="仿宋_GB2312"/>
          <w:sz w:val="32"/>
          <w:u w:color="auto"/>
        </w:rPr>
        <w:t>13.15</w:t>
      </w:r>
      <w:r>
        <w:rPr>
          <w:rFonts w:ascii="仿宋_GB2312" w:eastAsia="仿宋_GB2312"/>
          <w:sz w:val="32"/>
          <w:u w:color="auto"/>
        </w:rPr>
        <w:t>亿元，分别同比下降</w:t>
      </w:r>
      <w:r>
        <w:rPr>
          <w:rFonts w:ascii="仿宋_GB2312" w:eastAsia="仿宋_GB2312"/>
          <w:sz w:val="32"/>
          <w:u w:color="auto"/>
        </w:rPr>
        <w:t>0</w:t>
      </w:r>
      <w:r>
        <w:rPr>
          <w:rFonts w:ascii="仿宋_GB2312" w:eastAsia="仿宋_GB2312"/>
          <w:sz w:val="32"/>
          <w:u w:color="auto"/>
        </w:rPr>
        <w:t>%、</w:t>
      </w:r>
      <w:r>
        <w:rPr>
          <w:rFonts w:ascii="仿宋_GB2312" w:eastAsia="仿宋_GB2312"/>
          <w:sz w:val="32"/>
          <w:u w:color="auto"/>
        </w:rPr>
        <w:t>-15.98</w:t>
      </w:r>
      <w:r>
        <w:rPr>
          <w:rFonts w:ascii="仿宋_GB2312" w:eastAsia="仿宋_GB2312"/>
          <w:sz w:val="32"/>
          <w:u w:color="auto"/>
        </w:rPr>
        <w:t>%。近三年贷款发放金额平均增长率为</w:t>
      </w:r>
      <w:r>
        <w:rPr>
          <w:rFonts w:ascii="仿宋_GB2312" w:eastAsia="仿宋_GB2312"/>
          <w:sz w:val="32"/>
          <w:u w:color="auto"/>
        </w:rPr>
        <w:t>-10.26</w:t>
      </w:r>
      <w:r>
        <w:rPr>
          <w:rFonts w:ascii="仿宋_GB2312" w:eastAsia="仿宋_GB2312"/>
          <w:sz w:val="32"/>
          <w:u w:color="auto"/>
        </w:rPr>
        <w:t>%，月均贷款发放金额</w:t>
      </w:r>
      <w:r>
        <w:rPr>
          <w:rFonts w:ascii="仿宋_GB2312" w:eastAsia="仿宋_GB2312"/>
          <w:sz w:val="32"/>
          <w:u w:color="auto"/>
        </w:rPr>
        <w:t>1.24</w:t>
      </w:r>
      <w:r>
        <w:rPr>
          <w:rFonts w:ascii="仿宋_GB2312" w:eastAsia="仿宋_GB2312"/>
          <w:sz w:val="32"/>
          <w:u w:color="auto"/>
        </w:rPr>
        <w:t>亿元，剔除置换后月均贷款发放</w:t>
      </w:r>
      <w:r>
        <w:rPr>
          <w:rFonts w:ascii="仿宋_GB2312" w:eastAsia="仿宋_GB2312"/>
          <w:sz w:val="32"/>
          <w:u w:color="auto"/>
        </w:rPr>
        <w:t>1.1</w:t>
      </w:r>
      <w:r>
        <w:rPr>
          <w:rFonts w:ascii="仿宋_GB2312" w:eastAsia="仿宋_GB2312"/>
          <w:sz w:val="32"/>
          <w:u w:color="auto"/>
        </w:rPr>
        <w:t>亿元，贷款余额为</w:t>
      </w:r>
      <w:r>
        <w:rPr>
          <w:rFonts w:ascii="仿宋_GB2312" w:eastAsia="仿宋_GB2312"/>
          <w:sz w:val="32"/>
          <w:u w:color="auto"/>
        </w:rPr>
        <w:t>0</w:t>
      </w:r>
      <w:r>
        <w:rPr>
          <w:rFonts w:ascii="仿宋_GB2312" w:eastAsia="仿宋_GB2312"/>
          <w:sz w:val="32"/>
          <w:u w:color="auto"/>
        </w:rPr>
        <w:t>亿元。</w:t>
      </w:r>
    </w:p>
    <w:p w14:paraId="1600E99D">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7" name="图表 7" descr="{{dkqst}}"/>
            <wp:cNvGraphicFramePr/>
            <a:graphic xmlns:a="http://schemas.openxmlformats.org/drawingml/2006/main">
              <a:graphicData uri="http://schemas.openxmlformats.org/drawingml/2006/chart">
                <c:chart xmlns:c="http://schemas.openxmlformats.org/drawingml/2006/chart" r:id="rId11"/>
              </a:graphicData>
            </a:graphic>
          </wp:inline>
        </w:drawing>
      </w:r>
    </w:p>
    <w:p w14:paraId="3C0EE9C7">
      <w:pPr>
        <w:spacing w:line="560" w:lineRule="exact"/>
        <w:ind w:firstLine="640" w:firstLineChars="200"/>
        <w:rPr>
          <w:rFonts w:ascii="仿宋_GB2312" w:eastAsia="仿宋_GB2312"/>
          <w:sz w:val="32"/>
          <w:szCs w:val="32"/>
        </w:rPr>
      </w:pPr>
      <w:r>
        <w:rPr>
          <w:rFonts w:ascii="仿宋_GB2312" w:eastAsia="仿宋_GB2312"/>
          <w:sz w:val="32"/>
          <w:szCs w:val="32"/>
          <w:u/>
        </w:rPr>
        <w:t>2026</w:t>
      </w:r>
      <w:r>
        <w:rPr>
          <w:rFonts w:ascii="仿宋_GB2312" w:eastAsia="仿宋_GB2312"/>
          <w:sz w:val="32"/>
          <w:u w:color="auto"/>
        </w:rPr>
        <w:t>年，</w:t>
      </w:r>
      <w:r>
        <w:rPr>
          <w:rFonts w:hint="eastAsia" w:ascii="仿宋_GB2312" w:eastAsia="仿宋_GB2312"/>
          <w:sz w:val="32"/>
          <w:szCs w:val="32"/>
          <w:lang w:eastAsia="zh-CN"/>
        </w:rPr>
        <w:t>枣庄</w:t>
      </w:r>
      <w:r>
        <w:rPr>
          <w:rFonts w:ascii="仿宋_GB2312" w:eastAsia="仿宋_GB2312"/>
          <w:sz w:val="32"/>
          <w:szCs w:val="32"/>
        </w:rPr>
        <w:t>全市房地产交易成交住房</w:t>
      </w:r>
      <w:r>
        <w:rPr>
          <w:rFonts w:ascii="仿宋_GB2312" w:eastAsia="仿宋_GB2312"/>
          <w:color w:val="FF0000"/>
          <w:sz w:val="32"/>
          <w:szCs w:val="32"/>
        </w:rPr>
        <w:t>**</w:t>
      </w:r>
      <w:r>
        <w:rPr>
          <w:rFonts w:ascii="仿宋_GB2312" w:eastAsia="仿宋_GB2312"/>
          <w:sz w:val="32"/>
          <w:szCs w:val="32"/>
        </w:rPr>
        <w:t>套，同比</w:t>
      </w:r>
      <w:r>
        <w:rPr>
          <w:rFonts w:ascii="仿宋_GB2312" w:eastAsia="仿宋_GB2312"/>
          <w:color w:val="FF0000"/>
          <w:sz w:val="32"/>
          <w:szCs w:val="32"/>
        </w:rPr>
        <w:t>**</w:t>
      </w:r>
      <w:r>
        <w:rPr>
          <w:rFonts w:ascii="仿宋_GB2312" w:eastAsia="仿宋_GB2312"/>
          <w:sz w:val="32"/>
          <w:szCs w:val="32"/>
        </w:rPr>
        <w:t>%，其中一手房</w:t>
      </w:r>
      <w:r>
        <w:rPr>
          <w:rFonts w:ascii="仿宋_GB2312" w:eastAsia="仿宋_GB2312"/>
          <w:color w:val="FF0000"/>
          <w:sz w:val="32"/>
          <w:szCs w:val="32"/>
        </w:rPr>
        <w:t>**</w:t>
      </w:r>
      <w:r>
        <w:rPr>
          <w:rFonts w:ascii="仿宋_GB2312" w:eastAsia="仿宋_GB2312"/>
          <w:sz w:val="32"/>
          <w:szCs w:val="32"/>
        </w:rPr>
        <w:t>套，同比</w:t>
      </w:r>
      <w:r>
        <w:rPr>
          <w:rFonts w:ascii="仿宋_GB2312" w:eastAsia="仿宋_GB2312"/>
          <w:color w:val="FF0000"/>
          <w:sz w:val="32"/>
          <w:szCs w:val="32"/>
        </w:rPr>
        <w:t>**</w:t>
      </w:r>
      <w:r>
        <w:rPr>
          <w:rFonts w:ascii="仿宋_GB2312" w:eastAsia="仿宋_GB2312"/>
          <w:sz w:val="32"/>
          <w:szCs w:val="32"/>
        </w:rPr>
        <w:t>%；二手房</w:t>
      </w:r>
      <w:r>
        <w:rPr>
          <w:rFonts w:ascii="仿宋_GB2312" w:eastAsia="仿宋_GB2312"/>
          <w:color w:val="FF0000"/>
          <w:sz w:val="32"/>
          <w:szCs w:val="32"/>
        </w:rPr>
        <w:t>**</w:t>
      </w:r>
      <w:r>
        <w:rPr>
          <w:rFonts w:ascii="仿宋_GB2312" w:eastAsia="仿宋_GB2312"/>
          <w:sz w:val="32"/>
          <w:szCs w:val="32"/>
        </w:rPr>
        <w:t>套，同比</w:t>
      </w:r>
      <w:r>
        <w:rPr>
          <w:rFonts w:ascii="仿宋_GB2312" w:eastAsia="仿宋_GB2312"/>
          <w:color w:val="FF0000"/>
          <w:sz w:val="32"/>
          <w:szCs w:val="32"/>
        </w:rPr>
        <w:t>**</w:t>
      </w:r>
      <w:r>
        <w:rPr>
          <w:rFonts w:ascii="仿宋_GB2312" w:eastAsia="仿宋_GB2312"/>
          <w:sz w:val="32"/>
          <w:szCs w:val="32"/>
        </w:rPr>
        <w:t>%。</w:t>
      </w:r>
      <w:r>
        <w:rPr>
          <w:rFonts w:ascii="仿宋_GB2312" w:eastAsia="仿宋_GB2312"/>
          <w:i/>
          <w:iCs/>
          <w:color w:val="FF0000"/>
          <w:sz w:val="32"/>
          <w:szCs w:val="32"/>
        </w:rPr>
        <w:t>请人工补充分析</w:t>
      </w:r>
      <w:r>
        <w:rPr>
          <w:rFonts w:ascii="仿宋_GB2312" w:eastAsia="仿宋_GB2312"/>
          <w:sz w:val="32"/>
          <w:szCs w:val="32"/>
        </w:rPr>
        <w:t>。</w:t>
      </w:r>
    </w:p>
    <w:p w14:paraId="232B448C">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0" name="图表 10" descr="{{qsspzfjyqk}}"/>
            <wp:cNvGraphicFramePr/>
            <a:graphic xmlns:a="http://schemas.openxmlformats.org/drawingml/2006/main">
              <a:graphicData uri="http://schemas.openxmlformats.org/drawingml/2006/chart">
                <c:chart xmlns:c="http://schemas.openxmlformats.org/drawingml/2006/chart" r:id="rId12"/>
              </a:graphicData>
            </a:graphic>
          </wp:inline>
        </w:drawing>
      </w:r>
    </w:p>
    <w:p w14:paraId="4DF16CC0">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1" name="图表 11" descr="{{qsesfcjqk}}"/>
            <wp:cNvGraphicFramePr/>
            <a:graphic xmlns:a="http://schemas.openxmlformats.org/drawingml/2006/main">
              <a:graphicData uri="http://schemas.openxmlformats.org/drawingml/2006/chart">
                <c:chart xmlns:c="http://schemas.openxmlformats.org/drawingml/2006/chart" r:id="rId13"/>
              </a:graphicData>
            </a:graphic>
          </wp:inline>
        </w:drawing>
      </w:r>
    </w:p>
    <w:p w14:paraId="41E5DCF0">
      <w:pPr>
        <w:spacing w:line="56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2A59BF33">
      <w:pPr>
        <w:spacing w:line="560" w:lineRule="exact"/>
        <w:ind w:firstLine="640" w:firstLineChars="200"/>
        <w:rPr>
          <w:rFonts w:ascii="仿宋_GB2312" w:eastAsia="仿宋_GB2312"/>
          <w:sz w:val="32"/>
          <w:szCs w:val="32"/>
        </w:rPr>
      </w:pPr>
      <w:r>
        <w:rPr>
          <w:rFonts w:ascii="仿宋_GB2312" w:eastAsia="仿宋_GB2312"/>
          <w:sz w:val="32"/>
          <w:szCs w:val="32"/>
        </w:rPr>
        <w:t>1.</w:t>
      </w:r>
      <w:r>
        <w:rPr>
          <w:rFonts w:ascii="仿宋_GB2312" w:eastAsia="仿宋_GB2312"/>
          <w:i/>
          <w:iCs/>
          <w:color w:val="FF0000"/>
          <w:sz w:val="32"/>
          <w:szCs w:val="32"/>
        </w:rPr>
        <w:t>请人工补充分析</w:t>
      </w:r>
      <w:r>
        <w:rPr>
          <w:rFonts w:ascii="仿宋_GB2312" w:eastAsia="仿宋_GB2312"/>
          <w:sz w:val="32"/>
          <w:szCs w:val="32"/>
        </w:rPr>
        <w:t>。</w:t>
      </w:r>
    </w:p>
    <w:p w14:paraId="5008E377">
      <w:pPr>
        <w:spacing w:line="560" w:lineRule="exact"/>
        <w:ind w:firstLine="640" w:firstLineChars="200"/>
        <w:rPr>
          <w:rFonts w:ascii="仿宋_GB2312" w:eastAsia="仿宋_GB2312"/>
          <w:sz w:val="32"/>
          <w:szCs w:val="32"/>
        </w:rPr>
      </w:pPr>
      <w:r>
        <w:rPr>
          <w:rFonts w:ascii="仿宋_GB2312" w:eastAsia="仿宋_GB2312"/>
          <w:sz w:val="32"/>
          <w:szCs w:val="32"/>
        </w:rPr>
        <w:t>2.</w:t>
      </w:r>
      <w:r>
        <w:rPr>
          <w:rFonts w:ascii="仿宋_GB2312" w:eastAsia="仿宋_GB2312"/>
          <w:i/>
          <w:iCs/>
          <w:color w:val="FF0000"/>
          <w:sz w:val="32"/>
          <w:szCs w:val="32"/>
        </w:rPr>
        <w:t>请人工补充分析</w:t>
      </w:r>
      <w:r>
        <w:rPr>
          <w:rFonts w:ascii="仿宋_GB2312" w:eastAsia="仿宋_GB2312"/>
          <w:sz w:val="32"/>
          <w:szCs w:val="32"/>
        </w:rPr>
        <w:t>。</w:t>
      </w:r>
    </w:p>
    <w:p w14:paraId="000B2134">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12" name="图表 12" descr="{{jyntchdkffqk}}"/>
            <wp:cNvGraphicFramePr/>
            <a:graphic xmlns:a="http://schemas.openxmlformats.org/drawingml/2006/main">
              <a:graphicData uri="http://schemas.openxmlformats.org/drawingml/2006/chart">
                <c:chart xmlns:c="http://schemas.openxmlformats.org/drawingml/2006/chart" r:id="rId14"/>
              </a:graphicData>
            </a:graphic>
          </wp:inline>
        </w:drawing>
      </w:r>
    </w:p>
    <w:p w14:paraId="46057A9E">
      <w:pPr>
        <w:spacing w:line="560" w:lineRule="exact"/>
        <w:ind w:firstLine="640" w:firstLineChars="200"/>
        <w:rPr>
          <w:rFonts w:ascii="仿宋_GB2312" w:eastAsia="仿宋_GB2312"/>
          <w:sz w:val="32"/>
          <w:szCs w:val="32"/>
        </w:rPr>
      </w:pPr>
      <w:r>
        <w:rPr>
          <w:rFonts w:ascii="仿宋_GB2312" w:eastAsia="仿宋_GB2312"/>
          <w:sz w:val="32"/>
          <w:szCs w:val="32"/>
        </w:rPr>
        <w:t>3.</w:t>
      </w:r>
      <w:r>
        <w:rPr>
          <w:rFonts w:ascii="仿宋_GB2312" w:eastAsia="仿宋_GB2312"/>
          <w:i/>
          <w:iCs/>
          <w:color w:val="FF0000"/>
          <w:sz w:val="32"/>
          <w:szCs w:val="32"/>
        </w:rPr>
        <w:t>请人工补充分析</w:t>
      </w:r>
      <w:r>
        <w:rPr>
          <w:rFonts w:ascii="仿宋_GB2312" w:eastAsia="仿宋_GB2312"/>
          <w:sz w:val="32"/>
          <w:szCs w:val="32"/>
        </w:rPr>
        <w:t>。</w:t>
      </w:r>
    </w:p>
    <w:p w14:paraId="5B3DD81D">
      <w:pPr>
        <w:spacing w:line="560" w:lineRule="exact"/>
        <w:ind w:firstLine="643" w:firstLineChars="200"/>
        <w:rPr>
          <w:rFonts w:ascii="仿宋_GB2312" w:eastAsia="仿宋_GB2312"/>
          <w:sz w:val="32"/>
          <w:szCs w:val="32"/>
        </w:rPr>
      </w:pPr>
      <w:r>
        <w:rPr>
          <w:rFonts w:hint="eastAsia" w:ascii="楷体_GB2312" w:eastAsia="楷体_GB2312"/>
          <w:b/>
          <w:sz w:val="32"/>
          <w:szCs w:val="32"/>
        </w:rPr>
        <w:t>（四）住房公积金贷款回收。</w:t>
      </w:r>
      <w:r>
        <w:rPr>
          <w:rFonts w:ascii="仿宋_GB2312" w:eastAsia="仿宋_GB2312"/>
          <w:sz w:val="32"/>
          <w:szCs w:val="32"/>
          <w:u/>
        </w:rPr>
        <w:t>2026</w:t>
      </w:r>
      <w:r>
        <w:rPr>
          <w:rFonts w:ascii="仿宋_GB2312" w:eastAsia="仿宋_GB2312"/>
          <w:sz w:val="32"/>
          <w:u w:color="auto"/>
        </w:rPr>
        <w:t>年全市贷款回收</w:t>
      </w:r>
      <w:r>
        <w:rPr>
          <w:rFonts w:ascii="仿宋_GB2312" w:eastAsia="仿宋_GB2312"/>
          <w:sz w:val="32"/>
          <w:u w:color="auto"/>
        </w:rPr>
        <w:t>17.65</w:t>
      </w:r>
      <w:r>
        <w:rPr>
          <w:rFonts w:ascii="仿宋_GB2312" w:eastAsia="仿宋_GB2312"/>
          <w:sz w:val="32"/>
          <w:u w:color="auto"/>
        </w:rPr>
        <w:t>亿元，同比增长</w:t>
      </w:r>
      <w:r>
        <w:rPr>
          <w:rFonts w:ascii="仿宋_GB2312" w:eastAsia="仿宋_GB2312"/>
          <w:sz w:val="32"/>
          <w:u w:color="auto"/>
        </w:rPr>
        <w:t>-26.2</w:t>
      </w:r>
      <w:r>
        <w:rPr>
          <w:rFonts w:ascii="仿宋_GB2312" w:eastAsia="仿宋_GB2312"/>
          <w:sz w:val="32"/>
          <w:u w:color="auto"/>
        </w:rPr>
        <w:t>%，近三年平均增长率</w:t>
      </w:r>
      <w:r>
        <w:rPr>
          <w:rFonts w:ascii="仿宋_GB2312" w:eastAsia="仿宋_GB2312"/>
          <w:sz w:val="32"/>
          <w:u w:color="auto"/>
        </w:rPr>
        <w:t>9.06</w:t>
      </w:r>
      <w:r>
        <w:rPr>
          <w:rFonts w:ascii="仿宋_GB2312" w:eastAsia="仿宋_GB2312"/>
          <w:sz w:val="32"/>
          <w:u w:color="auto"/>
        </w:rPr>
        <w:t>%，月均贷款回收金额</w:t>
      </w:r>
      <w:r>
        <w:rPr>
          <w:rFonts w:ascii="仿宋_GB2312" w:eastAsia="仿宋_GB2312"/>
          <w:sz w:val="32"/>
          <w:u w:color="auto"/>
        </w:rPr>
        <w:t>1.47</w:t>
      </w:r>
      <w:r>
        <w:rPr>
          <w:rFonts w:ascii="仿宋_GB2312" w:eastAsia="仿宋_GB2312"/>
          <w:sz w:val="32"/>
          <w:u w:color="auto"/>
        </w:rPr>
        <w:t>亿元。</w:t>
      </w:r>
    </w:p>
    <w:p w14:paraId="6E98BA68">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3" name="图表 13" descr="{{dkhsqst}}"/>
            <wp:cNvGraphicFramePr/>
            <a:graphic xmlns:a="http://schemas.openxmlformats.org/drawingml/2006/main">
              <a:graphicData uri="http://schemas.openxmlformats.org/drawingml/2006/chart">
                <c:chart xmlns:c="http://schemas.openxmlformats.org/drawingml/2006/chart" r:id="rId15"/>
              </a:graphicData>
            </a:graphic>
          </wp:inline>
        </w:drawing>
      </w:r>
    </w:p>
    <w:p w14:paraId="74341ADE">
      <w:pPr>
        <w:spacing w:line="56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0DF7B6DB">
      <w:pPr>
        <w:spacing w:line="560" w:lineRule="exact"/>
        <w:ind w:firstLine="640" w:firstLineChars="200"/>
        <w:rPr>
          <w:rFonts w:ascii="仿宋_GB2312" w:eastAsia="仿宋_GB2312"/>
          <w:sz w:val="32"/>
          <w:szCs w:val="32"/>
        </w:rPr>
      </w:pPr>
      <w:r>
        <w:rPr>
          <w:rFonts w:ascii="仿宋_GB2312" w:eastAsia="仿宋_GB2312"/>
          <w:sz w:val="32"/>
          <w:szCs w:val="32"/>
        </w:rPr>
        <w:t>1.</w:t>
      </w:r>
      <w:r>
        <w:rPr>
          <w:rFonts w:ascii="仿宋_GB2312" w:eastAsia="仿宋_GB2312"/>
          <w:i/>
          <w:iCs/>
          <w:color w:val="FF0000"/>
          <w:sz w:val="32"/>
          <w:szCs w:val="32"/>
        </w:rPr>
        <w:t>请人工补充分析</w:t>
      </w:r>
      <w:r>
        <w:rPr>
          <w:rFonts w:ascii="仿宋_GB2312" w:eastAsia="仿宋_GB2312"/>
          <w:sz w:val="32"/>
          <w:szCs w:val="32"/>
        </w:rPr>
        <w:t>。</w:t>
      </w:r>
    </w:p>
    <w:p w14:paraId="732E9AF0">
      <w:pPr>
        <w:spacing w:line="560" w:lineRule="exact"/>
        <w:ind w:firstLine="640" w:firstLineChars="200"/>
        <w:rPr>
          <w:rFonts w:ascii="仿宋_GB2312" w:eastAsia="仿宋_GB2312"/>
          <w:sz w:val="32"/>
          <w:szCs w:val="32"/>
        </w:rPr>
      </w:pPr>
      <w:r>
        <w:rPr>
          <w:rFonts w:ascii="仿宋_GB2312" w:eastAsia="仿宋_GB2312"/>
          <w:sz w:val="32"/>
          <w:szCs w:val="32"/>
          <w:u/>
        </w:rPr>
        <w:t>2.</w:t>
      </w:r>
      <w:r>
        <w:rPr>
          <w:rFonts w:ascii="仿宋_GB2312" w:eastAsia="仿宋_GB2312"/>
          <w:sz w:val="32"/>
          <w:u w:color="auto"/>
        </w:rPr>
        <w:t>2026</w:t>
      </w:r>
      <w:r>
        <w:rPr>
          <w:rFonts w:ascii="仿宋_GB2312" w:eastAsia="仿宋_GB2312"/>
          <w:sz w:val="32"/>
          <w:u w:color="auto"/>
        </w:rPr>
        <w:t>年提前还贷额占比为</w:t>
      </w:r>
      <w:r>
        <w:rPr>
          <w:rFonts w:ascii="仿宋_GB2312" w:eastAsia="仿宋_GB2312"/>
          <w:sz w:val="32"/>
          <w:u w:color="auto"/>
        </w:rPr>
        <w:t>49.07</w:t>
      </w:r>
      <w:r>
        <w:rPr>
          <w:rFonts w:ascii="仿宋_GB2312" w:eastAsia="仿宋_GB2312"/>
          <w:sz w:val="32"/>
          <w:u w:color="auto"/>
        </w:rPr>
        <w:t>%，</w:t>
      </w:r>
      <w:r>
        <w:rPr>
          <w:rFonts w:ascii="仿宋_GB2312" w:eastAsia="仿宋_GB2312"/>
          <w:i/>
          <w:iCs/>
          <w:color w:val="FF0000"/>
          <w:sz w:val="32"/>
          <w:szCs w:val="32"/>
        </w:rPr>
        <w:t>请人工补充分析</w:t>
      </w:r>
      <w:r>
        <w:rPr>
          <w:rFonts w:ascii="仿宋_GB2312" w:eastAsia="仿宋_GB2312"/>
          <w:sz w:val="32"/>
          <w:szCs w:val="32"/>
        </w:rPr>
        <w:t>。</w:t>
      </w:r>
    </w:p>
    <w:p w14:paraId="5DFAEFE8">
      <w:pPr>
        <w:rPr>
          <w:rFonts w:ascii="仿宋_GB2312" w:eastAsia="仿宋_GB2312"/>
          <w:sz w:val="32"/>
          <w:szCs w:val="32"/>
        </w:rPr>
      </w:pPr>
      <w:r>
        <w:rPr>
          <w:rFonts w:hint="eastAsia" w:ascii="楷体_GB2312" w:eastAsia="楷体_GB2312"/>
          <w:b/>
          <w:sz w:val="32"/>
          <w:szCs w:val="32"/>
        </w:rPr>
        <w:drawing>
          <wp:inline distT="0" distB="0" distL="0" distR="0">
            <wp:extent cx="5274310" cy="3076575"/>
            <wp:effectExtent l="5080" t="4445" r="16510" b="5080"/>
            <wp:docPr id="14" name="图表 14" descr="{{jyndkhkqk}}"/>
            <wp:cNvGraphicFramePr/>
            <a:graphic xmlns:a="http://schemas.openxmlformats.org/drawingml/2006/main">
              <a:graphicData uri="http://schemas.openxmlformats.org/drawingml/2006/chart">
                <c:chart xmlns:c="http://schemas.openxmlformats.org/drawingml/2006/chart" r:id="rId16"/>
              </a:graphicData>
            </a:graphic>
          </wp:inline>
        </w:drawing>
      </w:r>
    </w:p>
    <w:p w14:paraId="7ED287E5">
      <w:pPr>
        <w:spacing w:line="560" w:lineRule="exact"/>
        <w:ind w:firstLine="643" w:firstLineChars="200"/>
        <w:rPr>
          <w:rFonts w:ascii="仿宋_GB2312" w:eastAsia="仿宋_GB2312"/>
          <w:sz w:val="32"/>
          <w:szCs w:val="32"/>
        </w:rPr>
      </w:pPr>
      <w:r>
        <w:rPr>
          <w:rFonts w:hint="eastAsia" w:ascii="楷体_GB2312" w:eastAsia="楷体_GB2312"/>
          <w:b/>
          <w:sz w:val="32"/>
          <w:szCs w:val="32"/>
        </w:rPr>
        <w:t>（五）支持住房消费额。</w:t>
      </w:r>
      <w:r>
        <w:rPr>
          <w:rFonts w:hint="eastAsia" w:ascii="仿宋_GB2312" w:eastAsia="仿宋_GB2312"/>
          <w:sz w:val="32"/>
          <w:szCs w:val="32"/>
        </w:rPr>
        <w:t>全市支持住房消费额</w:t>
      </w:r>
      <w:r>
        <w:rPr>
          <w:rFonts w:ascii="仿宋_GB2312" w:eastAsia="仿宋_GB2312"/>
          <w:sz w:val="32"/>
          <w:szCs w:val="32"/>
          <w:u/>
        </w:rPr>
        <w:t>43.86</w:t>
      </w:r>
      <w:r>
        <w:rPr>
          <w:rFonts w:ascii="仿宋_GB2312" w:eastAsia="仿宋_GB2312"/>
          <w:sz w:val="32"/>
          <w:u w:color="auto"/>
        </w:rPr>
        <w:t>亿元（其中公转商置换</w:t>
      </w:r>
      <w:r>
        <w:rPr>
          <w:rFonts w:ascii="仿宋_GB2312" w:eastAsia="仿宋_GB2312"/>
          <w:sz w:val="32"/>
          <w:u w:color="auto"/>
        </w:rPr>
        <w:t>1.69</w:t>
      </w:r>
      <w:r>
        <w:rPr>
          <w:rFonts w:ascii="仿宋_GB2312" w:eastAsia="仿宋_GB2312"/>
          <w:sz w:val="32"/>
          <w:u w:color="auto"/>
        </w:rPr>
        <w:t>亿元），较去年同期</w:t>
      </w:r>
      <w:r>
        <w:rPr>
          <w:rFonts w:ascii="仿宋_GB2312" w:eastAsia="仿宋_GB2312"/>
          <w:sz w:val="32"/>
          <w:u w:color="auto"/>
        </w:rPr>
        <w:t>下降</w:t>
      </w:r>
      <w:r>
        <w:rPr>
          <w:rFonts w:ascii="仿宋_GB2312" w:eastAsia="仿宋_GB2312"/>
          <w:sz w:val="32"/>
          <w:u w:color="auto"/>
        </w:rPr>
        <w:t>21.21</w:t>
      </w:r>
      <w:r>
        <w:rPr>
          <w:rFonts w:ascii="仿宋_GB2312" w:eastAsia="仿宋_GB2312"/>
          <w:sz w:val="32"/>
          <w:u w:color="auto"/>
        </w:rPr>
        <w:t>%，近三年平均增长率</w:t>
      </w:r>
      <w:r>
        <w:rPr>
          <w:rFonts w:ascii="仿宋_GB2312" w:eastAsia="仿宋_GB2312"/>
          <w:sz w:val="32"/>
          <w:u w:color="auto"/>
        </w:rPr>
        <w:t>-2.75</w:t>
      </w:r>
      <w:r>
        <w:rPr>
          <w:rFonts w:ascii="仿宋_GB2312" w:eastAsia="仿宋_GB2312"/>
          <w:sz w:val="32"/>
          <w:u w:color="auto"/>
        </w:rPr>
        <w:t>%，剔除公转商置换同比</w:t>
      </w:r>
      <w:r>
        <w:rPr>
          <w:rFonts w:ascii="仿宋_GB2312" w:eastAsia="仿宋_GB2312"/>
          <w:sz w:val="32"/>
          <w:u w:color="auto"/>
        </w:rPr>
        <w:t>下降</w:t>
      </w:r>
      <w:r>
        <w:rPr>
          <w:rFonts w:ascii="仿宋_GB2312" w:eastAsia="仿宋_GB2312"/>
          <w:sz w:val="32"/>
          <w:u w:color="auto"/>
        </w:rPr>
        <w:t>20.33</w:t>
      </w:r>
      <w:r>
        <w:rPr>
          <w:rFonts w:ascii="仿宋_GB2312" w:eastAsia="仿宋_GB2312"/>
          <w:sz w:val="32"/>
          <w:u w:color="auto"/>
        </w:rPr>
        <w:t>%，剔除后月均住房消费额</w:t>
      </w:r>
      <w:r>
        <w:rPr>
          <w:rFonts w:ascii="仿宋_GB2312" w:eastAsia="仿宋_GB2312"/>
          <w:sz w:val="32"/>
          <w:u w:color="auto"/>
        </w:rPr>
        <w:t>3.51</w:t>
      </w:r>
      <w:r>
        <w:rPr>
          <w:rFonts w:ascii="仿宋_GB2312" w:eastAsia="仿宋_GB2312"/>
          <w:sz w:val="32"/>
          <w:u w:color="auto"/>
        </w:rPr>
        <w:t>亿元。</w:t>
      </w:r>
    </w:p>
    <w:p w14:paraId="6DB45C9E">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5" name="图表 15" descr="{{zfxfqst}}"/>
            <wp:cNvGraphicFramePr/>
            <a:graphic xmlns:a="http://schemas.openxmlformats.org/drawingml/2006/main">
              <a:graphicData uri="http://schemas.openxmlformats.org/drawingml/2006/chart">
                <c:chart xmlns:c="http://schemas.openxmlformats.org/drawingml/2006/chart" r:id="rId17"/>
              </a:graphicData>
            </a:graphic>
          </wp:inline>
        </w:drawing>
      </w:r>
    </w:p>
    <w:p w14:paraId="3B520020">
      <w:pPr>
        <w:spacing w:line="56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53DBA6A9">
      <w:pPr>
        <w:spacing w:line="560" w:lineRule="exact"/>
        <w:ind w:firstLine="640" w:firstLineChars="20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w:t>
      </w:r>
      <w:r>
        <w:rPr>
          <w:rFonts w:ascii="仿宋_GB2312" w:eastAsia="仿宋_GB2312"/>
          <w:i/>
          <w:iCs/>
          <w:color w:val="FF0000"/>
          <w:sz w:val="32"/>
          <w:szCs w:val="32"/>
        </w:rPr>
        <w:t xml:space="preserve"> 请人工补充分析</w:t>
      </w:r>
      <w:r>
        <w:rPr>
          <w:rFonts w:hint="eastAsia" w:ascii="仿宋_GB2312" w:eastAsia="仿宋_GB2312"/>
          <w:sz w:val="32"/>
          <w:szCs w:val="32"/>
        </w:rPr>
        <w:t>。</w:t>
      </w:r>
    </w:p>
    <w:p w14:paraId="2C9595D6">
      <w:pPr>
        <w:spacing w:line="560" w:lineRule="exact"/>
        <w:ind w:firstLine="640" w:firstLineChars="200"/>
        <w:rPr>
          <w:rFonts w:ascii="仿宋_GB2312" w:eastAsia="仿宋_GB2312"/>
          <w:sz w:val="32"/>
          <w:szCs w:val="32"/>
        </w:rPr>
      </w:pPr>
      <w:r>
        <w:rPr>
          <w:rFonts w:ascii="仿宋_GB2312" w:eastAsia="仿宋_GB2312"/>
          <w:sz w:val="32"/>
          <w:szCs w:val="32"/>
        </w:rPr>
        <w:t>2.</w:t>
      </w:r>
      <w:r>
        <w:rPr>
          <w:rFonts w:ascii="仿宋_GB2312" w:eastAsia="仿宋_GB2312"/>
          <w:i/>
          <w:iCs/>
          <w:color w:val="FF0000"/>
          <w:sz w:val="32"/>
          <w:szCs w:val="32"/>
        </w:rPr>
        <w:t xml:space="preserve"> 请人工补充分析</w:t>
      </w:r>
      <w:r>
        <w:rPr>
          <w:rFonts w:ascii="仿宋_GB2312" w:eastAsia="仿宋_GB2312"/>
          <w:sz w:val="32"/>
          <w:szCs w:val="32"/>
          <w:u/>
        </w:rPr>
        <w:t>。</w:t>
      </w:r>
      <w:r>
        <w:rPr>
          <w:rFonts w:ascii="仿宋_GB2312" w:eastAsia="仿宋_GB2312"/>
          <w:sz w:val="32"/>
          <w:u w:color="auto"/>
        </w:rPr>
        <w:t>8</w:t>
      </w:r>
      <w:r>
        <w:rPr>
          <w:rFonts w:ascii="仿宋_GB2312" w:eastAsia="仿宋_GB2312"/>
          <w:sz w:val="32"/>
          <w:u w:color="auto"/>
        </w:rPr>
        <w:t>月份住房消费金额最高，达到</w:t>
      </w:r>
      <w:r>
        <w:rPr>
          <w:rFonts w:ascii="仿宋_GB2312" w:eastAsia="仿宋_GB2312"/>
          <w:sz w:val="32"/>
          <w:u w:color="auto"/>
        </w:rPr>
        <w:t>2.44</w:t>
      </w:r>
      <w:r>
        <w:rPr>
          <w:rFonts w:ascii="仿宋_GB2312" w:eastAsia="仿宋_GB2312"/>
          <w:sz w:val="32"/>
          <w:u w:color="auto"/>
        </w:rPr>
        <w:t>亿元。</w:t>
      </w:r>
      <w:r>
        <w:rPr>
          <w:rFonts w:ascii="仿宋_GB2312" w:eastAsia="仿宋_GB2312"/>
          <w:sz w:val="32"/>
          <w:u w:color="auto"/>
        </w:rPr>
        <w:t>6</w:t>
      </w:r>
      <w:r>
        <w:rPr>
          <w:rFonts w:ascii="仿宋_GB2312" w:eastAsia="仿宋_GB2312"/>
          <w:sz w:val="32"/>
          <w:u w:color="auto"/>
        </w:rPr>
        <w:t>月份住房消费金额最低，为</w:t>
      </w:r>
      <w:r>
        <w:rPr>
          <w:rFonts w:ascii="仿宋_GB2312" w:eastAsia="仿宋_GB2312"/>
          <w:sz w:val="32"/>
          <w:u w:color="auto"/>
        </w:rPr>
        <w:t>2.06</w:t>
      </w:r>
      <w:r>
        <w:rPr>
          <w:rFonts w:ascii="仿宋_GB2312" w:eastAsia="仿宋_GB2312"/>
          <w:sz w:val="32"/>
          <w:u w:color="auto"/>
        </w:rPr>
        <w:t>亿元，其中提取额仅</w:t>
      </w:r>
      <w:r>
        <w:rPr>
          <w:rFonts w:ascii="仿宋_GB2312" w:eastAsia="仿宋_GB2312"/>
          <w:sz w:val="32"/>
          <w:u w:color="auto"/>
        </w:rPr>
        <w:t>29.02</w:t>
      </w:r>
      <w:r>
        <w:rPr>
          <w:rFonts w:ascii="仿宋_GB2312" w:eastAsia="仿宋_GB2312"/>
          <w:sz w:val="32"/>
          <w:u w:color="auto"/>
        </w:rPr>
        <w:t>亿元。</w:t>
      </w:r>
    </w:p>
    <w:p w14:paraId="01A1F090">
      <w:pPr>
        <w:spacing w:line="560" w:lineRule="exact"/>
        <w:ind w:firstLine="643" w:firstLineChars="200"/>
        <w:rPr>
          <w:rFonts w:ascii="仿宋_GB2312" w:eastAsia="仿宋_GB2312"/>
          <w:sz w:val="32"/>
          <w:szCs w:val="32"/>
        </w:rPr>
      </w:pPr>
      <w:r>
        <w:rPr>
          <w:rFonts w:hint="eastAsia" w:ascii="楷体_GB2312" w:eastAsia="楷体_GB2312"/>
          <w:b/>
          <w:sz w:val="32"/>
          <w:szCs w:val="32"/>
        </w:rPr>
        <w:t>（六）存贷比情况分析。</w:t>
      </w:r>
      <w:r>
        <w:rPr>
          <w:rFonts w:ascii="仿宋_GB2312" w:eastAsia="仿宋_GB2312"/>
          <w:sz w:val="32"/>
          <w:szCs w:val="32"/>
          <w:u/>
        </w:rPr>
        <w:t>12月末全市住房公积金缴存余额</w:t>
      </w:r>
      <w:r>
        <w:rPr>
          <w:rFonts w:ascii="仿宋_GB2312" w:eastAsia="仿宋_GB2312"/>
          <w:sz w:val="32"/>
          <w:u w:color="auto"/>
        </w:rPr>
        <w:t>0</w:t>
      </w:r>
      <w:r>
        <w:rPr>
          <w:rFonts w:ascii="仿宋_GB2312" w:eastAsia="仿宋_GB2312"/>
          <w:sz w:val="32"/>
          <w:u w:color="auto"/>
        </w:rPr>
        <w:t>亿元，住房公积金贷款余额</w:t>
      </w:r>
      <w:r>
        <w:rPr>
          <w:rFonts w:ascii="仿宋_GB2312" w:eastAsia="仿宋_GB2312"/>
          <w:sz w:val="32"/>
          <w:u w:color="auto"/>
        </w:rPr>
        <w:t>0</w:t>
      </w:r>
      <w:r>
        <w:rPr>
          <w:rFonts w:ascii="仿宋_GB2312" w:eastAsia="仿宋_GB2312"/>
          <w:sz w:val="32"/>
          <w:u w:color="auto"/>
        </w:rPr>
        <w:t>亿元，存贷比</w:t>
      </w:r>
      <w:r>
        <w:rPr>
          <w:rFonts w:ascii="仿宋_GB2312" w:eastAsia="仿宋_GB2312"/>
          <w:sz w:val="32"/>
          <w:u w:color="auto"/>
        </w:rPr>
        <w:t>0</w:t>
      </w:r>
      <w:r>
        <w:rPr>
          <w:rFonts w:ascii="仿宋_GB2312" w:eastAsia="仿宋_GB2312"/>
          <w:sz w:val="32"/>
          <w:u w:color="auto"/>
        </w:rPr>
        <w:t>%，较年初</w:t>
      </w:r>
      <w:r>
        <w:rPr>
          <w:rFonts w:ascii="仿宋_GB2312" w:eastAsia="仿宋_GB2312"/>
          <w:sz w:val="32"/>
          <w:u w:color="auto"/>
        </w:rPr>
        <w:t>下降</w:t>
      </w:r>
      <w:r>
        <w:rPr>
          <w:rFonts w:ascii="仿宋_GB2312" w:eastAsia="仿宋_GB2312"/>
          <w:sz w:val="32"/>
          <w:u w:color="auto"/>
        </w:rPr>
        <w:t>0</w:t>
      </w:r>
      <w:r>
        <w:rPr>
          <w:rFonts w:ascii="仿宋_GB2312" w:eastAsia="仿宋_GB2312"/>
          <w:sz w:val="32"/>
          <w:u w:color="auto"/>
        </w:rPr>
        <w:t>%，公转商贷款余额为</w:t>
      </w:r>
      <w:r>
        <w:rPr>
          <w:rFonts w:ascii="仿宋_GB2312" w:eastAsia="仿宋_GB2312"/>
          <w:sz w:val="32"/>
          <w:u w:color="auto"/>
        </w:rPr>
        <w:t>0</w:t>
      </w:r>
      <w:r>
        <w:rPr>
          <w:rFonts w:ascii="仿宋_GB2312" w:eastAsia="仿宋_GB2312"/>
          <w:sz w:val="32"/>
          <w:u w:color="auto"/>
        </w:rPr>
        <w:t>。</w:t>
      </w:r>
    </w:p>
    <w:p w14:paraId="3C96722B">
      <w:pPr>
        <w:rPr>
          <w:rFonts w:ascii="仿宋_GB2312" w:eastAsia="仿宋_GB2312"/>
          <w:sz w:val="32"/>
          <w:szCs w:val="32"/>
        </w:rPr>
      </w:pPr>
      <w:r>
        <w:rPr>
          <w:rFonts w:hint="eastAsia" w:ascii="仿宋_GB2312" w:eastAsia="仿宋_GB2312"/>
          <w:bCs/>
          <w:sz w:val="32"/>
          <w:szCs w:val="32"/>
        </w:rPr>
        <w:drawing>
          <wp:inline distT="0" distB="0" distL="0" distR="0">
            <wp:extent cx="5274310" cy="3076575"/>
            <wp:effectExtent l="5080" t="4445" r="16510" b="5080"/>
            <wp:docPr id="17" name="图表 17" descr="{{cdbbdqk}}"/>
            <wp:cNvGraphicFramePr/>
            <a:graphic xmlns:a="http://schemas.openxmlformats.org/drawingml/2006/main">
              <a:graphicData uri="http://schemas.openxmlformats.org/drawingml/2006/chart">
                <c:chart xmlns:c="http://schemas.openxmlformats.org/drawingml/2006/chart" r:id="rId18"/>
              </a:graphicData>
            </a:graphic>
          </wp:inline>
        </w:drawing>
      </w:r>
    </w:p>
    <w:p w14:paraId="72A6BBC1">
      <w:pPr>
        <w:spacing w:line="56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017DC225">
      <w:pPr>
        <w:spacing w:line="560" w:lineRule="exact"/>
        <w:ind w:firstLine="640" w:firstLineChars="200"/>
        <w:rPr>
          <w:rFonts w:ascii="仿宋_GB2312" w:eastAsia="仿宋_GB2312"/>
          <w:sz w:val="32"/>
          <w:szCs w:val="32"/>
        </w:rPr>
      </w:pPr>
      <w:r>
        <w:rPr>
          <w:rFonts w:ascii="仿宋_GB2312" w:eastAsia="仿宋_GB2312"/>
          <w:sz w:val="32"/>
          <w:szCs w:val="32"/>
        </w:rPr>
        <w:t>1.今年以来</w:t>
      </w:r>
      <w:r>
        <w:rPr>
          <w:rFonts w:ascii="仿宋_GB2312" w:eastAsia="仿宋_GB2312"/>
          <w:i/>
          <w:iCs/>
          <w:color w:val="FF0000"/>
          <w:sz w:val="32"/>
          <w:szCs w:val="32"/>
        </w:rPr>
        <w:t>请人工补充分析</w:t>
      </w:r>
      <w:r>
        <w:rPr>
          <w:rFonts w:ascii="仿宋_GB2312" w:eastAsia="仿宋_GB2312"/>
          <w:sz w:val="32"/>
          <w:szCs w:val="32"/>
          <w:u/>
        </w:rPr>
        <w:t>。平均每月存贷比</w:t>
      </w:r>
      <w:r>
        <w:rPr>
          <w:rFonts w:ascii="仿宋_GB2312" w:eastAsia="仿宋_GB2312"/>
          <w:sz w:val="32"/>
          <w:u w:color="auto"/>
        </w:rPr>
        <w:t>下降</w:t>
      </w:r>
      <w:r>
        <w:rPr>
          <w:rFonts w:ascii="仿宋_GB2312" w:eastAsia="仿宋_GB2312"/>
          <w:sz w:val="32"/>
          <w:u w:color="auto"/>
        </w:rPr>
        <w:t>0.0</w:t>
      </w:r>
      <w:r>
        <w:rPr>
          <w:rFonts w:ascii="仿宋_GB2312" w:eastAsia="仿宋_GB2312"/>
          <w:sz w:val="32"/>
          <w:u w:color="auto"/>
        </w:rPr>
        <w:t>%，请人工补充分析。</w:t>
      </w:r>
    </w:p>
    <w:p w14:paraId="508DAFA0">
      <w:pPr>
        <w:spacing w:line="560" w:lineRule="exact"/>
        <w:ind w:firstLine="640" w:firstLineChars="200"/>
        <w:rPr>
          <w:rFonts w:ascii="仿宋_GB2312" w:eastAsia="仿宋_GB2312"/>
          <w:sz w:val="32"/>
          <w:szCs w:val="32"/>
        </w:rPr>
      </w:pPr>
      <w:r>
        <w:rPr>
          <w:rFonts w:ascii="仿宋_GB2312" w:eastAsia="仿宋_GB2312"/>
          <w:sz w:val="32"/>
          <w:szCs w:val="32"/>
          <w:u/>
        </w:rPr>
        <w:t>2.全市各分支机构存贷比高低不均，各机构全口径存贷比从高到低排序为：</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。年末共有</w:t>
      </w:r>
      <w:r>
        <w:rPr>
          <w:rFonts w:ascii="仿宋_GB2312" w:eastAsia="仿宋_GB2312"/>
          <w:sz w:val="32"/>
          <w:u w:color="auto"/>
        </w:rPr>
        <w:t>3</w:t>
      </w:r>
      <w:r>
        <w:rPr>
          <w:rFonts w:ascii="仿宋_GB2312" w:eastAsia="仿宋_GB2312"/>
          <w:sz w:val="32"/>
          <w:u w:color="auto"/>
        </w:rPr>
        <w:t>个分支机构存贷比超过95%，</w:t>
      </w:r>
      <w:r>
        <w:rPr>
          <w:rFonts w:ascii="仿宋_GB2312" w:eastAsia="仿宋_GB2312"/>
          <w:sz w:val="32"/>
          <w:u w:color="auto"/>
        </w:rPr>
        <w:t>7</w:t>
      </w:r>
      <w:r>
        <w:rPr>
          <w:rFonts w:ascii="仿宋_GB2312" w:eastAsia="仿宋_GB2312"/>
          <w:sz w:val="32"/>
          <w:u w:color="auto"/>
        </w:rPr>
        <w:t>个分支机构存贷比低于85%。</w:t>
      </w:r>
    </w:p>
    <w:p w14:paraId="66977114">
      <w:pPr>
        <w:rPr>
          <w:rFonts w:ascii="仿宋_GB2312" w:eastAsia="仿宋_GB2312"/>
          <w:sz w:val="32"/>
          <w:szCs w:val="32"/>
        </w:rPr>
      </w:pPr>
      <w:r>
        <w:rPr>
          <w:rFonts w:hint="eastAsia" w:ascii="仿宋_GB2312" w:eastAsia="仿宋_GB2312"/>
          <w:bCs/>
          <w:sz w:val="32"/>
          <w:szCs w:val="32"/>
        </w:rPr>
        <w:drawing>
          <wp:inline distT="0" distB="0" distL="0" distR="0">
            <wp:extent cx="5274310" cy="3076575"/>
            <wp:effectExtent l="5080" t="4445" r="16510" b="5080"/>
            <wp:docPr id="18" name="图表 18" descr="{{qsgjgcdbqk}}"/>
            <wp:cNvGraphicFramePr/>
            <a:graphic xmlns:a="http://schemas.openxmlformats.org/drawingml/2006/main">
              <a:graphicData uri="http://schemas.openxmlformats.org/drawingml/2006/chart">
                <c:chart xmlns:c="http://schemas.openxmlformats.org/drawingml/2006/chart" r:id="rId19"/>
              </a:graphicData>
            </a:graphic>
          </wp:inline>
        </w:drawing>
      </w:r>
    </w:p>
    <w:p w14:paraId="5AD9FD68">
      <w:pPr>
        <w:spacing w:line="560" w:lineRule="exact"/>
        <w:ind w:firstLine="640" w:firstLineChars="200"/>
        <w:rPr>
          <w:rFonts w:ascii="仿宋_GB2312" w:eastAsia="仿宋_GB2312"/>
          <w:sz w:val="32"/>
          <w:szCs w:val="32"/>
        </w:rPr>
      </w:pPr>
      <w:r>
        <w:rPr>
          <w:rFonts w:ascii="仿宋_GB2312" w:eastAsia="仿宋_GB2312"/>
          <w:sz w:val="32"/>
          <w:szCs w:val="32"/>
        </w:rPr>
        <w:t>3.全省各地住房公积金存贷比相差较大，</w:t>
      </w:r>
      <w:r>
        <w:rPr>
          <w:rFonts w:ascii="仿宋_GB2312" w:eastAsia="仿宋_GB2312"/>
          <w:i/>
          <w:iCs/>
          <w:color w:val="FF0000"/>
          <w:sz w:val="32"/>
          <w:szCs w:val="32"/>
        </w:rPr>
        <w:t>请人工补充分析</w:t>
      </w:r>
      <w:r>
        <w:rPr>
          <w:rFonts w:ascii="仿宋_GB2312" w:eastAsia="仿宋_GB2312"/>
          <w:sz w:val="32"/>
          <w:szCs w:val="32"/>
        </w:rPr>
        <w:t>，</w:t>
      </w:r>
      <w:r>
        <w:rPr>
          <w:rFonts w:hint="eastAsia" w:ascii="仿宋_GB2312" w:eastAsia="仿宋_GB2312"/>
          <w:sz w:val="32"/>
          <w:szCs w:val="32"/>
          <w:lang w:eastAsia="zh-CN"/>
        </w:rPr>
        <w:t>枣庄</w:t>
      </w:r>
      <w:r>
        <w:rPr>
          <w:rFonts w:ascii="仿宋_GB2312" w:eastAsia="仿宋_GB2312"/>
          <w:sz w:val="32"/>
          <w:szCs w:val="32"/>
        </w:rPr>
        <w:t>存贷比</w:t>
      </w:r>
      <w:r>
        <w:rPr>
          <w:rFonts w:ascii="仿宋_GB2312" w:eastAsia="仿宋_GB2312"/>
          <w:i/>
          <w:iCs/>
          <w:color w:val="FF0000"/>
          <w:sz w:val="32"/>
          <w:szCs w:val="32"/>
        </w:rPr>
        <w:t>请人工补充分析</w:t>
      </w:r>
      <w:r>
        <w:rPr>
          <w:rFonts w:ascii="仿宋_GB2312" w:eastAsia="仿宋_GB2312"/>
          <w:sz w:val="32"/>
          <w:szCs w:val="32"/>
        </w:rPr>
        <w:t>。</w:t>
      </w:r>
    </w:p>
    <w:p w14:paraId="77DB6342">
      <w:pPr>
        <w:rPr>
          <w:rFonts w:ascii="仿宋_GB2312" w:eastAsia="仿宋_GB2312"/>
          <w:sz w:val="32"/>
          <w:szCs w:val="32"/>
        </w:rPr>
      </w:pPr>
      <w:r>
        <w:rPr>
          <w:rFonts w:hint="eastAsia" w:ascii="仿宋_GB2312" w:eastAsia="仿宋_GB2312"/>
          <w:bCs/>
          <w:sz w:val="32"/>
          <w:szCs w:val="32"/>
        </w:rPr>
        <w:drawing>
          <wp:inline distT="0" distB="0" distL="0" distR="0">
            <wp:extent cx="5274310" cy="3076575"/>
            <wp:effectExtent l="5080" t="4445" r="16510" b="5080"/>
            <wp:docPr id="16" name="图表 16" descr="{{qsgdzfgjjcdbqk}}"/>
            <wp:cNvGraphicFramePr/>
            <a:graphic xmlns:a="http://schemas.openxmlformats.org/drawingml/2006/main">
              <a:graphicData uri="http://schemas.openxmlformats.org/drawingml/2006/chart">
                <c:chart xmlns:c="http://schemas.openxmlformats.org/drawingml/2006/chart" r:id="rId20"/>
              </a:graphicData>
            </a:graphic>
          </wp:inline>
        </w:drawing>
      </w:r>
    </w:p>
    <w:p w14:paraId="367BCB12">
      <w:pPr>
        <w:spacing w:line="560" w:lineRule="exact"/>
        <w:ind w:firstLine="643" w:firstLineChars="200"/>
        <w:rPr>
          <w:rFonts w:ascii="楷体" w:hAnsi="楷体" w:eastAsia="楷体"/>
          <w:b/>
          <w:sz w:val="32"/>
          <w:szCs w:val="32"/>
        </w:rPr>
      </w:pPr>
      <w:r>
        <w:rPr>
          <w:rFonts w:hint="eastAsia" w:ascii="楷体" w:hAnsi="楷体" w:eastAsia="楷体"/>
          <w:b/>
          <w:sz w:val="32"/>
          <w:szCs w:val="32"/>
        </w:rPr>
        <w:t>（七）业务收支及增值收益情况</w:t>
      </w:r>
    </w:p>
    <w:p w14:paraId="462A4130">
      <w:pPr>
        <w:spacing w:line="560" w:lineRule="exact"/>
        <w:ind w:firstLine="640" w:firstLineChars="200"/>
        <w:rPr>
          <w:rFonts w:ascii="仿宋_GB2312" w:eastAsia="仿宋_GB2312"/>
          <w:sz w:val="32"/>
          <w:szCs w:val="32"/>
        </w:rPr>
      </w:pPr>
      <w:r>
        <w:rPr>
          <w:rFonts w:ascii="仿宋_GB2312" w:eastAsia="仿宋_GB2312"/>
          <w:sz w:val="32"/>
          <w:szCs w:val="32"/>
          <w:u/>
        </w:rPr>
        <w:t>2026</w:t>
      </w:r>
      <w:r>
        <w:rPr>
          <w:rFonts w:ascii="仿宋_GB2312" w:eastAsia="仿宋_GB2312"/>
          <w:sz w:val="32"/>
          <w:u w:color="auto"/>
        </w:rPr>
        <w:t>年全市实现增值收益</w:t>
      </w:r>
      <w:r>
        <w:rPr>
          <w:rFonts w:ascii="仿宋_GB2312" w:eastAsia="仿宋_GB2312"/>
          <w:sz w:val="32"/>
          <w:u w:color="auto"/>
        </w:rPr>
        <w:t>0</w:t>
      </w:r>
      <w:r>
        <w:rPr>
          <w:rFonts w:ascii="仿宋_GB2312" w:eastAsia="仿宋_GB2312"/>
          <w:sz w:val="32"/>
          <w:u w:color="auto"/>
        </w:rPr>
        <w:t>亿元，同比</w:t>
      </w:r>
      <w:r>
        <w:rPr>
          <w:rFonts w:ascii="仿宋_GB2312" w:eastAsia="仿宋_GB2312"/>
          <w:sz w:val="32"/>
          <w:u w:color="auto"/>
        </w:rPr>
        <w:t>下降</w:t>
      </w:r>
      <w:r>
        <w:rPr>
          <w:rFonts w:ascii="仿宋_GB2312" w:eastAsia="仿宋_GB2312"/>
          <w:sz w:val="32"/>
          <w:u w:color="auto"/>
        </w:rPr>
        <w:t>0</w:t>
      </w:r>
      <w:r>
        <w:rPr>
          <w:rFonts w:ascii="仿宋_GB2312" w:eastAsia="仿宋_GB2312"/>
          <w:sz w:val="32"/>
          <w:u w:color="auto"/>
        </w:rPr>
        <w:t>%，较去年同期</w:t>
      </w:r>
      <w:r>
        <w:rPr>
          <w:rFonts w:ascii="仿宋_GB2312" w:eastAsia="仿宋_GB2312"/>
          <w:sz w:val="32"/>
          <w:u w:color="auto"/>
        </w:rPr>
        <w:t>减少</w:t>
      </w:r>
      <w:r>
        <w:rPr>
          <w:rFonts w:ascii="仿宋_GB2312" w:eastAsia="仿宋_GB2312"/>
          <w:sz w:val="32"/>
          <w:u w:color="auto"/>
        </w:rPr>
        <w:t>0</w:t>
      </w:r>
      <w:r>
        <w:rPr>
          <w:rFonts w:ascii="仿宋_GB2312" w:eastAsia="仿宋_GB2312"/>
          <w:sz w:val="32"/>
          <w:u w:color="auto"/>
        </w:rPr>
        <w:t>万元，同比月</w:t>
      </w:r>
      <w:r>
        <w:rPr>
          <w:rFonts w:ascii="仿宋_GB2312" w:eastAsia="仿宋_GB2312"/>
          <w:sz w:val="32"/>
          <w:u w:color="auto"/>
        </w:rPr>
        <w:t>下降</w:t>
      </w:r>
      <w:r>
        <w:rPr>
          <w:rFonts w:ascii="仿宋_GB2312" w:eastAsia="仿宋_GB2312"/>
          <w:sz w:val="32"/>
          <w:u w:color="auto"/>
        </w:rPr>
        <w:t>金额约</w:t>
      </w:r>
      <w:r>
        <w:rPr>
          <w:rFonts w:ascii="仿宋_GB2312" w:eastAsia="仿宋_GB2312"/>
          <w:sz w:val="32"/>
          <w:u w:color="auto"/>
        </w:rPr>
        <w:t>0.0</w:t>
      </w:r>
      <w:r>
        <w:rPr>
          <w:rFonts w:ascii="仿宋_GB2312" w:eastAsia="仿宋_GB2312"/>
          <w:sz w:val="32"/>
          <w:u w:color="auto"/>
        </w:rPr>
        <w:t>万元；业务收入</w:t>
      </w:r>
      <w:r>
        <w:rPr>
          <w:rFonts w:ascii="仿宋_GB2312" w:eastAsia="仿宋_GB2312"/>
          <w:sz w:val="32"/>
          <w:u w:color="auto"/>
        </w:rPr>
        <w:t>3.86</w:t>
      </w:r>
      <w:r>
        <w:rPr>
          <w:rFonts w:ascii="仿宋_GB2312" w:eastAsia="仿宋_GB2312"/>
          <w:sz w:val="32"/>
          <w:u w:color="auto"/>
        </w:rPr>
        <w:t>亿元，同比</w:t>
      </w:r>
      <w:r>
        <w:rPr>
          <w:rFonts w:ascii="仿宋_GB2312" w:eastAsia="仿宋_GB2312"/>
          <w:sz w:val="32"/>
          <w:u w:color="auto"/>
        </w:rPr>
        <w:t>下降</w:t>
      </w:r>
      <w:r>
        <w:rPr>
          <w:rFonts w:ascii="仿宋_GB2312" w:eastAsia="仿宋_GB2312"/>
          <w:sz w:val="32"/>
          <w:u w:color="auto"/>
        </w:rPr>
        <w:t>28.09</w:t>
      </w:r>
      <w:r>
        <w:rPr>
          <w:rFonts w:ascii="仿宋_GB2312" w:eastAsia="仿宋_GB2312"/>
          <w:sz w:val="32"/>
          <w:u w:color="auto"/>
        </w:rPr>
        <w:t>%；业务支出</w:t>
      </w:r>
      <w:r>
        <w:rPr>
          <w:rFonts w:ascii="仿宋_GB2312" w:eastAsia="仿宋_GB2312"/>
          <w:sz w:val="32"/>
          <w:u w:color="auto"/>
        </w:rPr>
        <w:t>2.67</w:t>
      </w:r>
      <w:r>
        <w:rPr>
          <w:rFonts w:ascii="仿宋_GB2312" w:eastAsia="仿宋_GB2312"/>
          <w:sz w:val="32"/>
          <w:u w:color="auto"/>
        </w:rPr>
        <w:t>亿元，同比增长</w:t>
      </w:r>
      <w:r>
        <w:rPr>
          <w:rFonts w:ascii="仿宋_GB2312" w:eastAsia="仿宋_GB2312"/>
          <w:sz w:val="32"/>
          <w:u w:color="auto"/>
        </w:rPr>
        <w:t>-13.08</w:t>
      </w:r>
      <w:r>
        <w:rPr>
          <w:rFonts w:ascii="仿宋_GB2312" w:eastAsia="仿宋_GB2312"/>
          <w:sz w:val="32"/>
          <w:u w:color="auto"/>
        </w:rPr>
        <w:t>%。请人工补充分析。</w:t>
      </w:r>
    </w:p>
    <w:p w14:paraId="5E13AB7F">
      <w:pPr>
        <w:spacing w:line="560" w:lineRule="exact"/>
        <w:jc w:val="center"/>
        <w:rPr>
          <w:rFonts w:ascii="宋体" w:hAnsi="宋体" w:eastAsia="宋体"/>
          <w:b/>
          <w:bCs/>
          <w:sz w:val="28"/>
          <w:szCs w:val="28"/>
        </w:rPr>
      </w:pPr>
      <w:r>
        <w:rPr>
          <w:rFonts w:ascii="宋体" w:hAnsi="宋体" w:eastAsia="宋体"/>
          <w:b/>
          <w:bCs/>
          <w:sz w:val="28"/>
          <w:szCs w:val="28"/>
          <w:u/>
        </w:rPr>
        <w:t>2026</w:t>
      </w:r>
      <w:r>
        <w:rPr>
          <w:b w:val="on"/>
          <w:rFonts w:ascii="宋体" w:eastAsia="宋体" w:hAnsi="宋体"/>
          <w:sz w:val="28"/>
          <w:u w:color="auto"/>
        </w:rPr>
        <w:t>年增值收益变动情况表（单位：万元）</w:t>
      </w:r>
    </w:p>
    <w:tbl>
      <w:tblPr>
        <w:tblW w:w="5000" w:type="pct"/>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type="dxa" w:w="107"/>
          <w:right w:type="dxa" w:w="107"/>
        </w:tblCellMar>
      </w:tblPr>
      <w:tblGrid>
        <w:gridCol w:w="2076"/>
        <w:gridCol w:w="2076"/>
        <w:gridCol w:w="2076"/>
        <w:gridCol w:w="2076"/>
      </w:tblGrid>
      <w:tr>
        <w:tc>
          <w:tcPr>
            <w:tcW w:type="pct" w:w="1250"/>
          </w:tcPr>
          <w:p>
            <w:pPr>
              <w:pBdr/>
              <w:ind/>
            </w:pPr>
            <w:r>
              <w:rPr>
                <w:u w:color="auto"/>
                <w:sz w:val="32"/>
                <w:rFonts w:eastAsia="仿宋_GB2312" w:ascii="仿宋_GB2312" w:hAnsi="仿宋_GB2312" w:cs="仿宋_GB2312"/>
              </w:rPr>
              <w:t>项 目</w:t>
            </w:r>
            <w:r>
              <w:rPr>
                <w:u/>
              </w:rPr>
            </w:r>
          </w:p>
        </w:tc>
        <w:tc>
          <w:tcPr>
            <w:tcW w:type="pct" w:w="1250"/>
          </w:tcPr>
          <w:p>
            <w:pPr>
              <w:pBdr/>
              <w:ind/>
            </w:pPr>
            <w:r>
              <w:rPr>
                <w:u w:color="auto"/>
                <w:sz w:val="32"/>
                <w:rFonts w:eastAsia="仿宋_GB2312" w:ascii="仿宋_GB2312" w:hAnsi="仿宋_GB2312" w:cs="仿宋_GB2312"/>
              </w:rPr>
              <w:t>年度数字</w:t>
            </w:r>
            <w:r>
              <w:rPr>
                <w:u/>
              </w:rPr>
            </w:r>
          </w:p>
        </w:tc>
        <w:tc>
          <w:tcPr>
            <w:tcW w:type="pct" w:w="1250"/>
          </w:tcPr>
          <w:p>
            <w:pPr>
              <w:pBdr/>
              <w:ind/>
            </w:pPr>
            <w:r>
              <w:rPr>
                <w:u w:color="auto"/>
                <w:sz w:val="32"/>
                <w:rFonts w:eastAsia="仿宋_GB2312" w:ascii="仿宋_GB2312" w:hAnsi="仿宋_GB2312" w:cs="仿宋_GB2312"/>
              </w:rPr>
              <w:t>同比变动额</w:t>
            </w:r>
            <w:r>
              <w:rPr>
                <w:u/>
              </w:rPr>
            </w:r>
          </w:p>
        </w:tc>
        <w:tc>
          <w:tcPr>
            <w:tcW w:type="pct" w:w="1250"/>
          </w:tcPr>
          <w:p>
            <w:pPr>
              <w:pBdr/>
              <w:ind/>
            </w:pPr>
            <w:r>
              <w:rPr>
                <w:u w:color="auto"/>
                <w:sz w:val="32"/>
                <w:rFonts w:eastAsia="仿宋_GB2312" w:ascii="仿宋_GB2312" w:hAnsi="仿宋_GB2312" w:cs="仿宋_GB2312"/>
              </w:rPr>
              <w:t>同比变动率</w:t>
            </w:r>
            <w:r>
              <w:rPr>
                <w:u/>
              </w:rPr>
            </w:r>
          </w:p>
        </w:tc>
      </w:tr>
      <w:tr>
        <w:tc>
          <w:tcPr>
            <w:tcW w:type="pct" w:w="1250"/>
          </w:tcPr>
          <w:p>
            <w:pPr>
              <w:pBdr/>
              <w:ind/>
            </w:pPr>
            <w:r>
              <w:rPr>
                <w:u w:color="auto"/>
                <w:sz w:val="32"/>
                <w:rFonts w:eastAsia="仿宋_GB2312" w:ascii="仿宋_GB2312" w:hAnsi="仿宋_GB2312" w:cs="仿宋_GB2312"/>
              </w:rPr>
              <w:t>一、业务收入</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-15065.84</w:t>
            </w:r>
            <w:r>
              <w:rPr>
                <w:u/>
              </w:rPr>
            </w:r>
          </w:p>
        </w:tc>
        <w:tc>
          <w:tcPr>
            <w:tcW w:type="pct" w:w="1250"/>
          </w:tcPr>
          <w:p>
            <w:pPr>
              <w:pBdr/>
              <w:ind/>
            </w:pPr>
            <w:r>
              <w:rPr>
                <w:u w:color="auto"/>
                <w:sz w:val="32"/>
                <w:rFonts w:eastAsia="仿宋_GB2312" w:ascii="仿宋_GB2312" w:hAnsi="仿宋_GB2312" w:cs="仿宋_GB2312"/>
              </w:rPr>
              <w:t>-28.09%</w:t>
            </w:r>
            <w:r>
              <w:rPr>
                <w:u/>
              </w:rPr>
            </w:r>
          </w:p>
        </w:tc>
      </w:tr>
      <w:tr>
        <w:tc>
          <w:tcPr>
            <w:tcW w:type="pct" w:w="1250"/>
          </w:tcPr>
          <w:p>
            <w:pPr>
              <w:pBdr/>
              <w:ind/>
            </w:pPr>
            <w:r>
              <w:rPr>
                <w:u w:color="auto"/>
                <w:sz w:val="32"/>
                <w:rFonts w:eastAsia="仿宋_GB2312" w:ascii="仿宋_GB2312" w:hAnsi="仿宋_GB2312" w:cs="仿宋_GB2312"/>
              </w:rPr>
              <w:t>1.住房公积金利息收入</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-883.19</w:t>
            </w:r>
            <w:r>
              <w:rPr>
                <w:u/>
              </w:rPr>
            </w:r>
          </w:p>
        </w:tc>
        <w:tc>
          <w:tcPr>
            <w:tcW w:type="pct" w:w="1250"/>
          </w:tcPr>
          <w:p>
            <w:pPr>
              <w:pBdr/>
              <w:ind/>
            </w:pPr>
            <w:r>
              <w:rPr>
                <w:u w:color="auto"/>
                <w:sz w:val="32"/>
                <w:rFonts w:eastAsia="仿宋_GB2312" w:ascii="仿宋_GB2312" w:hAnsi="仿宋_GB2312" w:cs="仿宋_GB2312"/>
              </w:rPr>
              <w:t>-8.01%</w:t>
            </w:r>
            <w:r>
              <w:rPr>
                <w:u/>
              </w:rPr>
            </w:r>
          </w:p>
        </w:tc>
      </w:tr>
      <w:tr>
        <w:tc>
          <w:tcPr>
            <w:tcW w:type="pct" w:w="1250"/>
          </w:tcPr>
          <w:p>
            <w:pPr>
              <w:pBdr/>
              <w:ind/>
            </w:pPr>
            <w:r>
              <w:rPr>
                <w:u w:color="auto"/>
                <w:sz w:val="32"/>
                <w:rFonts w:eastAsia="仿宋_GB2312" w:ascii="仿宋_GB2312" w:hAnsi="仿宋_GB2312" w:cs="仿宋_GB2312"/>
              </w:rPr>
              <w:t>2.增值收益利息收入</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-86.1</w:t>
            </w:r>
            <w:r>
              <w:rPr>
                <w:u/>
              </w:rPr>
            </w:r>
          </w:p>
        </w:tc>
        <w:tc>
          <w:tcPr>
            <w:tcW w:type="pct" w:w="1250"/>
          </w:tcPr>
          <w:p>
            <w:pPr>
              <w:pBdr/>
              <w:ind/>
            </w:pPr>
            <w:r>
              <w:rPr>
                <w:u w:color="auto"/>
                <w:sz w:val="32"/>
                <w:rFonts w:eastAsia="仿宋_GB2312" w:ascii="仿宋_GB2312" w:hAnsi="仿宋_GB2312" w:cs="仿宋_GB2312"/>
              </w:rPr>
              <w:t>-14.06%</w:t>
            </w:r>
            <w:r>
              <w:rPr>
                <w:u/>
              </w:rPr>
            </w:r>
          </w:p>
        </w:tc>
      </w:tr>
      <w:tr>
        <w:tc>
          <w:tcPr>
            <w:tcW w:type="pct" w:w="1250"/>
          </w:tcPr>
          <w:p>
            <w:pPr>
              <w:pBdr/>
              <w:ind/>
            </w:pPr>
            <w:r>
              <w:rPr>
                <w:u w:color="auto"/>
                <w:sz w:val="32"/>
                <w:rFonts w:eastAsia="仿宋_GB2312" w:ascii="仿宋_GB2312" w:hAnsi="仿宋_GB2312" w:cs="仿宋_GB2312"/>
              </w:rPr>
              <w:t>3.委托贷款利息收入</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-14093.63</w:t>
            </w:r>
            <w:r>
              <w:rPr>
                <w:u/>
              </w:rPr>
            </w:r>
          </w:p>
        </w:tc>
        <w:tc>
          <w:tcPr>
            <w:tcW w:type="pct" w:w="1250"/>
          </w:tcPr>
          <w:p>
            <w:pPr>
              <w:pBdr/>
              <w:ind/>
            </w:pPr>
            <w:r>
              <w:rPr>
                <w:u w:color="auto"/>
                <w:sz w:val="32"/>
                <w:rFonts w:eastAsia="仿宋_GB2312" w:ascii="仿宋_GB2312" w:hAnsi="仿宋_GB2312" w:cs="仿宋_GB2312"/>
              </w:rPr>
              <w:t>-33.56%</w:t>
            </w:r>
            <w:r>
              <w:rPr>
                <w:u/>
              </w:rPr>
            </w:r>
          </w:p>
        </w:tc>
      </w:tr>
      <w:tr>
        <w:tc>
          <w:tcPr>
            <w:tcW w:type="pct" w:w="1250"/>
          </w:tcPr>
          <w:p>
            <w:pPr>
              <w:pBdr/>
              <w:ind/>
            </w:pPr>
            <w:r>
              <w:rPr>
                <w:u w:color="auto"/>
                <w:sz w:val="32"/>
                <w:rFonts w:eastAsia="仿宋_GB2312" w:ascii="仿宋_GB2312" w:hAnsi="仿宋_GB2312" w:cs="仿宋_GB2312"/>
              </w:rPr>
              <w:t>4.国家债券利息收入</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0</w:t>
            </w:r>
            <w:r>
              <w:rPr>
                <w:u/>
              </w:rPr>
            </w:r>
          </w:p>
        </w:tc>
        <w:tc>
          <w:tcPr>
            <w:tcW w:type="pct" w:w="1250"/>
          </w:tcPr>
          <w:p>
            <w:pPr>
              <w:pBdr/>
              <w:ind/>
            </w:pPr>
            <w:r>
              <w:rPr>
                <w:u w:color="auto"/>
                <w:sz w:val="32"/>
                <w:rFonts w:eastAsia="仿宋_GB2312" w:ascii="仿宋_GB2312" w:hAnsi="仿宋_GB2312" w:cs="仿宋_GB2312"/>
              </w:rPr>
              <w:t>0%</w:t>
            </w:r>
            <w:r>
              <w:rPr>
                <w:u/>
              </w:rPr>
            </w:r>
          </w:p>
        </w:tc>
      </w:tr>
      <w:tr>
        <w:tc>
          <w:tcPr>
            <w:tcW w:type="pct" w:w="1250"/>
          </w:tcPr>
          <w:p>
            <w:pPr>
              <w:pBdr/>
              <w:ind/>
            </w:pPr>
            <w:r>
              <w:rPr>
                <w:u w:color="auto"/>
                <w:sz w:val="32"/>
                <w:rFonts w:eastAsia="仿宋_GB2312" w:ascii="仿宋_GB2312" w:hAnsi="仿宋_GB2312" w:cs="仿宋_GB2312"/>
              </w:rPr>
              <w:t>5.其他收入</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-2.93</w:t>
            </w:r>
            <w:r>
              <w:rPr>
                <w:u/>
              </w:rPr>
            </w:r>
          </w:p>
        </w:tc>
        <w:tc>
          <w:tcPr>
            <w:tcW w:type="pct" w:w="1250"/>
          </w:tcPr>
          <w:p>
            <w:pPr>
              <w:pBdr/>
              <w:ind/>
            </w:pPr>
            <w:r>
              <w:rPr>
                <w:u w:color="auto"/>
                <w:sz w:val="32"/>
                <w:rFonts w:eastAsia="仿宋_GB2312" w:ascii="仿宋_GB2312" w:hAnsi="仿宋_GB2312" w:cs="仿宋_GB2312"/>
              </w:rPr>
              <w:t>-60.95%</w:t>
            </w:r>
            <w:r>
              <w:rPr>
                <w:u/>
              </w:rPr>
            </w:r>
          </w:p>
        </w:tc>
      </w:tr>
      <w:tr>
        <w:tc>
          <w:tcPr>
            <w:tcW w:type="pct" w:w="1250"/>
          </w:tcPr>
          <w:p>
            <w:pPr>
              <w:pBdr/>
              <w:ind/>
            </w:pPr>
            <w:r>
              <w:rPr>
                <w:u w:color="auto"/>
                <w:sz w:val="32"/>
                <w:rFonts w:eastAsia="仿宋_GB2312" w:ascii="仿宋_GB2312" w:hAnsi="仿宋_GB2312" w:cs="仿宋_GB2312"/>
              </w:rPr>
              <w:t>二、业务支出</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-5998.88</w:t>
            </w:r>
            <w:r>
              <w:rPr>
                <w:u/>
              </w:rPr>
            </w:r>
          </w:p>
        </w:tc>
        <w:tc>
          <w:tcPr>
            <w:tcW w:type="pct" w:w="1250"/>
          </w:tcPr>
          <w:p>
            <w:pPr>
              <w:pBdr/>
              <w:ind/>
            </w:pPr>
            <w:r>
              <w:rPr>
                <w:u w:color="auto"/>
                <w:sz w:val="32"/>
                <w:rFonts w:eastAsia="仿宋_GB2312" w:ascii="仿宋_GB2312" w:hAnsi="仿宋_GB2312" w:cs="仿宋_GB2312"/>
              </w:rPr>
              <w:t>-18.33%</w:t>
            </w:r>
            <w:r>
              <w:rPr>
                <w:u/>
              </w:rPr>
            </w:r>
          </w:p>
        </w:tc>
      </w:tr>
      <w:tr>
        <w:tc>
          <w:tcPr>
            <w:tcW w:type="pct" w:w="1250"/>
          </w:tcPr>
          <w:p>
            <w:pPr>
              <w:pBdr/>
              <w:ind/>
            </w:pPr>
            <w:r>
              <w:rPr>
                <w:u w:color="auto"/>
                <w:sz w:val="32"/>
                <w:rFonts w:eastAsia="仿宋_GB2312" w:ascii="仿宋_GB2312" w:hAnsi="仿宋_GB2312" w:cs="仿宋_GB2312"/>
              </w:rPr>
              <w:t>1.住房公积金归集手续费支出</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-5841.14</w:t>
            </w:r>
            <w:r>
              <w:rPr>
                <w:u/>
              </w:rPr>
            </w:r>
          </w:p>
        </w:tc>
        <w:tc>
          <w:tcPr>
            <w:tcW w:type="pct" w:w="1250"/>
          </w:tcPr>
          <w:p>
            <w:pPr>
              <w:pBdr/>
              <w:ind/>
            </w:pPr>
            <w:r>
              <w:rPr>
                <w:u w:color="auto"/>
                <w:sz w:val="32"/>
                <w:rFonts w:eastAsia="仿宋_GB2312" w:ascii="仿宋_GB2312" w:hAnsi="仿宋_GB2312" w:cs="仿宋_GB2312"/>
              </w:rPr>
              <w:t>-18.79%</w:t>
            </w:r>
            <w:r>
              <w:rPr>
                <w:u/>
              </w:rPr>
            </w:r>
          </w:p>
        </w:tc>
      </w:tr>
      <w:tr>
        <w:tc>
          <w:tcPr>
            <w:tcW w:type="pct" w:w="1250"/>
          </w:tcPr>
          <w:p>
            <w:pPr>
              <w:pBdr/>
              <w:ind/>
            </w:pPr>
            <w:r>
              <w:rPr>
                <w:u w:color="auto"/>
                <w:sz w:val="32"/>
                <w:rFonts w:eastAsia="仿宋_GB2312" w:ascii="仿宋_GB2312" w:hAnsi="仿宋_GB2312" w:cs="仿宋_GB2312"/>
              </w:rPr>
              <w:t>2.委托贷款手续费支出</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-325.98</w:t>
            </w:r>
            <w:r>
              <w:rPr>
                <w:u/>
              </w:rPr>
            </w:r>
          </w:p>
        </w:tc>
        <w:tc>
          <w:tcPr>
            <w:tcW w:type="pct" w:w="1250"/>
          </w:tcPr>
          <w:p>
            <w:pPr>
              <w:pBdr/>
              <w:ind/>
            </w:pPr>
            <w:r>
              <w:rPr>
                <w:u w:color="auto"/>
                <w:sz w:val="32"/>
                <w:rFonts w:eastAsia="仿宋_GB2312" w:ascii="仿宋_GB2312" w:hAnsi="仿宋_GB2312" w:cs="仿宋_GB2312"/>
              </w:rPr>
              <w:t>-20.85%</w:t>
            </w:r>
            <w:r>
              <w:rPr>
                <w:u/>
              </w:rPr>
            </w:r>
          </w:p>
        </w:tc>
      </w:tr>
      <w:tr>
        <w:tc>
          <w:tcPr>
            <w:tcW w:type="pct" w:w="1250"/>
          </w:tcPr>
          <w:p>
            <w:pPr>
              <w:pBdr/>
              <w:ind/>
            </w:pPr>
            <w:r>
              <w:rPr>
                <w:u w:color="auto"/>
                <w:sz w:val="32"/>
                <w:rFonts w:eastAsia="仿宋_GB2312" w:ascii="仿宋_GB2312" w:hAnsi="仿宋_GB2312" w:cs="仿宋_GB2312"/>
              </w:rPr>
              <w:t>3.其他支出</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168.24</w:t>
            </w:r>
            <w:r>
              <w:rPr>
                <w:u/>
              </w:rPr>
            </w:r>
          </w:p>
        </w:tc>
        <w:tc>
          <w:tcPr>
            <w:tcW w:type="pct" w:w="1250"/>
          </w:tcPr>
          <w:p>
            <w:pPr>
              <w:pBdr/>
              <w:ind/>
            </w:pPr>
            <w:r>
              <w:rPr>
                <w:u w:color="auto"/>
                <w:sz w:val="32"/>
                <w:rFonts w:eastAsia="仿宋_GB2312" w:ascii="仿宋_GB2312" w:hAnsi="仿宋_GB2312" w:cs="仿宋_GB2312"/>
              </w:rPr>
              <w:t>242.39%</w:t>
            </w:r>
            <w:r>
              <w:rPr>
                <w:u/>
              </w:rPr>
            </w:r>
          </w:p>
        </w:tc>
      </w:tr>
      <w:tr>
        <w:tc>
          <w:tcPr>
            <w:tcW w:type="pct" w:w="1250"/>
          </w:tcPr>
          <w:p>
            <w:pPr>
              <w:pBdr/>
              <w:ind/>
            </w:pPr>
            <w:r>
              <w:rPr>
                <w:u w:color="auto"/>
                <w:sz w:val="32"/>
                <w:rFonts w:eastAsia="仿宋_GB2312" w:ascii="仿宋_GB2312" w:hAnsi="仿宋_GB2312" w:cs="仿宋_GB2312"/>
              </w:rPr>
              <w:t>三、增值收益</w:t>
            </w:r>
            <w:r>
              <w:rPr>
                <w:u/>
              </w:rPr>
            </w:r>
          </w:p>
        </w:tc>
        <w:tc>
          <w:tcPr>
            <w:tcW w:type="pct" w:w="1250"/>
          </w:tcPr>
          <w:p>
            <w:pPr>
              <w:pBdr/>
              <w:ind/>
            </w:pPr>
            <w:r>
              <w:rPr>
                <w:u w:color="auto"/>
                <w:sz w:val="32"/>
                <w:rFonts w:eastAsia="仿宋_GB2312" w:ascii="仿宋_GB2312" w:hAnsi="仿宋_GB2312" w:cs="仿宋_GB2312"/>
              </w:rPr>
              <w:t/>
            </w:r>
            <w:r>
              <w:rPr>
                <w:u/>
              </w:rPr>
            </w:r>
          </w:p>
        </w:tc>
        <w:tc>
          <w:tcPr>
            <w:tcW w:type="pct" w:w="1250"/>
          </w:tcPr>
          <w:p>
            <w:pPr>
              <w:pBdr/>
              <w:ind/>
            </w:pPr>
            <w:r>
              <w:rPr>
                <w:u w:color="auto"/>
                <w:sz w:val="32"/>
                <w:rFonts w:eastAsia="仿宋_GB2312" w:ascii="仿宋_GB2312" w:hAnsi="仿宋_GB2312" w:cs="仿宋_GB2312"/>
              </w:rPr>
              <w:t>-9066.96</w:t>
            </w:r>
            <w:r>
              <w:rPr>
                <w:u/>
              </w:rPr>
            </w:r>
          </w:p>
        </w:tc>
        <w:tc>
          <w:tcPr>
            <w:tcW w:type="pct" w:w="1250"/>
          </w:tcPr>
          <w:p>
            <w:pPr>
              <w:pBdr/>
              <w:ind/>
            </w:pPr>
            <w:r>
              <w:rPr>
                <w:u w:color="auto"/>
                <w:sz w:val="32"/>
                <w:rFonts w:eastAsia="仿宋_GB2312" w:ascii="仿宋_GB2312" w:hAnsi="仿宋_GB2312" w:cs="仿宋_GB2312"/>
              </w:rPr>
              <w:t>-43.34%</w:t>
            </w:r>
            <w:r>
              <w:rPr>
                <w:u/>
              </w:rPr>
            </w:r>
          </w:p>
        </w:tc>
      </w:tr>
    </w:tbl>
    <w:p w14:paraId="2C4CE0EC">
      <w:pPr>
        <w:spacing w:line="560" w:lineRule="exact"/>
        <w:ind w:firstLine="643" w:firstLineChars="200"/>
        <w:rPr>
          <w:rFonts w:ascii="仿宋_GB2312" w:eastAsia="仿宋_GB2312"/>
          <w:sz w:val="32"/>
          <w:szCs w:val="32"/>
        </w:rPr>
      </w:pPr>
      <w:r>
        <w:rPr>
          <w:rFonts w:hint="eastAsia" w:ascii="楷体_GB2312" w:eastAsia="楷体_GB2312"/>
          <w:b/>
          <w:sz w:val="32"/>
          <w:szCs w:val="32"/>
        </w:rPr>
        <w:t>（八）</w:t>
      </w:r>
      <w:r>
        <w:rPr>
          <w:rFonts w:hint="eastAsia" w:ascii="楷体" w:hAnsi="楷体" w:eastAsia="楷体"/>
          <w:b/>
          <w:sz w:val="32"/>
          <w:szCs w:val="32"/>
        </w:rPr>
        <w:t>资金竞争性存放工作回评情况</w:t>
      </w:r>
    </w:p>
    <w:p w14:paraId="1C5D75B5">
      <w:pPr>
        <w:spacing w:line="560" w:lineRule="exact"/>
        <w:ind w:firstLine="640" w:firstLineChars="200"/>
        <w:rPr>
          <w:rFonts w:ascii="仿宋_GB2312" w:eastAsia="仿宋_GB2312"/>
          <w:i/>
          <w:iCs/>
          <w:color w:val="FF0000"/>
          <w:sz w:val="32"/>
          <w:szCs w:val="32"/>
        </w:rPr>
      </w:pPr>
      <w:r>
        <w:rPr>
          <w:rFonts w:ascii="仿宋_GB2312" w:eastAsia="仿宋_GB2312"/>
          <w:i/>
          <w:iCs/>
          <w:color w:val="FF0000"/>
          <w:sz w:val="32"/>
          <w:szCs w:val="32"/>
        </w:rPr>
        <w:t>请人工补充分析</w:t>
      </w:r>
    </w:p>
    <w:p w14:paraId="48796E87">
      <w:pPr>
        <w:spacing w:line="560" w:lineRule="exact"/>
        <w:ind w:firstLine="643" w:firstLineChars="200"/>
        <w:rPr>
          <w:rFonts w:ascii="仿宋_GB2312" w:eastAsia="仿宋_GB2312"/>
          <w:sz w:val="32"/>
          <w:szCs w:val="32"/>
        </w:rPr>
      </w:pPr>
      <w:r>
        <w:rPr>
          <w:rFonts w:hint="eastAsia" w:ascii="楷体_GB2312" w:eastAsia="楷体_GB2312"/>
          <w:b/>
          <w:sz w:val="32"/>
          <w:szCs w:val="32"/>
        </w:rPr>
        <w:t>（九）</w:t>
      </w:r>
      <w:r>
        <w:rPr>
          <w:rFonts w:hint="eastAsia" w:ascii="楷体" w:hAnsi="楷体" w:eastAsia="楷体"/>
          <w:b/>
          <w:sz w:val="32"/>
          <w:szCs w:val="32"/>
        </w:rPr>
        <w:t>各委托银行存款余额情况。</w:t>
      </w:r>
      <w:r>
        <w:rPr>
          <w:rFonts w:ascii="仿宋_GB2312" w:eastAsia="仿宋_GB2312"/>
          <w:sz w:val="32"/>
          <w:szCs w:val="32"/>
          <w:u/>
        </w:rPr>
        <w:t>12月末全市存款</w:t>
      </w:r>
      <w:r>
        <w:rPr>
          <w:rFonts w:ascii="仿宋_GB2312" w:eastAsia="仿宋_GB2312"/>
          <w:sz w:val="32"/>
          <w:u w:color="auto"/>
        </w:rPr>
        <w:t>0</w:t>
      </w:r>
      <w:r>
        <w:rPr>
          <w:rFonts w:ascii="仿宋_GB2312" w:eastAsia="仿宋_GB2312"/>
          <w:sz w:val="32"/>
          <w:u w:color="auto"/>
        </w:rPr>
        <w:t>亿元，其中住房公积金存款</w:t>
      </w:r>
      <w:r>
        <w:rPr>
          <w:rFonts w:ascii="仿宋_GB2312" w:eastAsia="仿宋_GB2312"/>
          <w:sz w:val="32"/>
          <w:u w:color="auto"/>
        </w:rPr>
        <w:t>0</w:t>
      </w:r>
      <w:r>
        <w:rPr>
          <w:rFonts w:ascii="仿宋_GB2312" w:eastAsia="仿宋_GB2312"/>
          <w:sz w:val="32"/>
          <w:u w:color="auto"/>
        </w:rPr>
        <w:t>亿元，增值收益存款</w:t>
      </w:r>
      <w:r>
        <w:rPr>
          <w:rFonts w:ascii="仿宋_GB2312" w:eastAsia="仿宋_GB2312"/>
          <w:sz w:val="32"/>
          <w:u w:color="auto"/>
        </w:rPr>
        <w:t>0</w:t>
      </w:r>
      <w:r>
        <w:rPr>
          <w:rFonts w:ascii="仿宋_GB2312" w:eastAsia="仿宋_GB2312"/>
          <w:sz w:val="32"/>
          <w:u w:color="auto"/>
        </w:rPr>
        <w:t>亿元。年末全市存款较年初增加</w:t>
      </w:r>
      <w:r>
        <w:rPr>
          <w:rFonts w:ascii="仿宋_GB2312" w:eastAsia="仿宋_GB2312"/>
          <w:sz w:val="32"/>
          <w:u w:color="auto"/>
        </w:rPr>
        <w:t>0</w:t>
      </w:r>
      <w:r>
        <w:rPr>
          <w:rFonts w:ascii="仿宋_GB2312" w:eastAsia="仿宋_GB2312"/>
          <w:sz w:val="32"/>
          <w:u w:color="auto"/>
        </w:rPr>
        <w:t>亿元，其中住房公积金存款增加</w:t>
      </w:r>
      <w:r>
        <w:rPr>
          <w:rFonts w:ascii="仿宋_GB2312" w:eastAsia="仿宋_GB2312"/>
          <w:sz w:val="32"/>
          <w:u w:color="auto"/>
        </w:rPr>
        <w:t>0</w:t>
      </w:r>
      <w:r>
        <w:rPr>
          <w:rFonts w:ascii="仿宋_GB2312" w:eastAsia="仿宋_GB2312"/>
          <w:sz w:val="32"/>
          <w:u w:color="auto"/>
        </w:rPr>
        <w:t>亿元，增值收益存款</w:t>
      </w:r>
      <w:r>
        <w:rPr>
          <w:rFonts w:ascii="仿宋_GB2312" w:eastAsia="仿宋_GB2312"/>
          <w:sz w:val="32"/>
          <w:u w:color="auto"/>
        </w:rPr>
        <w:t>减少</w:t>
      </w:r>
      <w:r>
        <w:rPr>
          <w:rFonts w:ascii="仿宋_GB2312" w:eastAsia="仿宋_GB2312"/>
          <w:sz w:val="32"/>
          <w:u w:color="auto"/>
        </w:rPr>
        <w:t>0</w:t>
      </w:r>
      <w:r>
        <w:rPr>
          <w:rFonts w:ascii="仿宋_GB2312" w:eastAsia="仿宋_GB2312"/>
          <w:sz w:val="32"/>
          <w:u w:color="auto"/>
        </w:rPr>
        <w:t>亿元。</w:t>
      </w:r>
    </w:p>
    <w:p w14:paraId="75921FB6">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19" name="图表 19" descr="{{jynyhckyebdqk}}"/>
            <wp:cNvGraphicFramePr/>
            <a:graphic xmlns:a="http://schemas.openxmlformats.org/drawingml/2006/main">
              <a:graphicData uri="http://schemas.openxmlformats.org/drawingml/2006/chart">
                <c:chart xmlns:c="http://schemas.openxmlformats.org/drawingml/2006/chart" r:id="rId21"/>
              </a:graphicData>
            </a:graphic>
          </wp:inline>
        </w:drawing>
      </w:r>
    </w:p>
    <w:p w14:paraId="01D76DD3">
      <w:pPr>
        <w:spacing w:line="560" w:lineRule="exact"/>
        <w:ind w:firstLine="640" w:firstLineChars="200"/>
        <w:rPr>
          <w:rFonts w:ascii="仿宋_GB2312" w:eastAsia="仿宋_GB2312"/>
          <w:sz w:val="32"/>
          <w:szCs w:val="32"/>
        </w:rPr>
      </w:pPr>
      <w:r>
        <w:rPr>
          <w:rFonts w:ascii="仿宋_GB2312" w:eastAsia="仿宋_GB2312"/>
          <w:sz w:val="32"/>
          <w:szCs w:val="32"/>
          <w:u/>
        </w:rPr>
        <w:t>2026</w:t>
      </w:r>
      <w:r>
        <w:rPr>
          <w:rFonts w:ascii="仿宋_GB2312" w:eastAsia="仿宋_GB2312"/>
          <w:sz w:val="32"/>
          <w:u w:color="auto"/>
        </w:rPr>
        <w:t>年共有</w:t>
      </w:r>
      <w:r>
        <w:rPr>
          <w:rFonts w:ascii="仿宋_GB2312" w:eastAsia="仿宋_GB2312"/>
          <w:sz w:val="32"/>
          <w:u w:color="auto"/>
        </w:rPr>
        <w:t>0</w:t>
      </w:r>
      <w:r>
        <w:rPr>
          <w:rFonts w:ascii="仿宋_GB2312" w:eastAsia="仿宋_GB2312"/>
          <w:sz w:val="32"/>
          <w:u w:color="auto"/>
        </w:rPr>
        <w:t>家银行存款金额增加，银行存款增加最多的为</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亿元，其次为</w:t>
      </w:r>
      <w:r>
        <w:rPr>
          <w:rFonts w:ascii="仿宋_GB2312" w:eastAsia="仿宋_GB2312"/>
          <w:sz w:val="32"/>
          <w:u w:color="auto"/>
        </w:rPr>
        <w:t/>
      </w:r>
      <w:r>
        <w:rPr>
          <w:rFonts w:ascii="仿宋_GB2312" w:eastAsia="仿宋_GB2312"/>
          <w:sz w:val="32"/>
          <w:u w:color="auto"/>
        </w:rPr>
        <w:t>中国建设银行</w:t>
      </w:r>
      <w:r>
        <w:rPr>
          <w:rFonts w:ascii="仿宋_GB2312" w:eastAsia="仿宋_GB2312"/>
          <w:sz w:val="32"/>
          <w:u w:color="auto"/>
        </w:rPr>
        <w:t>49.48</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中国农业银行</w:t>
      </w:r>
      <w:r>
        <w:rPr>
          <w:rFonts w:ascii="仿宋_GB2312" w:eastAsia="仿宋_GB2312"/>
          <w:sz w:val="32"/>
          <w:u w:color="auto"/>
        </w:rPr>
        <w:t>14.05</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中国工商银行</w:t>
      </w:r>
      <w:r>
        <w:rPr>
          <w:rFonts w:ascii="仿宋_GB2312" w:eastAsia="仿宋_GB2312"/>
          <w:sz w:val="32"/>
          <w:u w:color="auto"/>
        </w:rPr>
        <w:t>12.9</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中国邮政储蓄银行</w:t>
      </w:r>
      <w:r>
        <w:rPr>
          <w:rFonts w:ascii="仿宋_GB2312" w:eastAsia="仿宋_GB2312"/>
          <w:sz w:val="32"/>
          <w:u w:color="auto"/>
        </w:rPr>
        <w:t>10.93</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中国银行</w:t>
      </w:r>
      <w:r>
        <w:rPr>
          <w:rFonts w:ascii="仿宋_GB2312" w:eastAsia="仿宋_GB2312"/>
          <w:sz w:val="32"/>
          <w:u w:color="auto"/>
        </w:rPr>
        <w:t>2.76</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恒丰银行</w:t>
      </w:r>
      <w:r>
        <w:rPr>
          <w:rFonts w:ascii="仿宋_GB2312" w:eastAsia="仿宋_GB2312"/>
          <w:sz w:val="32"/>
          <w:u w:color="auto"/>
        </w:rPr>
        <w:t>2.08</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交通银行</w:t>
      </w:r>
      <w:r>
        <w:rPr>
          <w:rFonts w:ascii="仿宋_GB2312" w:eastAsia="仿宋_GB2312"/>
          <w:sz w:val="32"/>
          <w:u w:color="auto"/>
        </w:rPr>
        <w:t>1.53</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山东省农村信用社联合社</w:t>
      </w:r>
      <w:r>
        <w:rPr>
          <w:rFonts w:ascii="仿宋_GB2312" w:eastAsia="仿宋_GB2312"/>
          <w:sz w:val="32"/>
          <w:u w:color="auto"/>
        </w:rPr>
        <w:t>0.56</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枣庄银行</w:t>
      </w:r>
      <w:r>
        <w:rPr>
          <w:rFonts w:ascii="仿宋_GB2312" w:eastAsia="仿宋_GB2312"/>
          <w:sz w:val="32"/>
          <w:u w:color="auto"/>
        </w:rPr>
        <w:t>0.52</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青岛银行</w:t>
      </w:r>
      <w:r>
        <w:rPr>
          <w:rFonts w:ascii="仿宋_GB2312" w:eastAsia="仿宋_GB2312"/>
          <w:sz w:val="32"/>
          <w:u w:color="auto"/>
        </w:rPr>
        <w:t>0</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滕州农商行</w:t>
      </w:r>
      <w:r>
        <w:rPr>
          <w:rFonts w:ascii="仿宋_GB2312" w:eastAsia="仿宋_GB2312"/>
          <w:sz w:val="32"/>
          <w:u w:color="auto"/>
        </w:rPr>
        <w:t>0</w:t>
      </w:r>
      <w:r>
        <w:rPr>
          <w:rFonts w:ascii="仿宋_GB2312" w:eastAsia="仿宋_GB2312"/>
          <w:sz w:val="32"/>
          <w:u w:color="auto"/>
        </w:rPr>
        <w:t>亿元</w:t>
      </w:r>
      <w:r>
        <w:rPr>
          <w:rFonts w:ascii="仿宋_GB2312" w:eastAsia="仿宋_GB2312"/>
          <w:sz w:val="32"/>
          <w:u w:color="auto"/>
        </w:rPr>
        <w:t>、</w:t>
      </w:r>
      <w:r>
        <w:rPr>
          <w:rFonts w:ascii="仿宋_GB2312" w:eastAsia="仿宋_GB2312"/>
          <w:sz w:val="32"/>
          <w:u w:color="auto"/>
        </w:rPr>
        <w:t>日照银行</w:t>
      </w:r>
      <w:r>
        <w:rPr>
          <w:rFonts w:ascii="仿宋_GB2312" w:eastAsia="仿宋_GB2312"/>
          <w:sz w:val="32"/>
          <w:u w:color="auto"/>
        </w:rPr>
        <w:t>0</w:t>
      </w:r>
      <w:r>
        <w:rPr>
          <w:rFonts w:ascii="仿宋_GB2312" w:eastAsia="仿宋_GB2312"/>
          <w:sz w:val="32"/>
          <w:u w:color="auto"/>
        </w:rPr>
        <w:t>亿元</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；共有</w:t>
      </w:r>
      <w:r>
        <w:rPr>
          <w:rFonts w:ascii="仿宋_GB2312" w:eastAsia="仿宋_GB2312"/>
          <w:sz w:val="32"/>
          <w:u w:color="auto"/>
        </w:rPr>
        <w:t>0</w:t>
      </w:r>
      <w:r>
        <w:rPr>
          <w:rFonts w:ascii="仿宋_GB2312" w:eastAsia="仿宋_GB2312"/>
          <w:sz w:val="32"/>
          <w:u w:color="auto"/>
        </w:rPr>
        <w:t>家银行存款金额减少，</w:t>
      </w:r>
      <w:r>
        <w:rPr>
          <w:rFonts w:ascii="仿宋_GB2312" w:eastAsia="仿宋_GB2312"/>
          <w:i/>
          <w:iCs/>
          <w:color w:val="FF0000"/>
          <w:sz w:val="32"/>
          <w:szCs w:val="32"/>
        </w:rPr>
        <w:t>请人工补充分析</w:t>
      </w:r>
      <w:r>
        <w:rPr>
          <w:rFonts w:ascii="仿宋_GB2312" w:eastAsia="仿宋_GB2312"/>
          <w:sz w:val="32"/>
          <w:szCs w:val="32"/>
        </w:rPr>
        <w:t>。银行存款变化情况主要是受住房公积金资金存款变化及定期存款的因素影响。具体银行存款变化情况如下表所示：</w:t>
      </w:r>
    </w:p>
    <w:p w14:paraId="409CEFEC">
      <w:pPr>
        <w:spacing w:line="560" w:lineRule="exact"/>
        <w:jc w:val="center"/>
        <w:rPr>
          <w:rFonts w:ascii="宋体" w:hAnsi="宋体" w:eastAsia="宋体"/>
          <w:b/>
          <w:bCs/>
          <w:sz w:val="28"/>
          <w:szCs w:val="28"/>
        </w:rPr>
      </w:pPr>
      <w:r>
        <w:rPr>
          <w:rFonts w:hint="eastAsia" w:ascii="宋体" w:hAnsi="宋体" w:eastAsia="宋体"/>
          <w:b/>
          <w:bCs/>
          <w:sz w:val="28"/>
          <w:szCs w:val="28"/>
        </w:rPr>
        <w:t>银行存款变化情况表（单位：亿元）</w:t>
      </w:r>
    </w:p>
    <w:tbl>
      <w:tblPr>
        <w:tblW w:w="5000" w:type="pct"/>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type="dxa" w:w="107"/>
          <w:right w:type="dxa" w:w="107"/>
        </w:tblCellMar>
      </w:tblPr>
      <w:tblGrid>
        <w:gridCol w:w="1661"/>
        <w:gridCol w:w="1661"/>
        <w:gridCol w:w="1661"/>
        <w:gridCol w:w="1661"/>
        <w:gridCol w:w="1661"/>
      </w:tblGrid>
      <w:tr>
        <w:tc>
          <w:tcPr>
            <w:tcW w:type="pct" w:w="1000"/>
          </w:tcPr>
          <w:p>
            <w:pPr>
              <w:pBdr/>
              <w:ind/>
            </w:pPr>
            <w:r>
              <w:rPr>
                <w:u w:color="auto"/>
                <w:sz w:val="32"/>
                <w:rFonts w:eastAsia="仿宋_GB2312" w:ascii="仿宋_GB2312" w:hAnsi="仿宋_GB2312" w:cs="仿宋_GB2312"/>
              </w:rPr>
              <w:t>委托银行</w:t>
            </w:r>
            <w:r>
              <w:rPr>
                <w:u/>
              </w:rPr>
            </w:r>
          </w:p>
        </w:tc>
        <w:tc>
          <w:tcPr>
            <w:tcW w:type="pct" w:w="1000"/>
          </w:tcPr>
          <w:p>
            <w:pPr>
              <w:pBdr/>
              <w:ind/>
            </w:pPr>
            <w:r>
              <w:rPr>
                <w:u w:color="auto"/>
                <w:sz w:val="32"/>
                <w:rFonts w:eastAsia="仿宋_GB2312" w:ascii="仿宋_GB2312" w:hAnsi="仿宋_GB2312" w:cs="仿宋_GB2312"/>
              </w:rPr>
              <w:t>年末存款总额</w:t>
            </w:r>
            <w:r>
              <w:rPr>
                <w:u/>
              </w:rPr>
            </w:r>
          </w:p>
        </w:tc>
        <w:tc>
          <w:tcPr>
            <w:tcW w:type="pct" w:w="1000"/>
          </w:tcPr>
          <w:p>
            <w:pPr>
              <w:pBdr/>
              <w:ind/>
            </w:pPr>
            <w:r>
              <w:rPr>
                <w:u w:color="auto"/>
                <w:sz w:val="32"/>
                <w:rFonts w:eastAsia="仿宋_GB2312" w:ascii="仿宋_GB2312" w:hAnsi="仿宋_GB2312" w:cs="仿宋_GB2312"/>
              </w:rPr>
              <w:t>较年初变动金额</w:t>
            </w:r>
            <w:r>
              <w:rPr>
                <w:u/>
              </w:rPr>
            </w:r>
          </w:p>
        </w:tc>
        <w:tc>
          <w:tcPr>
            <w:tcW w:type="pct" w:w="1000"/>
          </w:tcPr>
          <w:p>
            <w:pPr>
              <w:pBdr/>
              <w:ind/>
            </w:pPr>
            <w:r>
              <w:rPr>
                <w:u w:color="auto"/>
                <w:sz w:val="32"/>
                <w:rFonts w:eastAsia="仿宋_GB2312" w:ascii="仿宋_GB2312" w:hAnsi="仿宋_GB2312" w:cs="仿宋_GB2312"/>
              </w:rPr>
              <w:t>变动百分比</w:t>
            </w:r>
            <w:r>
              <w:rPr>
                <w:u/>
              </w:rPr>
            </w:r>
          </w:p>
        </w:tc>
        <w:tc>
          <w:tcPr>
            <w:tcW w:type="pct" w:w="1000"/>
          </w:tcPr>
          <w:p>
            <w:pPr>
              <w:pBdr/>
              <w:ind/>
            </w:pPr>
            <w:r>
              <w:rPr>
                <w:u w:color="auto"/>
                <w:sz w:val="32"/>
                <w:rFonts w:eastAsia="仿宋_GB2312" w:ascii="仿宋_GB2312" w:hAnsi="仿宋_GB2312" w:cs="仿宋_GB2312"/>
              </w:rPr>
              <w:t>环比变动金额</w:t>
            </w:r>
            <w:r>
              <w:rPr>
                <w:u/>
              </w:rPr>
            </w:r>
          </w:p>
        </w:tc>
      </w:tr>
      <w:tr>
        <w:tc>
          <w:tcPr>
            <w:tcW w:type="pct" w:w="1000"/>
          </w:tcPr>
          <w:p>
            <w:pPr>
              <w:pBdr/>
              <w:ind/>
            </w:pPr>
            <w:r>
              <w:rPr>
                <w:u w:color="auto"/>
                <w:sz w:val="32"/>
                <w:rFonts w:eastAsia="仿宋_GB2312" w:ascii="仿宋_GB2312" w:hAnsi="仿宋_GB2312" w:cs="仿宋_GB2312"/>
              </w:rPr>
              <w:t>无数据</w:t>
            </w:r>
            <w:r>
              <w:rPr>
                <w:u/>
              </w:rPr>
            </w:r>
          </w:p>
        </w:tc>
        <w:tc>
          <w:tcPr>
            <w:tcW w:type="pct" w:w="1000"/>
          </w:tcPr>
          <w:p>
            <w:pPr>
              <w:pBdr/>
              <w:ind/>
            </w:pPr>
            <w:r>
              <w:rPr>
                <w:u w:color="auto"/>
                <w:sz w:val="32"/>
                <w:rFonts w:eastAsia="仿宋_GB2312" w:ascii="仿宋_GB2312" w:hAnsi="仿宋_GB2312" w:cs="仿宋_GB2312"/>
              </w:rPr>
              <w:t>0</w:t>
            </w:r>
            <w:r>
              <w:rPr>
                <w:u/>
              </w:rPr>
            </w:r>
          </w:p>
        </w:tc>
        <w:tc>
          <w:tcPr>
            <w:tcW w:type="pct" w:w="1000"/>
          </w:tcPr>
          <w:p>
            <w:pPr>
              <w:pBdr/>
              <w:ind/>
            </w:pPr>
            <w:r>
              <w:rPr>
                <w:u w:color="auto"/>
                <w:sz w:val="32"/>
                <w:rFonts w:eastAsia="仿宋_GB2312" w:ascii="仿宋_GB2312" w:hAnsi="仿宋_GB2312" w:cs="仿宋_GB2312"/>
              </w:rPr>
              <w:t>0</w:t>
            </w:r>
            <w:r>
              <w:rPr>
                <w:u/>
              </w:rPr>
            </w:r>
          </w:p>
        </w:tc>
        <w:tc>
          <w:tcPr>
            <w:tcW w:type="pct" w:w="1000"/>
          </w:tcPr>
          <w:p>
            <w:pPr>
              <w:pBdr/>
              <w:ind/>
            </w:pPr>
            <w:r>
              <w:rPr>
                <w:u w:color="auto"/>
                <w:sz w:val="32"/>
                <w:rFonts w:eastAsia="仿宋_GB2312" w:ascii="仿宋_GB2312" w:hAnsi="仿宋_GB2312" w:cs="仿宋_GB2312"/>
              </w:rPr>
              <w:t>0</w:t>
            </w:r>
            <w:r>
              <w:rPr>
                <w:u/>
              </w:rPr>
            </w:r>
          </w:p>
        </w:tc>
        <w:tc>
          <w:tcPr>
            <w:tcW w:type="pct" w:w="1000"/>
          </w:tcPr>
          <w:p>
            <w:pPr>
              <w:pBdr/>
              <w:ind/>
            </w:pPr>
            <w:r>
              <w:rPr>
                <w:u w:color="auto"/>
                <w:sz w:val="32"/>
                <w:rFonts w:eastAsia="仿宋_GB2312" w:ascii="仿宋_GB2312" w:hAnsi="仿宋_GB2312" w:cs="仿宋_GB2312"/>
              </w:rPr>
              <w:t>0</w:t>
            </w:r>
            <w:r>
              <w:rPr>
                <w:u/>
              </w:rPr>
            </w:r>
          </w:p>
        </w:tc>
      </w:tr>
    </w:tbl>
    <w:p w14:paraId="0EDA16CB">
      <w:pPr>
        <w:spacing w:line="560" w:lineRule="exact"/>
        <w:ind w:firstLine="640" w:firstLineChars="200"/>
        <w:rPr>
          <w:rFonts w:ascii="仿宋_GB2312" w:eastAsia="仿宋_GB2312"/>
          <w:sz w:val="32"/>
          <w:szCs w:val="32"/>
        </w:rPr>
      </w:pPr>
      <w:r>
        <w:rPr>
          <w:rFonts w:ascii="仿宋_GB2312" w:eastAsia="仿宋_GB2312"/>
          <w:sz w:val="32"/>
          <w:szCs w:val="32"/>
          <w:u/>
        </w:rPr>
        <w:t>12月末银行存款余额占比在10%以上有</w:t>
      </w:r>
      <w:r>
        <w:rPr>
          <w:rFonts w:ascii="仿宋_GB2312" w:eastAsia="仿宋_GB2312"/>
          <w:sz w:val="32"/>
          <w:u w:color="auto"/>
        </w:rPr>
        <w:t/>
      </w:r>
      <w:r>
        <w:rPr>
          <w:rFonts w:ascii="仿宋_GB2312" w:eastAsia="仿宋_GB2312"/>
          <w:sz w:val="32"/>
          <w:u w:color="auto"/>
        </w:rPr>
        <w:t>无数据</w:t>
      </w:r>
      <w:r>
        <w:rPr>
          <w:rFonts w:ascii="仿宋_GB2312" w:eastAsia="仿宋_GB2312"/>
          <w:sz w:val="32"/>
          <w:u w:color="auto"/>
        </w:rPr>
        <w:t>占比</w:t>
      </w:r>
      <w:r>
        <w:rPr>
          <w:rFonts w:ascii="仿宋_GB2312" w:eastAsia="仿宋_GB2312"/>
          <w:sz w:val="32"/>
          <w:u w:color="auto"/>
        </w:rPr>
        <w:t>0</w:t>
      </w:r>
      <w:r>
        <w:rPr>
          <w:rFonts w:ascii="仿宋_GB2312" w:eastAsia="仿宋_GB2312"/>
          <w:sz w:val="32"/>
          <w:u w:color="auto"/>
        </w:rPr>
        <w:t>%</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w:t>
      </w:r>
      <w:r>
        <w:rPr>
          <w:rFonts w:ascii="仿宋_GB2312" w:eastAsia="仿宋_GB2312"/>
          <w:sz w:val="32"/>
          <w:u w:color="auto"/>
        </w:rPr>
        <w:t/>
      </w:r>
      <w:r>
        <w:rPr>
          <w:rFonts w:ascii="仿宋_GB2312" w:eastAsia="仿宋_GB2312"/>
          <w:sz w:val="32"/>
          <w:u w:color="auto"/>
        </w:rPr>
        <w:t>无数据</w:t>
      </w:r>
      <w:r>
        <w:rPr>
          <w:rFonts w:ascii="仿宋_GB2312" w:eastAsia="仿宋_GB2312"/>
          <w:sz w:val="32"/>
          <w:u w:color="auto"/>
        </w:rPr>
        <w:t>较年初</w:t>
      </w:r>
      <w:r>
        <w:rPr>
          <w:rFonts w:ascii="仿宋_GB2312" w:eastAsia="仿宋_GB2312"/>
          <w:sz w:val="32"/>
          <w:u w:color="auto"/>
        </w:rPr>
        <w:t>下降</w:t>
      </w:r>
      <w:r>
        <w:rPr>
          <w:rFonts w:ascii="仿宋_GB2312" w:eastAsia="仿宋_GB2312"/>
          <w:sz w:val="32"/>
          <w:u w:color="auto"/>
        </w:rPr>
        <w:t>0</w:t>
      </w:r>
      <w:r>
        <w:rPr>
          <w:rFonts w:ascii="仿宋_GB2312" w:eastAsia="仿宋_GB2312"/>
          <w:sz w:val="32"/>
          <w:u w:color="auto"/>
        </w:rPr>
        <w:t>%</w:t>
      </w:r>
      <w:r>
        <w:rPr>
          <w:rFonts w:ascii="仿宋_GB2312" w:eastAsia="仿宋_GB2312"/>
          <w:sz w:val="32"/>
          <w:u w:color="auto"/>
        </w:rPr>
        <w:t/>
      </w:r>
      <w:r>
        <w:rPr>
          <w:rFonts w:ascii="仿宋_GB2312" w:eastAsia="仿宋_GB2312"/>
          <w:sz w:val="32"/>
          <w:u w:color="auto"/>
        </w:rPr>
        <w:t/>
      </w:r>
      <w:r>
        <w:rPr>
          <w:rFonts w:ascii="仿宋_GB2312" w:eastAsia="仿宋_GB2312"/>
          <w:sz w:val="32"/>
          <w:u w:color="auto"/>
        </w:rPr>
        <w:t>，占比变动主要受请人工补充分析。</w:t>
      </w:r>
    </w:p>
    <w:p w14:paraId="5FA92084">
      <w:pPr>
        <w:rPr>
          <w:rFonts w:ascii="仿宋_GB2312" w:eastAsia="仿宋_GB2312"/>
          <w:sz w:val="32"/>
          <w:szCs w:val="32"/>
        </w:rPr>
      </w:pPr>
      <w:r>
        <w:rPr>
          <w:rFonts w:hint="eastAsia" w:ascii="黑体" w:eastAsia="黑体"/>
          <w:sz w:val="32"/>
          <w:szCs w:val="32"/>
        </w:rPr>
        <w:drawing>
          <wp:inline distT="0" distB="0" distL="0" distR="0">
            <wp:extent cx="5274310" cy="3076575"/>
            <wp:effectExtent l="5080" t="4445" r="16510" b="5080"/>
            <wp:docPr id="21" name="图表 21" descr="{{yhckyezbqk}}"/>
            <wp:cNvGraphicFramePr/>
            <a:graphic xmlns:a="http://schemas.openxmlformats.org/drawingml/2006/main">
              <a:graphicData uri="http://schemas.openxmlformats.org/drawingml/2006/chart">
                <c:chart xmlns:c="http://schemas.openxmlformats.org/drawingml/2006/chart" r:id="rId22"/>
              </a:graphicData>
            </a:graphic>
          </wp:inline>
        </w:drawing>
      </w:r>
    </w:p>
    <w:p w14:paraId="76515FAF">
      <w:pPr>
        <w:spacing w:line="560" w:lineRule="exact"/>
        <w:ind w:firstLine="640" w:firstLineChars="200"/>
        <w:rPr>
          <w:rFonts w:ascii="黑体" w:eastAsia="黑体"/>
          <w:sz w:val="32"/>
          <w:szCs w:val="32"/>
        </w:rPr>
      </w:pPr>
      <w:r>
        <w:rPr>
          <w:rFonts w:hint="eastAsia" w:ascii="黑体" w:eastAsia="黑体"/>
          <w:sz w:val="32"/>
          <w:szCs w:val="32"/>
        </w:rPr>
        <w:t>三、</w:t>
      </w:r>
      <w:r>
        <w:rPr>
          <w:rFonts w:ascii="黑体" w:eastAsia="黑体"/>
          <w:sz w:val="32"/>
          <w:szCs w:val="32"/>
        </w:rPr>
        <w:t>2026</w:t>
      </w:r>
      <w:r>
        <w:rPr>
          <w:rFonts w:hint="eastAsia" w:ascii="黑体" w:eastAsia="黑体"/>
          <w:sz w:val="32"/>
          <w:szCs w:val="32"/>
        </w:rPr>
        <w:t>年资金运行主要问题</w:t>
      </w:r>
    </w:p>
    <w:p w14:paraId="2AD0C6D2">
      <w:pPr>
        <w:spacing w:line="560" w:lineRule="exact"/>
        <w:ind w:firstLine="640" w:firstLineChars="200"/>
        <w:rPr>
          <w:rFonts w:ascii="仿宋_GB2312" w:eastAsia="仿宋_GB2312"/>
          <w:sz w:val="32"/>
          <w:szCs w:val="32"/>
        </w:rPr>
      </w:pPr>
      <w:r>
        <w:rPr>
          <w:rFonts w:hint="eastAsia" w:ascii="仿宋_GB2312" w:eastAsia="仿宋_GB2312"/>
          <w:sz w:val="32"/>
          <w:szCs w:val="32"/>
        </w:rPr>
        <w:t>通过分析全年资金运行情况，主要存在以下问题：</w:t>
      </w:r>
    </w:p>
    <w:p w14:paraId="26681EB6">
      <w:pPr>
        <w:spacing w:line="560" w:lineRule="exact"/>
        <w:ind w:firstLine="640" w:firstLineChars="200"/>
        <w:rPr>
          <w:rFonts w:ascii="仿宋_GB2312" w:eastAsia="仿宋_GB2312"/>
          <w:sz w:val="32"/>
          <w:szCs w:val="32"/>
        </w:rPr>
      </w:pP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036EFD58">
      <w:pPr>
        <w:spacing w:line="560" w:lineRule="exact"/>
        <w:ind w:firstLine="640" w:firstLineChars="200"/>
        <w:rPr>
          <w:rFonts w:ascii="黑体" w:eastAsia="黑体"/>
          <w:sz w:val="32"/>
          <w:szCs w:val="32"/>
        </w:rPr>
      </w:pPr>
      <w:r>
        <w:rPr>
          <w:rFonts w:hint="eastAsia" w:ascii="黑体" w:eastAsia="黑体"/>
          <w:sz w:val="32"/>
          <w:szCs w:val="32"/>
        </w:rPr>
        <w:t>四、</w:t>
      </w:r>
      <w:r>
        <w:rPr>
          <w:rFonts w:ascii="黑体" w:eastAsia="黑体"/>
          <w:sz w:val="32"/>
          <w:szCs w:val="32"/>
        </w:rPr>
        <w:t>2027</w:t>
      </w:r>
      <w:r>
        <w:rPr>
          <w:rFonts w:hint="eastAsia" w:ascii="黑体" w:eastAsia="黑体"/>
          <w:sz w:val="32"/>
          <w:szCs w:val="32"/>
        </w:rPr>
        <w:t>年资金运行建议</w:t>
      </w:r>
    </w:p>
    <w:p w14:paraId="53F9C88C">
      <w:pPr>
        <w:spacing w:line="560" w:lineRule="exact"/>
        <w:ind w:firstLine="640" w:firstLineChars="200"/>
        <w:rPr>
          <w:rFonts w:ascii="仿宋_GB2312" w:eastAsia="仿宋_GB2312"/>
          <w:sz w:val="32"/>
          <w:szCs w:val="32"/>
        </w:rPr>
      </w:pPr>
      <w:r>
        <w:rPr>
          <w:rFonts w:hint="eastAsia" w:ascii="仿宋_GB2312" w:eastAsia="仿宋_GB2312"/>
          <w:sz w:val="32"/>
          <w:szCs w:val="32"/>
        </w:rPr>
        <w:t>为保障住房公积金资金运行更平稳、更高效，推动资金管理取得更大效益，建议</w:t>
      </w:r>
      <w:r>
        <w:rPr>
          <w:rFonts w:ascii="仿宋_GB2312" w:eastAsia="仿宋_GB2312"/>
          <w:sz w:val="32"/>
          <w:szCs w:val="32"/>
          <w:u/>
        </w:rPr>
        <w:t>2027</w:t>
      </w:r>
      <w:r>
        <w:rPr>
          <w:rFonts w:ascii="仿宋_GB2312" w:eastAsia="仿宋_GB2312"/>
          <w:sz w:val="32"/>
          <w:u w:color="auto"/>
        </w:rPr>
        <w:t>年资金运行着重要抓好以下四方面：</w:t>
      </w:r>
    </w:p>
    <w:p w14:paraId="308F89D0">
      <w:pPr>
        <w:spacing w:line="560" w:lineRule="exact"/>
        <w:ind w:firstLine="640" w:firstLineChars="200"/>
        <w:rPr>
          <w:rFonts w:ascii="仿宋_GB2312" w:eastAsia="仿宋_GB2312"/>
          <w:sz w:val="32"/>
          <w:szCs w:val="32"/>
        </w:rPr>
      </w:pPr>
      <w:r>
        <w:rPr>
          <w:rFonts w:hint="eastAsia" w:ascii="仿宋_GB2312" w:eastAsia="仿宋_GB2312"/>
          <w:sz w:val="32"/>
          <w:szCs w:val="32"/>
        </w:rPr>
        <w:t>（一）</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0DA6BA12">
      <w:pPr>
        <w:spacing w:line="560" w:lineRule="exact"/>
        <w:ind w:firstLine="640" w:firstLineChars="200"/>
        <w:rPr>
          <w:rFonts w:ascii="仿宋_GB2312" w:eastAsia="仿宋_GB2312"/>
          <w:sz w:val="32"/>
          <w:szCs w:val="32"/>
        </w:rPr>
      </w:pPr>
      <w:r>
        <w:rPr>
          <w:rFonts w:hint="eastAsia" w:ascii="仿宋_GB2312" w:eastAsia="仿宋_GB2312"/>
          <w:sz w:val="32"/>
          <w:szCs w:val="32"/>
        </w:rPr>
        <w:t>（二）</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503CFF48">
      <w:pPr>
        <w:spacing w:line="560" w:lineRule="exact"/>
        <w:ind w:firstLine="640" w:firstLineChars="200"/>
        <w:rPr>
          <w:rFonts w:ascii="仿宋_GB2312" w:eastAsia="仿宋_GB2312"/>
          <w:sz w:val="32"/>
          <w:szCs w:val="32"/>
        </w:rPr>
      </w:pPr>
      <w:r>
        <w:rPr>
          <w:rFonts w:hint="eastAsia" w:ascii="仿宋_GB2312" w:eastAsia="仿宋_GB2312"/>
          <w:sz w:val="32"/>
          <w:szCs w:val="32"/>
        </w:rPr>
        <w:t>（三）</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4F1A5694">
      <w:pPr>
        <w:spacing w:line="560" w:lineRule="exact"/>
        <w:ind w:firstLine="640" w:firstLineChars="200"/>
        <w:rPr>
          <w:rFonts w:ascii="仿宋_GB2312" w:eastAsia="仿宋_GB2312"/>
          <w:sz w:val="32"/>
          <w:szCs w:val="32"/>
        </w:rPr>
      </w:pPr>
      <w:r>
        <w:rPr>
          <w:rFonts w:hint="eastAsia" w:ascii="仿宋_GB2312" w:eastAsia="仿宋_GB2312"/>
          <w:sz w:val="32"/>
          <w:szCs w:val="32"/>
        </w:rPr>
        <w:t>（四）</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40785B69">
      <w:pPr>
        <w:spacing w:line="560" w:lineRule="exact"/>
        <w:ind w:firstLine="640" w:firstLineChars="200"/>
        <w:rPr>
          <w:rFonts w:ascii="仿宋_GB2312" w:eastAsia="仿宋_GB2312"/>
          <w:sz w:val="32"/>
          <w:szCs w:val="32"/>
        </w:rPr>
      </w:pPr>
    </w:p>
    <w:p w14:paraId="64579758">
      <w:pPr>
        <w:spacing w:line="560" w:lineRule="exact"/>
        <w:ind w:firstLine="640" w:firstLineChars="200"/>
        <w:rPr>
          <w:rFonts w:ascii="仿宋_GB2312" w:eastAsia="仿宋_GB2312"/>
          <w:sz w:val="32"/>
          <w:szCs w:val="32"/>
        </w:rPr>
      </w:pPr>
    </w:p>
    <w:p w14:paraId="0F5600C2">
      <w:pPr>
        <w:spacing w:line="560" w:lineRule="exact"/>
        <w:ind w:firstLine="640" w:firstLineChars="200"/>
        <w:rPr>
          <w:rFonts w:ascii="仿宋_GB2312" w:eastAsia="仿宋_GB2312"/>
          <w:sz w:val="32"/>
          <w:szCs w:val="32"/>
        </w:rPr>
      </w:pPr>
    </w:p>
    <w:p w14:paraId="7167DAA1">
      <w:pPr>
        <w:spacing w:line="560" w:lineRule="exact"/>
        <w:ind w:firstLine="6400" w:firstLineChars="2000"/>
        <w:jc w:val="right"/>
        <w:rPr>
          <w:rFonts w:ascii="仿宋_GB2312" w:eastAsia="仿宋_GB2312"/>
          <w:sz w:val="32"/>
          <w:szCs w:val="32"/>
        </w:rPr>
      </w:pPr>
      <w:r>
        <w:rPr>
          <w:rFonts w:hint="eastAsia" w:ascii="仿宋_GB2312" w:eastAsia="仿宋_GB2312"/>
          <w:sz w:val="32"/>
          <w:szCs w:val="32"/>
        </w:rPr>
        <w:t>计划财务处</w:t>
      </w:r>
    </w:p>
    <w:p w14:paraId="383B4F9F">
      <w:pPr>
        <w:spacing w:line="560" w:lineRule="exact"/>
        <w:jc w:val="right"/>
        <w:rPr>
          <w:rFonts w:ascii="仿宋_GB2312" w:eastAsia="仿宋_GB2312"/>
          <w:sz w:val="32"/>
          <w:szCs w:val="32"/>
        </w:rPr>
      </w:pPr>
      <w:r>
        <w:rPr>
          <w:rFonts w:ascii="仿宋_GB2312" w:eastAsia="仿宋_GB2312"/>
          <w:sz w:val="32"/>
          <w:szCs w:val="32"/>
          <w:u/>
        </w:rPr>
        <w:t xml:space="preserve">                                    </w:t>
      </w:r>
      <w:r>
        <w:rPr>
          <w:rFonts w:ascii="仿宋_GB2312" w:eastAsia="仿宋_GB2312"/>
          <w:sz w:val="32"/>
          <w:u w:color="auto"/>
        </w:rPr>
        <w:t>2026年10月20日</w:t>
      </w:r>
    </w:p>
    <w:p w14:paraId="566A476C">
      <w:pPr>
        <w:spacing w:line="560" w:lineRule="exact"/>
        <w:ind w:firstLine="640" w:firstLineChars="200"/>
        <w:rPr>
          <w:rFonts w:ascii="仿宋_GB2312" w:eastAsia="仿宋_GB2312"/>
          <w:sz w:val="32"/>
          <w:szCs w:val="32"/>
        </w:rPr>
      </w:pPr>
    </w:p>
    <w:p w14:paraId="4642F112">
      <w:pPr>
        <w:spacing w:line="560" w:lineRule="exact"/>
        <w:ind w:firstLine="640" w:firstLineChars="200"/>
        <w:rPr>
          <w:rFonts w:ascii="仿宋_GB2312" w:eastAsia="仿宋_GB2312"/>
          <w:sz w:val="32"/>
          <w:szCs w:val="32"/>
        </w:rPr>
      </w:pPr>
    </w:p>
    <w:p w14:paraId="11271C87">
      <w:pPr>
        <w:spacing w:line="560" w:lineRule="exact"/>
        <w:rPr>
          <w:rFonts w:ascii="仿宋_GB2312" w:eastAsia="仿宋_GB2312"/>
          <w:sz w:val="32"/>
          <w:szCs w:val="32"/>
        </w:rPr>
      </w:pPr>
    </w:p>
    <w:p w14:paraId="247E2A7B">
      <w:pPr>
        <w:spacing w:line="560" w:lineRule="exact"/>
        <w:rPr>
          <w:rFonts w:ascii="仿宋_GB2312" w:eastAsia="仿宋_GB2312"/>
          <w:sz w:val="32"/>
          <w:szCs w:val="32"/>
        </w:rPr>
      </w:pPr>
    </w:p>
    <w:p w14:paraId="17307672">
      <w:pPr>
        <w:spacing w:line="560" w:lineRule="exact"/>
        <w:ind w:firstLine="640" w:firstLineChars="200"/>
        <w:rPr>
          <w:rFonts w:ascii="仿宋_GB2312" w:eastAsia="仿宋_GB2312"/>
          <w:sz w:val="32"/>
          <w:szCs w:val="32"/>
        </w:rPr>
      </w:pPr>
    </w:p>
    <w:p w14:paraId="393CAB03">
      <w:pPr>
        <w:rPr>
          <w:rFonts w:ascii="仿宋_GB2312" w:eastAsia="仿宋_GB2312"/>
          <w:sz w:val="32"/>
          <w:szCs w:val="32"/>
        </w:rPr>
      </w:pPr>
    </w:p>
    <w:p w14:paraId="67796363">
      <w:pPr>
        <w:spacing w:line="560" w:lineRule="exact"/>
        <w:ind w:firstLine="640" w:firstLineChars="200"/>
        <w:rPr>
          <w:rFonts w:ascii="仿宋_GB2312" w:eastAsia="仿宋_GB2312"/>
          <w:sz w:val="32"/>
          <w:szCs w:val="32"/>
        </w:rPr>
      </w:pPr>
    </w:p>
    <w:p w14:paraId="36E6A9E0">
      <w:pPr>
        <w:spacing w:line="560" w:lineRule="exact"/>
        <w:ind w:firstLine="640" w:firstLineChars="200"/>
        <w:rPr>
          <w:rFonts w:ascii="仿宋_GB2312" w:eastAsia="仿宋_GB2312"/>
          <w:sz w:val="32"/>
          <w:szCs w:val="32"/>
        </w:rPr>
      </w:pPr>
    </w:p>
    <w:p w14:paraId="4A0FD935">
      <w:pPr>
        <w:spacing w:line="560" w:lineRule="exact"/>
        <w:ind w:firstLine="640" w:firstLineChars="200"/>
        <w:rPr>
          <w:rFonts w:ascii="仿宋_GB2312" w:eastAsia="仿宋_GB2312"/>
          <w:sz w:val="32"/>
          <w:szCs w:val="32"/>
        </w:rPr>
      </w:pPr>
    </w:p>
    <w:p w14:paraId="5D0C9022">
      <w:pPr>
        <w:spacing w:line="560" w:lineRule="exact"/>
        <w:ind w:firstLine="643" w:firstLineChars="200"/>
        <w:rPr>
          <w:rFonts w:ascii="楷体" w:hAnsi="楷体" w:eastAsia="楷体"/>
          <w:b/>
          <w:sz w:val="32"/>
          <w:szCs w:val="32"/>
        </w:rPr>
      </w:pPr>
    </w:p>
    <w:p w14:paraId="460245F0">
      <w:pPr>
        <w:spacing w:line="560" w:lineRule="exact"/>
        <w:ind w:firstLine="640" w:firstLineChars="200"/>
        <w:rPr>
          <w:rFonts w:ascii="仿宋_GB2312" w:eastAsia="仿宋_GB2312"/>
          <w:sz w:val="32"/>
          <w:szCs w:val="32"/>
        </w:rPr>
      </w:pPr>
    </w:p>
    <w:p w14:paraId="6041DD01">
      <w:pPr>
        <w:spacing w:line="560" w:lineRule="exact"/>
        <w:ind w:firstLine="640" w:firstLineChars="200"/>
        <w:rPr>
          <w:rFonts w:ascii="仿宋_GB2312" w:eastAsia="仿宋_GB2312"/>
          <w:sz w:val="32"/>
          <w:szCs w:val="32"/>
        </w:rPr>
      </w:pPr>
    </w:p>
    <w:p w14:paraId="59C860E1">
      <w:pPr>
        <w:spacing w:line="560" w:lineRule="exact"/>
        <w:ind w:firstLine="640" w:firstLineChars="200"/>
        <w:rPr>
          <w:rFonts w:ascii="仿宋_GB2312" w:eastAsia="仿宋_GB2312"/>
          <w:sz w:val="32"/>
          <w:szCs w:val="32"/>
        </w:rPr>
      </w:pPr>
    </w:p>
    <w:p w14:paraId="773978B1">
      <w:pPr>
        <w:spacing w:line="560" w:lineRule="exact"/>
        <w:ind w:firstLine="643" w:firstLineChars="200"/>
        <w:rPr>
          <w:rFonts w:ascii="仿宋_GB2312" w:eastAsia="仿宋_GB2312"/>
          <w:b/>
          <w:sz w:val="32"/>
          <w:szCs w:val="32"/>
        </w:rPr>
      </w:pPr>
    </w:p>
    <w:p w14:paraId="72D82026">
      <w:pPr>
        <w:spacing w:line="560" w:lineRule="exact"/>
        <w:ind w:firstLine="640" w:firstLineChars="200"/>
        <w:rPr>
          <w:rFonts w:ascii="仿宋_GB2312" w:eastAsia="仿宋_GB2312"/>
          <w:sz w:val="32"/>
          <w:szCs w:val="32"/>
        </w:rPr>
      </w:pPr>
    </w:p>
    <w:p w14:paraId="685649C3">
      <w:pPr>
        <w:spacing w:line="560" w:lineRule="exact"/>
        <w:ind w:firstLine="640" w:firstLineChars="200"/>
        <w:rPr>
          <w:rFonts w:ascii="仿宋_GB2312" w:eastAsia="仿宋_GB2312"/>
          <w:sz w:val="32"/>
          <w:szCs w:val="32"/>
        </w:rPr>
      </w:pPr>
    </w:p>
    <w:p w14:paraId="5158B6B3">
      <w:pPr>
        <w:spacing w:line="560" w:lineRule="exact"/>
        <w:ind w:firstLine="640" w:firstLineChars="200"/>
        <w:rPr>
          <w:rFonts w:ascii="仿宋_GB2312" w:eastAsia="仿宋_GB2312"/>
          <w:sz w:val="32"/>
          <w:szCs w:val="32"/>
        </w:rPr>
      </w:pPr>
    </w:p>
    <w:p w14:paraId="5365CA57">
      <w:pPr>
        <w:spacing w:line="560" w:lineRule="exact"/>
        <w:ind w:firstLine="640" w:firstLineChars="200"/>
        <w:rPr>
          <w:rFonts w:ascii="仿宋_GB2312" w:eastAsia="仿宋_GB2312"/>
          <w:sz w:val="32"/>
          <w:szCs w:val="32"/>
        </w:rPr>
      </w:pPr>
    </w:p>
    <w:p w14:paraId="0310593B">
      <w:pPr>
        <w:spacing w:line="560" w:lineRule="exact"/>
        <w:ind w:firstLine="640" w:firstLineChars="200"/>
        <w:rPr>
          <w:rFonts w:ascii="仿宋_GB2312" w:eastAsia="仿宋_GB2312"/>
          <w:sz w:val="32"/>
          <w:szCs w:val="32"/>
        </w:rPr>
      </w:pPr>
    </w:p>
    <w:p w14:paraId="253BD5F2">
      <w:pPr>
        <w:spacing w:line="560" w:lineRule="exact"/>
        <w:ind w:firstLine="640" w:firstLineChars="200"/>
        <w:rPr>
          <w:rFonts w:ascii="仿宋_GB2312" w:eastAsia="仿宋_GB2312"/>
          <w:sz w:val="32"/>
          <w:szCs w:val="32"/>
        </w:rPr>
      </w:pPr>
    </w:p>
    <w:p w14:paraId="038B7086">
      <w:pPr>
        <w:spacing w:line="560" w:lineRule="exact"/>
        <w:ind w:firstLine="640" w:firstLineChars="200"/>
        <w:rPr>
          <w:rFonts w:ascii="仿宋_GB2312" w:eastAsia="仿宋_GB2312"/>
          <w:sz w:val="32"/>
          <w:szCs w:val="32"/>
        </w:rPr>
      </w:pPr>
    </w:p>
    <w:p w14:paraId="1768735D">
      <w:pPr>
        <w:spacing w:line="560" w:lineRule="exact"/>
        <w:ind w:firstLine="640" w:firstLineChars="200"/>
        <w:rPr>
          <w:rFonts w:ascii="仿宋_GB2312" w:eastAsia="仿宋_GB2312"/>
          <w:sz w:val="32"/>
          <w:szCs w:val="32"/>
        </w:rPr>
      </w:pPr>
    </w:p>
    <w:p w14:paraId="1D1E707B">
      <w:pPr>
        <w:spacing w:line="560" w:lineRule="exact"/>
        <w:rPr>
          <w:rFonts w:ascii="仿宋_GB2312" w:eastAsia="仿宋_GB2312"/>
          <w:sz w:val="32"/>
          <w:szCs w:val="32"/>
        </w:rPr>
      </w:pPr>
    </w:p>
    <w:p w14:paraId="33CDF347">
      <w:pPr>
        <w:spacing w:line="560" w:lineRule="exact"/>
        <w:ind w:firstLine="640" w:firstLineChars="200"/>
        <w:rPr>
          <w:rFonts w:ascii="仿宋_GB2312" w:eastAsia="仿宋_GB2312"/>
          <w:sz w:val="32"/>
          <w:szCs w:val="32"/>
        </w:rPr>
      </w:pPr>
    </w:p>
    <w:p w14:paraId="7EFAC767">
      <w:pPr>
        <w:spacing w:line="560" w:lineRule="exact"/>
        <w:ind w:firstLine="640" w:firstLineChars="200"/>
        <w:rPr>
          <w:rFonts w:ascii="仿宋_GB2312" w:eastAsia="仿宋_GB2312"/>
          <w:sz w:val="32"/>
          <w:szCs w:val="32"/>
        </w:rPr>
      </w:pPr>
    </w:p>
    <w:p w14:paraId="75C0A7BC">
      <w:pPr>
        <w:spacing w:line="560" w:lineRule="exact"/>
        <w:rPr>
          <w:rFonts w:ascii="仿宋_GB2312" w:eastAsia="仿宋_GB2312"/>
          <w:sz w:val="32"/>
          <w:szCs w:val="32"/>
        </w:rPr>
      </w:pPr>
    </w:p>
    <w:p w14:paraId="7AEFD818">
      <w:pPr>
        <w:spacing w:line="560" w:lineRule="exact"/>
        <w:jc w:val="center"/>
        <w:rPr>
          <w:rFonts w:ascii="宋体" w:hAnsi="宋体" w:eastAsia="宋体"/>
          <w:b/>
          <w:bCs/>
          <w:sz w:val="28"/>
          <w:szCs w:val="28"/>
        </w:rPr>
      </w:pPr>
    </w:p>
    <w:p w14:paraId="5E421A36">
      <w:pPr>
        <w:spacing w:line="560" w:lineRule="exact"/>
        <w:ind w:firstLine="640" w:firstLineChars="200"/>
        <w:rPr>
          <w:rFonts w:ascii="仿宋_GB2312" w:eastAsia="仿宋_GB2312"/>
          <w:sz w:val="32"/>
          <w:szCs w:val="32"/>
        </w:rPr>
      </w:pPr>
    </w:p>
    <w:p w14:paraId="28F46F72">
      <w:pPr>
        <w:spacing w:line="560" w:lineRule="exact"/>
        <w:rPr>
          <w:rFonts w:ascii="仿宋_GB2312" w:eastAsia="仿宋_GB2312"/>
          <w:sz w:val="32"/>
          <w:szCs w:val="32"/>
        </w:rPr>
      </w:pPr>
    </w:p>
    <w:p w14:paraId="44643C7C">
      <w:pPr>
        <w:spacing w:line="560" w:lineRule="exact"/>
        <w:ind w:firstLine="640" w:firstLineChars="200"/>
        <w:rPr>
          <w:rFonts w:ascii="仿宋_GB2312" w:eastAsia="仿宋_GB2312"/>
          <w:sz w:val="32"/>
          <w:szCs w:val="32"/>
        </w:rPr>
      </w:pPr>
    </w:p>
    <w:p w14:paraId="5471333E">
      <w:pPr>
        <w:spacing w:line="560" w:lineRule="exact"/>
        <w:ind w:firstLine="640" w:firstLineChars="200"/>
        <w:rPr>
          <w:rFonts w:ascii="仿宋_GB2312" w:eastAsia="仿宋_GB2312"/>
          <w:sz w:val="32"/>
          <w:szCs w:val="32"/>
        </w:rPr>
      </w:pPr>
    </w:p>
    <w:p w14:paraId="15C7B555">
      <w:pPr>
        <w:spacing w:line="560" w:lineRule="exact"/>
        <w:ind w:firstLine="640" w:firstLineChars="200"/>
        <w:rPr>
          <w:rFonts w:ascii="仿宋_GB2312" w:eastAsia="仿宋_GB2312"/>
          <w:sz w:val="32"/>
          <w:szCs w:val="32"/>
        </w:rPr>
      </w:pPr>
    </w:p>
    <w:p w14:paraId="29842F42">
      <w:pPr>
        <w:spacing w:line="560" w:lineRule="exact"/>
        <w:ind w:firstLine="640" w:firstLineChars="200"/>
        <w:rPr>
          <w:rFonts w:ascii="仿宋_GB2312" w:eastAsia="仿宋_GB2312"/>
          <w:sz w:val="32"/>
          <w:szCs w:val="32"/>
        </w:rPr>
      </w:pPr>
    </w:p>
    <w:p w14:paraId="4F15C55A">
      <w:pPr>
        <w:spacing w:line="560" w:lineRule="exact"/>
        <w:ind w:firstLine="640" w:firstLineChars="200"/>
        <w:rPr>
          <w:rFonts w:ascii="黑体" w:hAnsi="黑体" w:eastAsia="黑体" w:cs="黑体"/>
          <w:bCs/>
          <w:sz w:val="32"/>
          <w:szCs w:val="32"/>
        </w:rPr>
      </w:pPr>
    </w:p>
    <w:p w14:paraId="1140E763">
      <w:pPr>
        <w:spacing w:line="560" w:lineRule="exact"/>
        <w:ind w:firstLine="640" w:firstLineChars="200"/>
        <w:rPr>
          <w:rFonts w:ascii="仿宋_GB2312" w:eastAsia="仿宋_GB2312"/>
          <w:sz w:val="32"/>
          <w:szCs w:val="32"/>
        </w:rPr>
      </w:pPr>
    </w:p>
    <w:p w14:paraId="01F984B4">
      <w:pPr>
        <w:spacing w:line="560" w:lineRule="exact"/>
        <w:ind w:firstLine="640" w:firstLineChars="200"/>
        <w:rPr>
          <w:rFonts w:ascii="仿宋_GB2312" w:eastAsia="仿宋_GB2312"/>
          <w:sz w:val="32"/>
          <w:szCs w:val="32"/>
        </w:rPr>
      </w:pPr>
    </w:p>
    <w:p w14:paraId="5C64A8A8">
      <w:pPr>
        <w:spacing w:line="560" w:lineRule="exact"/>
        <w:ind w:firstLine="640" w:firstLineChars="200"/>
        <w:rPr>
          <w:rFonts w:ascii="仿宋_GB2312" w:eastAsia="仿宋_GB2312"/>
          <w:sz w:val="32"/>
          <w:szCs w:val="32"/>
        </w:rPr>
      </w:pPr>
    </w:p>
    <w:p w14:paraId="1CA728E0">
      <w:pPr>
        <w:spacing w:line="560" w:lineRule="exact"/>
        <w:ind w:firstLine="640" w:firstLineChars="200"/>
        <w:rPr>
          <w:rFonts w:ascii="仿宋_GB2312" w:eastAsia="仿宋_GB2312"/>
          <w:sz w:val="32"/>
          <w:szCs w:val="32"/>
        </w:rPr>
      </w:pPr>
    </w:p>
    <w:p w14:paraId="53D7DCCF">
      <w:pPr>
        <w:spacing w:line="560" w:lineRule="exact"/>
        <w:ind w:firstLine="643" w:firstLineChars="200"/>
        <w:rPr>
          <w:rFonts w:ascii="楷体_GB2312" w:eastAsia="楷体_GB2312"/>
          <w:b/>
          <w:sz w:val="32"/>
          <w:szCs w:val="32"/>
        </w:rPr>
      </w:pPr>
    </w:p>
    <w:p w14:paraId="1B3EDD53">
      <w:pPr>
        <w:spacing w:line="560" w:lineRule="exact"/>
        <w:ind w:firstLine="640" w:firstLineChars="200"/>
        <w:rPr>
          <w:rFonts w:ascii="仿宋_GB2312" w:eastAsia="仿宋_GB2312"/>
          <w:sz w:val="32"/>
          <w:szCs w:val="32"/>
        </w:rPr>
      </w:pPr>
    </w:p>
    <w:p w14:paraId="55BD70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Arial Unicode MS"/>
    <w:panose1 w:val="02010601030101010101"/>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KSOF4B1AA1F4">
    <w:panose1 w:val="020B0604020202020204"/>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537"/>
    <w:rsid w:val="000745FD"/>
    <w:rsid w:val="001B5056"/>
    <w:rsid w:val="001C7537"/>
    <w:rsid w:val="0029092A"/>
    <w:rsid w:val="00332573"/>
    <w:rsid w:val="00373D09"/>
    <w:rsid w:val="0040440F"/>
    <w:rsid w:val="004104CF"/>
    <w:rsid w:val="004C1C23"/>
    <w:rsid w:val="005E4BEE"/>
    <w:rsid w:val="00612BD6"/>
    <w:rsid w:val="007B49A5"/>
    <w:rsid w:val="00976664"/>
    <w:rsid w:val="00A50DED"/>
    <w:rsid w:val="00D15483"/>
    <w:rsid w:val="00D70CC7"/>
    <w:rsid w:val="01626D55"/>
    <w:rsid w:val="0203305B"/>
    <w:rsid w:val="020E7601"/>
    <w:rsid w:val="02EE63A2"/>
    <w:rsid w:val="03F433D4"/>
    <w:rsid w:val="0452626D"/>
    <w:rsid w:val="04DA27D5"/>
    <w:rsid w:val="04DE473A"/>
    <w:rsid w:val="077E2A50"/>
    <w:rsid w:val="0843361F"/>
    <w:rsid w:val="08841A26"/>
    <w:rsid w:val="09A66A4D"/>
    <w:rsid w:val="0B6D2F18"/>
    <w:rsid w:val="0B703D68"/>
    <w:rsid w:val="0B8326C5"/>
    <w:rsid w:val="0B9F0276"/>
    <w:rsid w:val="0C675364"/>
    <w:rsid w:val="0C9101F8"/>
    <w:rsid w:val="0CF254F0"/>
    <w:rsid w:val="0D3179FC"/>
    <w:rsid w:val="0D5F76AA"/>
    <w:rsid w:val="0DFF4363"/>
    <w:rsid w:val="0EC33FAC"/>
    <w:rsid w:val="0F6812D4"/>
    <w:rsid w:val="116978DE"/>
    <w:rsid w:val="11E727A8"/>
    <w:rsid w:val="12010F98"/>
    <w:rsid w:val="12383DC0"/>
    <w:rsid w:val="137F3D2B"/>
    <w:rsid w:val="142602DA"/>
    <w:rsid w:val="143A4F2F"/>
    <w:rsid w:val="14F142F7"/>
    <w:rsid w:val="15507067"/>
    <w:rsid w:val="15DE2942"/>
    <w:rsid w:val="16171651"/>
    <w:rsid w:val="16424916"/>
    <w:rsid w:val="174A053B"/>
    <w:rsid w:val="174E310F"/>
    <w:rsid w:val="17751D29"/>
    <w:rsid w:val="17B03166"/>
    <w:rsid w:val="17C13424"/>
    <w:rsid w:val="17FA3BAC"/>
    <w:rsid w:val="18097EA1"/>
    <w:rsid w:val="18ED17C1"/>
    <w:rsid w:val="19717394"/>
    <w:rsid w:val="1A647454"/>
    <w:rsid w:val="1AAA0B4C"/>
    <w:rsid w:val="1AB31597"/>
    <w:rsid w:val="1B3316AB"/>
    <w:rsid w:val="1E504D37"/>
    <w:rsid w:val="1FA04F07"/>
    <w:rsid w:val="1FC46FC2"/>
    <w:rsid w:val="20FD027C"/>
    <w:rsid w:val="210616E8"/>
    <w:rsid w:val="21AD2B44"/>
    <w:rsid w:val="23B4490B"/>
    <w:rsid w:val="245D65DB"/>
    <w:rsid w:val="25694306"/>
    <w:rsid w:val="25E95241"/>
    <w:rsid w:val="26187430"/>
    <w:rsid w:val="2819735F"/>
    <w:rsid w:val="28450E6E"/>
    <w:rsid w:val="28810E8B"/>
    <w:rsid w:val="28C3176B"/>
    <w:rsid w:val="28CD4324"/>
    <w:rsid w:val="28E833BE"/>
    <w:rsid w:val="2908077C"/>
    <w:rsid w:val="2A255E2E"/>
    <w:rsid w:val="2BE85D96"/>
    <w:rsid w:val="2BFD2D95"/>
    <w:rsid w:val="2C1047A5"/>
    <w:rsid w:val="2C362D2F"/>
    <w:rsid w:val="2CB06C5C"/>
    <w:rsid w:val="2D486C85"/>
    <w:rsid w:val="2E6E7857"/>
    <w:rsid w:val="2EC16E17"/>
    <w:rsid w:val="2F6479AC"/>
    <w:rsid w:val="303802E4"/>
    <w:rsid w:val="30902D65"/>
    <w:rsid w:val="30AC0CDF"/>
    <w:rsid w:val="314C4BC7"/>
    <w:rsid w:val="32E809E2"/>
    <w:rsid w:val="3474189E"/>
    <w:rsid w:val="34D0484E"/>
    <w:rsid w:val="34EF4921"/>
    <w:rsid w:val="35297DB5"/>
    <w:rsid w:val="356C4F0A"/>
    <w:rsid w:val="371859A5"/>
    <w:rsid w:val="371F7F7B"/>
    <w:rsid w:val="373A1D42"/>
    <w:rsid w:val="374A76A3"/>
    <w:rsid w:val="37651532"/>
    <w:rsid w:val="37746865"/>
    <w:rsid w:val="38783DD2"/>
    <w:rsid w:val="3AD60D98"/>
    <w:rsid w:val="3AD800D2"/>
    <w:rsid w:val="3B861358"/>
    <w:rsid w:val="3B984E35"/>
    <w:rsid w:val="3BC73F7D"/>
    <w:rsid w:val="3C73623A"/>
    <w:rsid w:val="3DBB4AF7"/>
    <w:rsid w:val="3DF741DA"/>
    <w:rsid w:val="3FB5178A"/>
    <w:rsid w:val="403D4E29"/>
    <w:rsid w:val="40631DE6"/>
    <w:rsid w:val="407D4AB2"/>
    <w:rsid w:val="40C1176A"/>
    <w:rsid w:val="40CC66D4"/>
    <w:rsid w:val="40F9541F"/>
    <w:rsid w:val="414F062A"/>
    <w:rsid w:val="41655B48"/>
    <w:rsid w:val="42445121"/>
    <w:rsid w:val="427A6373"/>
    <w:rsid w:val="42DB13DB"/>
    <w:rsid w:val="43F839F3"/>
    <w:rsid w:val="43FE5699"/>
    <w:rsid w:val="44961E2D"/>
    <w:rsid w:val="449B1BDC"/>
    <w:rsid w:val="45292470"/>
    <w:rsid w:val="452F6364"/>
    <w:rsid w:val="4576602A"/>
    <w:rsid w:val="45BF7EC7"/>
    <w:rsid w:val="45C3350E"/>
    <w:rsid w:val="45C44037"/>
    <w:rsid w:val="46154635"/>
    <w:rsid w:val="46727C9A"/>
    <w:rsid w:val="4687071F"/>
    <w:rsid w:val="46CC6064"/>
    <w:rsid w:val="48224DC1"/>
    <w:rsid w:val="486A45E1"/>
    <w:rsid w:val="487A5265"/>
    <w:rsid w:val="498C5F32"/>
    <w:rsid w:val="49B71D80"/>
    <w:rsid w:val="4ABC5DAA"/>
    <w:rsid w:val="4BB83B6F"/>
    <w:rsid w:val="4C796748"/>
    <w:rsid w:val="4CD17A02"/>
    <w:rsid w:val="4D071DBD"/>
    <w:rsid w:val="4D777D53"/>
    <w:rsid w:val="4E6C395B"/>
    <w:rsid w:val="4EAD76B0"/>
    <w:rsid w:val="4F9D2291"/>
    <w:rsid w:val="50B96100"/>
    <w:rsid w:val="51AB6F05"/>
    <w:rsid w:val="52655DBB"/>
    <w:rsid w:val="5276374E"/>
    <w:rsid w:val="52BD1649"/>
    <w:rsid w:val="53E30A7C"/>
    <w:rsid w:val="54034B21"/>
    <w:rsid w:val="54BB6BF7"/>
    <w:rsid w:val="55323A38"/>
    <w:rsid w:val="5580268B"/>
    <w:rsid w:val="55FD782D"/>
    <w:rsid w:val="560228B7"/>
    <w:rsid w:val="56CD0D79"/>
    <w:rsid w:val="56DA3DE8"/>
    <w:rsid w:val="5733219C"/>
    <w:rsid w:val="57536479"/>
    <w:rsid w:val="57641B13"/>
    <w:rsid w:val="590C77F0"/>
    <w:rsid w:val="5A047A3B"/>
    <w:rsid w:val="5A8B1B68"/>
    <w:rsid w:val="5B266C19"/>
    <w:rsid w:val="5B3247EB"/>
    <w:rsid w:val="5BBC4299"/>
    <w:rsid w:val="5BFD57A4"/>
    <w:rsid w:val="5C555BBD"/>
    <w:rsid w:val="5CEC526F"/>
    <w:rsid w:val="5D210A69"/>
    <w:rsid w:val="5D744772"/>
    <w:rsid w:val="5D82040F"/>
    <w:rsid w:val="5EB70DDD"/>
    <w:rsid w:val="5F0E08A5"/>
    <w:rsid w:val="602D5E8C"/>
    <w:rsid w:val="604C53C3"/>
    <w:rsid w:val="611F2767"/>
    <w:rsid w:val="617C2AE5"/>
    <w:rsid w:val="62333DBE"/>
    <w:rsid w:val="64147CAE"/>
    <w:rsid w:val="648171A5"/>
    <w:rsid w:val="648367CD"/>
    <w:rsid w:val="64EC299B"/>
    <w:rsid w:val="660D7179"/>
    <w:rsid w:val="66DB19AF"/>
    <w:rsid w:val="67FC1D3A"/>
    <w:rsid w:val="67FD35A3"/>
    <w:rsid w:val="687D2CBF"/>
    <w:rsid w:val="68837A86"/>
    <w:rsid w:val="69023F0F"/>
    <w:rsid w:val="6A353D31"/>
    <w:rsid w:val="6A62078C"/>
    <w:rsid w:val="6A8831FD"/>
    <w:rsid w:val="6A971038"/>
    <w:rsid w:val="6ABE5E96"/>
    <w:rsid w:val="6B226480"/>
    <w:rsid w:val="6BBE5EF0"/>
    <w:rsid w:val="6BCE3B3B"/>
    <w:rsid w:val="6C0814A9"/>
    <w:rsid w:val="6DF44BB9"/>
    <w:rsid w:val="705F2C6D"/>
    <w:rsid w:val="707F35DF"/>
    <w:rsid w:val="70862203"/>
    <w:rsid w:val="7093593E"/>
    <w:rsid w:val="70CA74E6"/>
    <w:rsid w:val="71D41047"/>
    <w:rsid w:val="722E1887"/>
    <w:rsid w:val="72BF04A8"/>
    <w:rsid w:val="72D64AAB"/>
    <w:rsid w:val="73695863"/>
    <w:rsid w:val="739357F2"/>
    <w:rsid w:val="73F6152C"/>
    <w:rsid w:val="745B5F47"/>
    <w:rsid w:val="74BE052A"/>
    <w:rsid w:val="76427533"/>
    <w:rsid w:val="764F458E"/>
    <w:rsid w:val="76CF606F"/>
    <w:rsid w:val="7A750117"/>
    <w:rsid w:val="7A9557B4"/>
    <w:rsid w:val="7BD36A7B"/>
    <w:rsid w:val="7C786DF1"/>
    <w:rsid w:val="7D884C00"/>
    <w:rsid w:val="7ED5176D"/>
    <w:rsid w:val="7F744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rFonts w:asciiTheme="minorHAnsi" w:hAnsiTheme="minorHAnsi" w:eastAsiaTheme="minorEastAsia" w:cstheme="minorBidi"/>
      <w:kern w:val="2"/>
      <w:sz w:val="18"/>
      <w:szCs w:val="18"/>
    </w:rPr>
  </w:style>
  <w:style w:type="character" w:customStyle="1" w:styleId="7">
    <w:name w:val="页脚 字符"/>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charts/chart7.xml" Type="http://schemas.openxmlformats.org/officeDocument/2006/relationships/chart"/><Relationship Id="rId11" Target="charts/chart8.xml" Type="http://schemas.openxmlformats.org/officeDocument/2006/relationships/chart"/><Relationship Id="rId12" Target="charts/chart9.xml" Type="http://schemas.openxmlformats.org/officeDocument/2006/relationships/chart"/><Relationship Id="rId13" Target="charts/chart10.xml" Type="http://schemas.openxmlformats.org/officeDocument/2006/relationships/chart"/><Relationship Id="rId14" Target="charts/chart11.xml" Type="http://schemas.openxmlformats.org/officeDocument/2006/relationships/chart"/><Relationship Id="rId15" Target="charts/chart12.xml" Type="http://schemas.openxmlformats.org/officeDocument/2006/relationships/chart"/><Relationship Id="rId16" Target="charts/chart13.xml" Type="http://schemas.openxmlformats.org/officeDocument/2006/relationships/chart"/><Relationship Id="rId17" Target="charts/chart14.xml" Type="http://schemas.openxmlformats.org/officeDocument/2006/relationships/chart"/><Relationship Id="rId18" Target="charts/chart15.xml" Type="http://schemas.openxmlformats.org/officeDocument/2006/relationships/chart"/><Relationship Id="rId19" Target="charts/chart16.xml" Type="http://schemas.openxmlformats.org/officeDocument/2006/relationships/chart"/><Relationship Id="rId2" Target="settings.xml" Type="http://schemas.openxmlformats.org/officeDocument/2006/relationships/settings"/><Relationship Id="rId20" Target="charts/chart17.xml" Type="http://schemas.openxmlformats.org/officeDocument/2006/relationships/chart"/><Relationship Id="rId21" Target="charts/chart18.xml" Type="http://schemas.openxmlformats.org/officeDocument/2006/relationships/chart"/><Relationship Id="rId22" Target="charts/chart19.xml" Type="http://schemas.openxmlformats.org/officeDocument/2006/relationships/chart"/><Relationship Id="rId23" Target="fontTable.xml" Type="http://schemas.openxmlformats.org/officeDocument/2006/relationships/fontTable"/><Relationship Id="rId3" Target="theme/theme1.xml" Type="http://schemas.openxmlformats.org/officeDocument/2006/relationships/theme"/><Relationship Id="rId4" Target="charts/chart1.xml" Type="http://schemas.openxmlformats.org/officeDocument/2006/relationships/chart"/><Relationship Id="rId5" Target="charts/chart2.xml" Type="http://schemas.openxmlformats.org/officeDocument/2006/relationships/chart"/><Relationship Id="rId6" Target="charts/chart3.xml" Type="http://schemas.openxmlformats.org/officeDocument/2006/relationships/chart"/><Relationship Id="rId7" Target="charts/chart4.xml" Type="http://schemas.openxmlformats.org/officeDocument/2006/relationships/chart"/><Relationship Id="rId8" Target="charts/chart5.xml" Type="http://schemas.openxmlformats.org/officeDocument/2006/relationships/chart"/><Relationship Id="rId9" Target="charts/chart6.xml" Type="http://schemas.openxmlformats.org/officeDocument/2006/relationships/chart"/></Relationships>
</file>

<file path=word/charts/_rels/chart1.xml.rels><?xml version="1.0" encoding="UTF-8" standalone="no"?><Relationships xmlns="http://schemas.openxmlformats.org/package/2006/relationships"><Relationship Id="rId1" Target="../embeddings/Workbook4.xlsx" Type="http://schemas.openxmlformats.org/officeDocument/2006/relationships/package"/><Relationship Id="rId2" Target="style4.xml" Type="http://schemas.microsoft.com/office/2011/relationships/chartStyle"/><Relationship Id="rId3" Target="colors4.xml" Type="http://schemas.microsoft.com/office/2011/relationships/chartColorStyle"/></Relationships>
</file>

<file path=word/charts/_rels/chart2.xml.rels><?xml version="1.0" encoding="UTF-8" standalone="no"?><Relationships xmlns="http://schemas.openxmlformats.org/package/2006/relationships"><Relationship Id="rId1" Target="../embeddings/Workbook2.xlsx" Type="http://schemas.openxmlformats.org/officeDocument/2006/relationships/package"/><Relationship Id="rId2" Target="style2.xml" Type="http://schemas.microsoft.com/office/2011/relationships/chartStyle"/><Relationship Id="rId3" Target="colors2.xml" Type="http://schemas.microsoft.com/office/2011/relationships/chartColorStyle"/></Relationships>
</file>

<file path=word/charts/_rels/chart3.xml.rels><?xml version="1.0" encoding="UTF-8" standalone="no"?><Relationships xmlns="http://schemas.openxmlformats.org/package/2006/relationships"><Relationship Id="rId1" Target="../embeddings/Workbook15.xlsx" Type="http://schemas.openxmlformats.org/officeDocument/2006/relationships/package"/><Relationship Id="rId2" Target="style15.xml" Type="http://schemas.microsoft.com/office/2011/relationships/chartStyle"/><Relationship Id="rId3" Target="colors15.xml" Type="http://schemas.microsoft.com/office/2011/relationships/chartColorStyle"/></Relationships>
</file>

<file path=word/charts/_rels/chart4.xml.rels><?xml version="1.0" encoding="UTF-8" standalone="no"?><Relationships xmlns="http://schemas.openxmlformats.org/package/2006/relationships"><Relationship Id="rId1" Target="../embeddings/Workbook7.xlsx" Type="http://schemas.openxmlformats.org/officeDocument/2006/relationships/package"/><Relationship Id="rId2" Target="style7.xml" Type="http://schemas.microsoft.com/office/2011/relationships/chartStyle"/><Relationship Id="rId3" Target="colors7.xml" Type="http://schemas.microsoft.com/office/2011/relationships/chartColorStyle"/></Relationships>
</file>

<file path=word/charts/_rels/chart5.xml.rels><?xml version="1.0" encoding="UTF-8" standalone="no"?><Relationships xmlns="http://schemas.openxmlformats.org/package/2006/relationships"><Relationship Id="rId1" Target="../embeddings/Workbook12.xlsx" Type="http://schemas.openxmlformats.org/officeDocument/2006/relationships/package"/><Relationship Id="rId2" Target="style12.xml" Type="http://schemas.microsoft.com/office/2011/relationships/chartStyle"/><Relationship Id="rId3" Target="colors12.xml" Type="http://schemas.microsoft.com/office/2011/relationships/chartColorStyle"/></Relationships>
</file>

<file path=word/charts/_rels/chart6.xml.rels><?xml version="1.0" encoding="UTF-8" standalone="no"?><Relationships xmlns="http://schemas.openxmlformats.org/package/2006/relationships"><Relationship Id="rId1" Target="../embeddings/Workbook6.xlsx" Type="http://schemas.openxmlformats.org/officeDocument/2006/relationships/package"/><Relationship Id="rId2" Target="style6.xml" Type="http://schemas.microsoft.com/office/2011/relationships/chartStyle"/><Relationship Id="rId3" Target="colors6.xml" Type="http://schemas.microsoft.com/office/2011/relationships/chartColorStyle"/></Relationships>
</file>

<file path=word/charts/_rels/chart7.xml.rels><?xml version="1.0" encoding="UTF-8" standalone="no"?><Relationships xmlns="http://schemas.openxmlformats.org/package/2006/relationships"><Relationship Id="rId1" Target="../embeddings/Workbook5.xlsx" Type="http://schemas.openxmlformats.org/officeDocument/2006/relationships/package"/><Relationship Id="rId2" Target="style5.xml" Type="http://schemas.microsoft.com/office/2011/relationships/chartStyle"/><Relationship Id="rId3" Target="colors5.xml" Type="http://schemas.microsoft.com/office/2011/relationships/chartColorStyle"/></Relationships>
</file>

<file path=word/charts/_rels/chart8.xml.rels><?xml version="1.0" encoding="UTF-8" standalone="no"?><Relationships xmlns="http://schemas.openxmlformats.org/package/2006/relationships"><Relationship Id="rId1" Target="../embeddings/Workbook9.xlsx" Type="http://schemas.openxmlformats.org/officeDocument/2006/relationships/package"/><Relationship Id="rId2" Target="style9.xml" Type="http://schemas.microsoft.com/office/2011/relationships/chartStyle"/><Relationship Id="rId3" Target="colors9.xml" Type="http://schemas.microsoft.com/office/2011/relationships/chartColorStyle"/></Relationships>
</file>

<file path=word/charts/_rels/chart9.xml.rels><?xml version="1.0" encoding="UTF-8" standalone="no"?><Relationships xmlns="http://schemas.openxmlformats.org/package/2006/relationships"><Relationship Id="rId1" Target="../embeddings/Workbook8.xlsx" Type="http://schemas.openxmlformats.org/officeDocument/2006/relationships/package"/><Relationship Id="rId2" Target="style8.xml" Type="http://schemas.microsoft.com/office/2011/relationships/chartStyle"/><Relationship Id="rId3" Target="colors8.xml" Type="http://schemas.microsoft.com/office/2011/relationships/chartColorStyle"/></Relationships>
</file>

<file path=word/charts/_rels/chart10.xml.rels><?xml version="1.0" encoding="UTF-8" standalone="no"?><Relationships xmlns="http://schemas.openxmlformats.org/package/2006/relationships"><Relationship Id="rId1" Target="../embeddings/Workbook10.xlsx" Type="http://schemas.openxmlformats.org/officeDocument/2006/relationships/package"/><Relationship Id="rId2" Target="style10.xml" Type="http://schemas.microsoft.com/office/2011/relationships/chartStyle"/><Relationship Id="rId3" Target="colors10.xml" Type="http://schemas.microsoft.com/office/2011/relationships/chartColorStyle"/></Relationships>
</file>

<file path=word/charts/_rels/chart11.xml.rels><?xml version="1.0" encoding="UTF-8" standalone="no"?><Relationships xmlns="http://schemas.openxmlformats.org/package/2006/relationships"><Relationship Id="rId1" Target="../embeddings/Workbook11.xlsx" Type="http://schemas.openxmlformats.org/officeDocument/2006/relationships/package"/><Relationship Id="rId2" Target="style11.xml" Type="http://schemas.microsoft.com/office/2011/relationships/chartStyle"/><Relationship Id="rId3" Target="colors11.xml" Type="http://schemas.microsoft.com/office/2011/relationships/chartColorStyle"/></Relationships>
</file>

<file path=word/charts/_rels/chart12.xml.rels><?xml version="1.0" encoding="UTF-8" standalone="no"?><Relationships xmlns="http://schemas.openxmlformats.org/package/2006/relationships"><Relationship Id="rId1" Target="../embeddings/Workbook13.xlsx" Type="http://schemas.openxmlformats.org/officeDocument/2006/relationships/package"/><Relationship Id="rId2" Target="style13.xml" Type="http://schemas.microsoft.com/office/2011/relationships/chartStyle"/><Relationship Id="rId3" Target="colors13.xml" Type="http://schemas.microsoft.com/office/2011/relationships/chartColorStyle"/></Relationships>
</file>

<file path=word/charts/_rels/chart13.xml.rels><?xml version="1.0" encoding="UTF-8" standalone="no"?><Relationships xmlns="http://schemas.openxmlformats.org/package/2006/relationships"><Relationship Id="rId1" Target="../embeddings/Workbook14.xlsx" Type="http://schemas.openxmlformats.org/officeDocument/2006/relationships/package"/><Relationship Id="rId2" Target="style14.xml" Type="http://schemas.microsoft.com/office/2011/relationships/chartStyle"/><Relationship Id="rId3" Target="colors14.xml" Type="http://schemas.microsoft.com/office/2011/relationships/chartColorStyle"/></Relationships>
</file>

<file path=word/charts/_rels/chart14.xml.rels><?xml version="1.0" encoding="UTF-8" standalone="no"?><Relationships xmlns="http://schemas.openxmlformats.org/package/2006/relationships"><Relationship Id="rId1" Target="../embeddings/Workbook3.xlsx" Type="http://schemas.openxmlformats.org/officeDocument/2006/relationships/package"/><Relationship Id="rId2" Target="style3.xml" Type="http://schemas.microsoft.com/office/2011/relationships/chartStyle"/><Relationship Id="rId3" Target="colors3.xml" Type="http://schemas.microsoft.com/office/2011/relationships/chartColorStyle"/></Relationships>
</file>

<file path=word/charts/_rels/chart15.xml.rels><?xml version="1.0" encoding="UTF-8" standalone="no"?><Relationships xmlns="http://schemas.openxmlformats.org/package/2006/relationships"><Relationship Id="rId1" Target="../embeddings/Workbook1.xlsx" Type="http://schemas.openxmlformats.org/officeDocument/2006/relationships/package"/><Relationship Id="rId2" Target="style1.xml" Type="http://schemas.microsoft.com/office/2011/relationships/chartStyle"/><Relationship Id="rId3" Target="colors1.xml" Type="http://schemas.microsoft.com/office/2011/relationships/chartColorStyle"/></Relationships>
</file>

<file path=word/charts/_rels/chart16.xml.rels><?xml version="1.0" encoding="UTF-8" standalone="no"?><Relationships xmlns="http://schemas.openxmlformats.org/package/2006/relationships"><Relationship Id="rId1" Target="../embeddings/Workbook16.xlsx" Type="http://schemas.openxmlformats.org/officeDocument/2006/relationships/package"/><Relationship Id="rId2" Target="style16.xml" Type="http://schemas.microsoft.com/office/2011/relationships/chartStyle"/><Relationship Id="rId3" Target="colors16.xml" Type="http://schemas.microsoft.com/office/2011/relationships/chartColorStyle"/></Relationships>
</file>

<file path=word/charts/_rels/chart17.xml.rels><?xml version="1.0" encoding="UTF-8" standalone="no"?><Relationships xmlns="http://schemas.openxmlformats.org/package/2006/relationships"><Relationship Id="rId1" Target="../embeddings/Workbook19.xlsx" Type="http://schemas.openxmlformats.org/officeDocument/2006/relationships/package"/><Relationship Id="rId2" Target="style19.xml" Type="http://schemas.microsoft.com/office/2011/relationships/chartStyle"/><Relationship Id="rId3" Target="colors19.xml" Type="http://schemas.microsoft.com/office/2011/relationships/chartColorStyle"/></Relationships>
</file>

<file path=word/charts/_rels/chart18.xml.rels><?xml version="1.0" encoding="UTF-8" standalone="no"?><Relationships xmlns="http://schemas.openxmlformats.org/package/2006/relationships"><Relationship Id="rId1" Target="../embeddings/Workbook17.xlsx" Type="http://schemas.openxmlformats.org/officeDocument/2006/relationships/package"/><Relationship Id="rId2" Target="style17.xml" Type="http://schemas.microsoft.com/office/2011/relationships/chartStyle"/><Relationship Id="rId3" Target="colors17.xml" Type="http://schemas.microsoft.com/office/2011/relationships/chartColorStyle"/></Relationships>
</file>

<file path=word/charts/_rels/chart19.xml.rels><?xml version="1.0" encoding="UTF-8" standalone="no"?><Relationships xmlns="http://schemas.openxmlformats.org/package/2006/relationships"><Relationship Id="rId1" Target="../embeddings/Workbook18.xlsx" Type="http://schemas.openxmlformats.org/officeDocument/2006/relationships/package"/><Relationship Id="rId2" Target="style18.xml" Type="http://schemas.microsoft.com/office/2011/relationships/chartStyle"/><Relationship Id="rId3" Target="colors18.xml" Type="http://schemas.microsoft.com/office/2011/relationships/chartColorStyl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近12个月资金流量情况表（单位：亿元）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资金流入</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Sheet1!$B$2:$B$13</c:f>
              <c:numCache>
                <c:formatCode>General</c:formatCode>
                <c:ptCount val="12"/>
                <c:pt idx="0">
                  <c:v>6.71</c:v>
                </c:pt>
                <c:pt idx="1">
                  <c:v>6.44</c:v>
                </c:pt>
                <c:pt idx="2">
                  <c:v>6.71</c:v>
                </c:pt>
                <c:pt idx="3">
                  <c:v>6.7</c:v>
                </c:pt>
                <c:pt idx="4">
                  <c:v>5.66</c:v>
                </c:pt>
                <c:pt idx="5">
                  <c:v>9.07</c:v>
                </c:pt>
                <c:pt idx="6">
                  <c:v>5.97</c:v>
                </c:pt>
                <c:pt idx="7">
                  <c:v>5.97</c:v>
                </c:pt>
                <c:pt idx="8">
                  <c:v>6.37</c:v>
                </c:pt>
                <c:pt idx="9">
                  <c:v>0.0</c:v>
                </c:pt>
                <c:pt idx="10">
                  <c:v>0.0</c:v>
                </c:pt>
                <c:pt idx="11">
                  <c:v>0.0</c:v>
                </c:pt>
              </c:numCache>
            </c:numRef>
          </c:val>
        </c:ser>
        <c:ser>
          <c:idx val="1"/>
          <c:order val="1"/>
          <c:tx>
            <c:strRef>
              <c:f>Sheet1!$C$1</c:f>
              <c:strCache>
                <c:ptCount val="1"/>
                <c:pt idx="0">
                  <c:v>资金流出</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Sheet1!$C$2:$C$13</c:f>
              <c:numCache>
                <c:formatCode>General</c:formatCode>
                <c:ptCount val="12"/>
                <c:pt idx="0">
                  <c:v>4.53</c:v>
                </c:pt>
                <c:pt idx="1">
                  <c:v>4.13</c:v>
                </c:pt>
                <c:pt idx="2">
                  <c:v>4.88</c:v>
                </c:pt>
                <c:pt idx="3">
                  <c:v>5.5</c:v>
                </c:pt>
                <c:pt idx="4">
                  <c:v>4.39</c:v>
                </c:pt>
                <c:pt idx="5">
                  <c:v>5.31</c:v>
                </c:pt>
                <c:pt idx="6">
                  <c:v>4.55</c:v>
                </c:pt>
                <c:pt idx="7">
                  <c:v>5.37</c:v>
                </c:pt>
                <c:pt idx="8">
                  <c:v>5.2</c:v>
                </c:pt>
                <c:pt idx="9">
                  <c:v>0.0</c:v>
                </c:pt>
                <c:pt idx="10">
                  <c:v>0.0</c:v>
                </c:pt>
                <c:pt idx="11">
                  <c:v>0.0</c:v>
                </c:pt>
              </c:numCache>
            </c:numRef>
          </c:val>
        </c:ser>
        <c:dLbls>
          <c:showLegendKey val="0"/>
          <c:showVal val="1"/>
          <c:showCatName val="0"/>
          <c:showSerName val="0"/>
          <c:showPercent val="0"/>
          <c:showBubbleSize val="0"/>
        </c:dLbls>
        <c:gapWidth val="219"/>
        <c:overlap val="-27"/>
        <c:axId val="114552944"/>
        <c:axId val="114557936"/>
      </c:barChart>
      <c:lineChart>
        <c:grouping val="standard"/>
        <c:varyColors val="0"/>
        <c:ser>
          <c:idx val="2"/>
          <c:order val="2"/>
          <c:tx>
            <c:strRef>
              <c:f>Sheet1!$D$1</c:f>
              <c:strCache>
                <c:ptCount val="1"/>
                <c:pt idx="0">
                  <c:v>资金净流量</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Sheet1!$D$2:$D$13</c:f>
              <c:numCache>
                <c:formatCode>General</c:formatCode>
                <c:ptCount val="12"/>
                <c:pt idx="0">
                  <c:v>2.17</c:v>
                </c:pt>
                <c:pt idx="1">
                  <c:v>2.31</c:v>
                </c:pt>
                <c:pt idx="2">
                  <c:v>1.83</c:v>
                </c:pt>
                <c:pt idx="3">
                  <c:v>1.2</c:v>
                </c:pt>
                <c:pt idx="4">
                  <c:v>1.27</c:v>
                </c:pt>
                <c:pt idx="5">
                  <c:v>3.76</c:v>
                </c:pt>
                <c:pt idx="6">
                  <c:v>1.42</c:v>
                </c:pt>
                <c:pt idx="7">
                  <c:v>0.6</c:v>
                </c:pt>
                <c:pt idx="8">
                  <c:v>1.17</c:v>
                </c:pt>
                <c:pt idx="9">
                  <c:v>0.0</c:v>
                </c:pt>
                <c:pt idx="10">
                  <c:v>0.0</c:v>
                </c:pt>
                <c:pt idx="11">
                  <c:v>0.0</c:v>
                </c:pt>
              </c:numCache>
            </c:numRef>
          </c:val>
          <c:smooth val="0"/>
        </c:ser>
        <c:dLbls>
          <c:showLegendKey val="0"/>
          <c:showVal val="1"/>
          <c:showCatName val="0"/>
          <c:showSerName val="0"/>
          <c:showPercent val="0"/>
          <c:showBubbleSize val="0"/>
        </c:dLbls>
        <c:marker val="0"/>
        <c:smooth val="0"/>
        <c:axId val="114552944"/>
        <c:axId val="114557936"/>
      </c:lineChart>
      <c:catAx>
        <c:axId val="11455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4557936"/>
        <c:crosses val="autoZero"/>
        <c:auto val="1"/>
        <c:lblAlgn val="ctr"/>
        <c:lblOffset val="100"/>
        <c:noMultiLvlLbl val="0"/>
      </c:catAx>
      <c:valAx>
        <c:axId val="114557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455294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7c08ff2-35d6-4b44-be96-80fbc7e7d09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分支机构资金净流入情况表（单位：万元）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流入金额</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Sheet1!$A$2:$A$11</c:f>
              <c:strCache>
                <c:ptCount val="10"/>
                <c:pt idx="0">
                  <c:v>市直一部</c:v>
                </c:pt>
                <c:pt idx="1">
                  <c:v>滕州分中心</c:v>
                </c:pt>
                <c:pt idx="2">
                  <c:v>枣矿分中心</c:v>
                </c:pt>
                <c:pt idx="3">
                  <c:v>峄城管理部</c:v>
                </c:pt>
                <c:pt idx="4">
                  <c:v>台儿庄管理部</c:v>
                </c:pt>
                <c:pt idx="5">
                  <c:v>市中管理部</c:v>
                </c:pt>
                <c:pt idx="6">
                  <c:v>山亭管理部</c:v>
                </c:pt>
                <c:pt idx="7">
                  <c:v>薛城管理部</c:v>
                </c:pt>
                <c:pt idx="8">
                  <c:v>高新区管理部</c:v>
                </c:pt>
                <c:pt idx="9">
                  <c:v>市直二部</c:v>
                </c:pt>
              </c:strCache>
            </c:strRef>
          </c:cat>
          <c:val>
            <c:numRef>
              <c:f>Sheet1!$B$2:$B$11</c:f>
              <c:numCache>
                <c:formatCode>General</c:formatCode>
                <c:ptCount val="10"/>
                <c:pt idx="0">
                  <c:v>1.18535396404E9</c:v>
                </c:pt>
                <c:pt idx="1">
                  <c:v>1.54316299387E9</c:v>
                </c:pt>
                <c:pt idx="2">
                  <c:v>8.814959264E8</c:v>
                </c:pt>
                <c:pt idx="3">
                  <c:v>4.0530596799E8</c:v>
                </c:pt>
                <c:pt idx="4">
                  <c:v>3.2835178452E8</c:v>
                </c:pt>
                <c:pt idx="5">
                  <c:v>3.5584903851E8</c:v>
                </c:pt>
                <c:pt idx="6">
                  <c:v>2.3686542382E8</c:v>
                </c:pt>
                <c:pt idx="7">
                  <c:v>3.9957019534E8</c:v>
                </c:pt>
                <c:pt idx="8">
                  <c:v>1.5239795144E8</c:v>
                </c:pt>
                <c:pt idx="9">
                  <c:v>4.7039950872E8</c:v>
                </c:pt>
              </c:numCache>
            </c:numRef>
          </c:val>
        </c:ser>
        <c:dLbls>
          <c:showLegendKey val="0"/>
          <c:showVal val="1"/>
          <c:showCatName val="0"/>
          <c:showSerName val="0"/>
          <c:showPercent val="0"/>
          <c:showBubbleSize val="0"/>
        </c:dLbls>
        <c:gapWidth val="219"/>
        <c:overlap val="-27"/>
        <c:axId val="672260592"/>
        <c:axId val="672263504"/>
      </c:barChart>
      <c:catAx>
        <c:axId val="67226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2263504"/>
        <c:crosses val="autoZero"/>
        <c:auto val="1"/>
        <c:lblAlgn val="ctr"/>
        <c:lblOffset val="100"/>
        <c:noMultiLvlLbl val="0"/>
      </c:catAx>
      <c:valAx>
        <c:axId val="672263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流入金额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226059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4793953-f860-4afa-86ec-06a4bf51cac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归集趋势图（单位：亿元）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2025年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Sheet1!$B$2:$B$13</c:f>
              <c:numCache>
                <c:formatCode>General</c:formatCode>
                <c:ptCount val="12"/>
                <c:pt idx="0">
                  <c:v>4.49</c:v>
                </c:pt>
                <c:pt idx="1">
                  <c:v>4.41</c:v>
                </c:pt>
                <c:pt idx="2">
                  <c:v>4.49</c:v>
                </c:pt>
                <c:pt idx="3">
                  <c:v>4.69</c:v>
                </c:pt>
                <c:pt idx="4">
                  <c:v>3.84</c:v>
                </c:pt>
                <c:pt idx="5">
                  <c:v>7.38</c:v>
                </c:pt>
                <c:pt idx="6">
                  <c:v>4.08</c:v>
                </c:pt>
                <c:pt idx="7">
                  <c:v>4.0</c:v>
                </c:pt>
                <c:pt idx="8">
                  <c:v>4.56</c:v>
                </c:pt>
                <c:pt idx="9">
                  <c:v>0.0</c:v>
                </c:pt>
                <c:pt idx="10">
                  <c:v>0.0</c:v>
                </c:pt>
                <c:pt idx="11">
                  <c:v>0.0</c:v>
                </c:pt>
              </c:numCache>
            </c:numRef>
          </c:val>
          <c:smooth val="0"/>
        </c:ser>
        <c:ser>
          <c:idx val="1"/>
          <c:order val="1"/>
          <c:tx>
            <c:strRef>
              <c:f>Sheet1!$C$1</c:f>
              <c:strCache>
                <c:ptCount val="1"/>
                <c:pt idx="0">
                  <c:v>2024年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Sheet1!$C$2:$C$13</c:f>
              <c:numCache>
                <c:formatCode>General</c:formatCode>
                <c:ptCount val="12"/>
                <c:pt idx="0">
                  <c:v>3.78</c:v>
                </c:pt>
                <c:pt idx="1">
                  <c:v>3.73</c:v>
                </c:pt>
                <c:pt idx="2">
                  <c:v>4.66</c:v>
                </c:pt>
                <c:pt idx="3">
                  <c:v>5.03</c:v>
                </c:pt>
                <c:pt idx="4">
                  <c:v>9.92</c:v>
                </c:pt>
                <c:pt idx="5">
                  <c:v>7.43</c:v>
                </c:pt>
                <c:pt idx="6">
                  <c:v>4.4</c:v>
                </c:pt>
                <c:pt idx="7">
                  <c:v>4.02</c:v>
                </c:pt>
                <c:pt idx="8">
                  <c:v>3.99</c:v>
                </c:pt>
                <c:pt idx="9">
                  <c:v>3.9</c:v>
                </c:pt>
                <c:pt idx="10">
                  <c:v>3.8</c:v>
                </c:pt>
                <c:pt idx="11">
                  <c:v>3.96</c:v>
                </c:pt>
              </c:numCache>
            </c:numRef>
          </c:val>
          <c:smooth val="0"/>
        </c:ser>
        <c:dLbls>
          <c:showLegendKey val="0"/>
          <c:showVal val="0"/>
          <c:showCatName val="0"/>
          <c:showSerName val="0"/>
          <c:showPercent val="0"/>
          <c:showBubbleSize val="0"/>
        </c:dLbls>
        <c:marker val="1"/>
        <c:smooth val="0"/>
        <c:axId val="698985616"/>
        <c:axId val="698986032"/>
      </c:lineChart>
      <c:catAx>
        <c:axId val="698985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8986032"/>
        <c:crosses val="autoZero"/>
        <c:auto val="1"/>
        <c:lblAlgn val="ctr"/>
        <c:lblOffset val="100"/>
        <c:noMultiLvlLbl val="0"/>
      </c:catAx>
      <c:valAx>
        <c:axId val="698986032"/>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898561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cb87a4c-b6dc-49a7-8f70-7c05340450a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提取趋势图（单位：亿元）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2025年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Sheet1!$B$2:$B$13</c:f>
              <c:numCache>
                <c:formatCode>General</c:formatCode>
                <c:ptCount val="12"/>
                <c:pt idx="0">
                  <c:v>3.34</c:v>
                </c:pt>
                <c:pt idx="1">
                  <c:v>2.99</c:v>
                </c:pt>
                <c:pt idx="2">
                  <c:v>3.46</c:v>
                </c:pt>
                <c:pt idx="3">
                  <c:v>3.36</c:v>
                </c:pt>
                <c:pt idx="4">
                  <c:v>2.78</c:v>
                </c:pt>
                <c:pt idx="5">
                  <c:v>2.63</c:v>
                </c:pt>
                <c:pt idx="6">
                  <c:v>3.77</c:v>
                </c:pt>
                <c:pt idx="7">
                  <c:v>3.5</c:v>
                </c:pt>
                <c:pt idx="8">
                  <c:v>3.17</c:v>
                </c:pt>
                <c:pt idx="9">
                  <c:v>0.0</c:v>
                </c:pt>
                <c:pt idx="10">
                  <c:v>0.0</c:v>
                </c:pt>
                <c:pt idx="11">
                  <c:v>0.0</c:v>
                </c:pt>
              </c:numCache>
            </c:numRef>
          </c:val>
          <c:smooth val="0"/>
        </c:ser>
        <c:ser>
          <c:idx val="1"/>
          <c:order val="1"/>
          <c:tx>
            <c:strRef>
              <c:f>Sheet1!$C$1</c:f>
              <c:strCache>
                <c:ptCount val="1"/>
                <c:pt idx="0">
                  <c:v>2024年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Sheet1!$C$2:$C$13</c:f>
              <c:numCache>
                <c:formatCode>General</c:formatCode>
                <c:ptCount val="12"/>
                <c:pt idx="0">
                  <c:v>3.21</c:v>
                </c:pt>
                <c:pt idx="1">
                  <c:v>2.99</c:v>
                </c:pt>
                <c:pt idx="2">
                  <c:v>3.01</c:v>
                </c:pt>
                <c:pt idx="3">
                  <c:v>3.08</c:v>
                </c:pt>
                <c:pt idx="4">
                  <c:v>2.86</c:v>
                </c:pt>
                <c:pt idx="5">
                  <c:v>2.83</c:v>
                </c:pt>
                <c:pt idx="6">
                  <c:v>3.8</c:v>
                </c:pt>
                <c:pt idx="7">
                  <c:v>3.23</c:v>
                </c:pt>
                <c:pt idx="8">
                  <c:v>3.28</c:v>
                </c:pt>
                <c:pt idx="9">
                  <c:v>2.8</c:v>
                </c:pt>
                <c:pt idx="10">
                  <c:v>3.1</c:v>
                </c:pt>
                <c:pt idx="11">
                  <c:v>3.09</c:v>
                </c:pt>
              </c:numCache>
            </c:numRef>
          </c:val>
          <c:smooth val="0"/>
        </c:ser>
        <c:dLbls>
          <c:showLegendKey val="0"/>
          <c:showVal val="0"/>
          <c:showCatName val="0"/>
          <c:showSerName val="0"/>
          <c:showPercent val="0"/>
          <c:showBubbleSize val="0"/>
        </c:dLbls>
        <c:marker val="1"/>
        <c:smooth val="0"/>
        <c:axId val="577259568"/>
        <c:axId val="577260400"/>
      </c:lineChart>
      <c:catAx>
        <c:axId val="577259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7260400"/>
        <c:crosses val="autoZero"/>
        <c:auto val="1"/>
        <c:lblAlgn val="ctr"/>
        <c:lblOffset val="100"/>
        <c:noMultiLvlLbl val="0"/>
      </c:catAx>
      <c:valAx>
        <c:axId val="577260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72595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eb6577d-22b2-48a6-95d9-d1be4f18c11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近一年购建房提取占比情况</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percentStacked"/>
        <c:varyColors val="0"/>
        <c:ser>
          <c:idx val="0"/>
          <c:order val="0"/>
          <c:tx>
            <c:strRef>
              <c:f>Sheet1!$B$1</c:f>
              <c:strCache>
                <c:ptCount val="1"/>
                <c:pt idx="0">
                  <c:v>购建房提取</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4.87691E7</c:v>
                </c:pt>
                <c:pt idx="1">
                  <c:v>5.12191E7</c:v>
                </c:pt>
                <c:pt idx="2">
                  <c:v>6.62392E7</c:v>
                </c:pt>
                <c:pt idx="3">
                  <c:v>6.47928E7</c:v>
                </c:pt>
                <c:pt idx="4">
                  <c:v>5.70623E7</c:v>
                </c:pt>
                <c:pt idx="5">
                  <c:v>5.67683E7</c:v>
                </c:pt>
                <c:pt idx="6">
                  <c:v>6.660380327E7</c:v>
                </c:pt>
                <c:pt idx="7">
                  <c:v>7.238060387E7</c:v>
                </c:pt>
                <c:pt idx="8">
                  <c:v>6.239010702E7</c:v>
                </c:pt>
              </c:numCache>
            </c:numRef>
          </c:val>
        </c:ser>
        <c:ser>
          <c:idx val="1"/>
          <c:order val="1"/>
          <c:tx>
            <c:strRef>
              <c:f>Sheet1!$C$1</c:f>
              <c:strCache>
                <c:ptCount val="1"/>
                <c:pt idx="0">
                  <c:v>除购建房外提取</c:v>
                </c:pt>
              </c:strCache>
            </c:strRef>
          </c:tx>
          <c:spPr>
            <a:solidFill>
              <a:schemeClr val="accent2"/>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2.8534267422E8</c:v>
                </c:pt>
                <c:pt idx="1">
                  <c:v>2.4822798982E8</c:v>
                </c:pt>
                <c:pt idx="2">
                  <c:v>2.7931654927E8</c:v>
                </c:pt>
                <c:pt idx="3">
                  <c:v>2.7159743011E8</c:v>
                </c:pt>
                <c:pt idx="4">
                  <c:v>2.2128986026E8</c:v>
                </c:pt>
                <c:pt idx="5">
                  <c:v>2.0665335891E8</c:v>
                </c:pt>
                <c:pt idx="6">
                  <c:v>3.1080733537E8</c:v>
                </c:pt>
                <c:pt idx="7">
                  <c:v>2.7809796301E8</c:v>
                </c:pt>
                <c:pt idx="8">
                  <c:v>2.5454066998E8</c:v>
                </c:pt>
              </c:numCache>
            </c:numRef>
          </c:val>
        </c:ser>
        <c:dLbls>
          <c:showLegendKey val="0"/>
          <c:showVal val="0"/>
          <c:showCatName val="0"/>
          <c:showSerName val="0"/>
          <c:showPercent val="0"/>
          <c:showBubbleSize val="0"/>
        </c:dLbls>
        <c:gapWidth val="219"/>
        <c:overlap val="100"/>
        <c:axId val="649960896"/>
        <c:axId val="649967968"/>
      </c:barChart>
      <c:catAx>
        <c:axId val="649960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9967968"/>
        <c:crosses val="autoZero"/>
        <c:auto val="1"/>
        <c:lblAlgn val="ctr"/>
        <c:lblOffset val="100"/>
        <c:noMultiLvlLbl val="0"/>
      </c:catAx>
      <c:valAx>
        <c:axId val="649967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提取金额占比</a:t>
                </a:r>
                <a:endParaRPr lang="en-US" sz="1100"/>
              </a:p>
            </c:rich>
          </c:tx>
          <c:layout/>
          <c:overlay val="false"/>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996089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38a4106-5d03-46d8-bc63-b0a045e2cdc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近一年还贷提取情况（单位：万元）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还贷提取</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16794.13</c:v>
                </c:pt>
                <c:pt idx="1">
                  <c:v>15076.73</c:v>
                </c:pt>
                <c:pt idx="2">
                  <c:v>16495.5</c:v>
                </c:pt>
                <c:pt idx="3">
                  <c:v>16052.06</c:v>
                </c:pt>
                <c:pt idx="4">
                  <c:v>14846.79</c:v>
                </c:pt>
                <c:pt idx="5">
                  <c:v>14092.3</c:v>
                </c:pt>
                <c:pt idx="6">
                  <c:v>14666.71</c:v>
                </c:pt>
                <c:pt idx="7">
                  <c:v>15793.11</c:v>
                </c:pt>
                <c:pt idx="8">
                  <c:v>14586.12</c:v>
                </c:pt>
              </c:numCache>
            </c:numRef>
          </c:val>
        </c:ser>
        <c:dLbls>
          <c:showLegendKey val="0"/>
          <c:showVal val="0"/>
          <c:showCatName val="0"/>
          <c:showSerName val="0"/>
          <c:showPercent val="0"/>
          <c:showBubbleSize val="0"/>
        </c:dLbls>
        <c:gapWidth val="219"/>
        <c:overlap val="-27"/>
        <c:axId val="817391552"/>
        <c:axId val="817381984"/>
      </c:barChart>
      <c:catAx>
        <c:axId val="81739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7381984"/>
        <c:crosses val="autoZero"/>
        <c:auto val="1"/>
        <c:lblAlgn val="ctr"/>
        <c:lblOffset val="100"/>
        <c:noMultiLvlLbl val="0"/>
      </c:catAx>
      <c:valAx>
        <c:axId val="817381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提取金额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739155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8a9e0-e0e5-4061-abe5-abbf245df2e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近一年无房租赁提取情况（单位：万元）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无房租赁提取金额</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1037.83</c:v>
                </c:pt>
                <c:pt idx="1">
                  <c:v>683.79</c:v>
                </c:pt>
                <c:pt idx="2">
                  <c:v>931.02</c:v>
                </c:pt>
                <c:pt idx="3">
                  <c:v>975.32</c:v>
                </c:pt>
                <c:pt idx="4">
                  <c:v>836.95</c:v>
                </c:pt>
                <c:pt idx="5">
                  <c:v>794.08</c:v>
                </c:pt>
                <c:pt idx="6">
                  <c:v>1192.79</c:v>
                </c:pt>
                <c:pt idx="7">
                  <c:v>1391.05</c:v>
                </c:pt>
                <c:pt idx="8">
                  <c:v>1503.35</c:v>
                </c:pt>
              </c:numCache>
            </c:numRef>
          </c:val>
        </c:ser>
        <c:dLbls>
          <c:showLegendKey val="0"/>
          <c:showVal val="0"/>
          <c:showCatName val="0"/>
          <c:showSerName val="0"/>
          <c:showPercent val="0"/>
          <c:showBubbleSize val="0"/>
        </c:dLbls>
        <c:gapWidth val="219"/>
        <c:overlap val="-27"/>
        <c:axId val="679083808"/>
        <c:axId val="679084224"/>
      </c:barChart>
      <c:lineChart>
        <c:grouping val="standard"/>
        <c:varyColors val="0"/>
        <c:ser>
          <c:idx val="2"/>
          <c:order val="2"/>
          <c:tx>
            <c:strRef>
              <c:f>Sheet1!$C$1</c:f>
              <c:strCache>
                <c:ptCount val="1"/>
                <c:pt idx="0">
                  <c:v>无房租赁提取人数</c:v>
                </c:pt>
              </c:strCache>
            </c:strRef>
          </c:tx>
          <c:spPr>
            <a:ln w="28575" cap="rnd">
              <a:solidFill>
                <a:schemeClr val="accent3"/>
              </a:solidFill>
              <a:round/>
            </a:ln>
            <a:effectLst/>
          </c:spPr>
          <c:marker>
            <c:symbol val="none"/>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10.0</c:v>
                </c:pt>
                <c:pt idx="1">
                  <c:v>10.0</c:v>
                </c:pt>
                <c:pt idx="2">
                  <c:v>10.0</c:v>
                </c:pt>
                <c:pt idx="3">
                  <c:v>10.0</c:v>
                </c:pt>
                <c:pt idx="4">
                  <c:v>10.0</c:v>
                </c:pt>
                <c:pt idx="5">
                  <c:v>10.0</c:v>
                </c:pt>
                <c:pt idx="6">
                  <c:v>10.0</c:v>
                </c:pt>
                <c:pt idx="7">
                  <c:v>10.0</c:v>
                </c:pt>
                <c:pt idx="8">
                  <c:v>10.0</c:v>
                </c:pt>
              </c:numCache>
            </c:numRef>
          </c:val>
          <c:smooth val="0"/>
        </c:ser>
        <c:dLbls>
          <c:showLegendKey val="0"/>
          <c:showVal val="0"/>
          <c:showCatName val="0"/>
          <c:showSerName val="0"/>
          <c:showPercent val="0"/>
          <c:showBubbleSize val="0"/>
        </c:dLbls>
        <c:marker val="0"/>
        <c:smooth val="0"/>
        <c:axId val="679083808"/>
        <c:axId val="679084224"/>
      </c:lineChart>
      <c:catAx>
        <c:axId val="679083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9084224"/>
        <c:crosses val="autoZero"/>
        <c:auto val="1"/>
        <c:lblAlgn val="ctr"/>
        <c:lblOffset val="100"/>
        <c:noMultiLvlLbl val="0"/>
      </c:catAx>
      <c:valAx>
        <c:axId val="67908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90838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d534369-de9c-4a0d-915f-34c2d209516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贷款趋势图（单位：亿元）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2025年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1.19</c:v>
                </c:pt>
                <c:pt idx="1">
                  <c:v>1.13</c:v>
                </c:pt>
                <c:pt idx="2">
                  <c:v>1.43</c:v>
                </c:pt>
                <c:pt idx="3">
                  <c:v>2.14</c:v>
                </c:pt>
                <c:pt idx="4">
                  <c:v>1.61</c:v>
                </c:pt>
                <c:pt idx="5">
                  <c:v>2.68</c:v>
                </c:pt>
                <c:pt idx="6">
                  <c:v>0.77</c:v>
                </c:pt>
                <c:pt idx="7">
                  <c:v>1.87</c:v>
                </c:pt>
                <c:pt idx="8">
                  <c:v>2.03</c:v>
                </c:pt>
              </c:numCache>
            </c:numRef>
          </c:val>
          <c:smooth val="0"/>
        </c:ser>
        <c:ser>
          <c:idx val="1"/>
          <c:order val="1"/>
          <c:tx>
            <c:strRef>
              <c:f>Sheet1!$C$1</c:f>
              <c:strCache>
                <c:ptCount val="1"/>
                <c:pt idx="0">
                  <c:v>2024年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1.14714E8</c:v>
                </c:pt>
                <c:pt idx="1">
                  <c:v>7.6245E7</c:v>
                </c:pt>
                <c:pt idx="2">
                  <c:v>1.1334E8</c:v>
                </c:pt>
                <c:pt idx="3">
                  <c:v>1.37059E8</c:v>
                </c:pt>
                <c:pt idx="4">
                  <c:v>2.1786343419E8</c:v>
                </c:pt>
                <c:pt idx="5">
                  <c:v>1.79659E8</c:v>
                </c:pt>
                <c:pt idx="6">
                  <c:v>2.31011E8</c:v>
                </c:pt>
                <c:pt idx="7">
                  <c:v>1.88995E8</c:v>
                </c:pt>
                <c:pt idx="8">
                  <c:v>1.79743E8</c:v>
                </c:pt>
              </c:numCache>
            </c:numRef>
          </c:val>
          <c:smooth val="0"/>
        </c:ser>
        <c:dLbls>
          <c:showLegendKey val="0"/>
          <c:showVal val="0"/>
          <c:showCatName val="0"/>
          <c:showSerName val="0"/>
          <c:showPercent val="0"/>
          <c:showBubbleSize val="0"/>
        </c:dLbls>
        <c:marker val="1"/>
        <c:smooth val="0"/>
        <c:axId val="711714912"/>
        <c:axId val="711714080"/>
      </c:lineChart>
      <c:catAx>
        <c:axId val="711714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1714080"/>
        <c:crosses val="autoZero"/>
        <c:auto val="1"/>
        <c:lblAlgn val="ctr"/>
        <c:lblOffset val="100"/>
        <c:noMultiLvlLbl val="0"/>
      </c:catAx>
      <c:valAx>
        <c:axId val="711714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17149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86fd200-7c56-42ca-8a6a-c8f2a932523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全市商品住房交易情况（单位：套）</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2025年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Sheet1!$B$2:$B$13</c:f>
              <c:numCache>
                <c:formatCode>General</c:formatCode>
                <c:ptCount val="12"/>
                <c:pt idx="0">
                  <c:v>100.0</c:v>
                </c:pt>
                <c:pt idx="1">
                  <c:v>87.0</c:v>
                </c:pt>
                <c:pt idx="2">
                  <c:v>120.0</c:v>
                </c:pt>
                <c:pt idx="3">
                  <c:v>192.0</c:v>
                </c:pt>
                <c:pt idx="4">
                  <c:v>142.0</c:v>
                </c:pt>
                <c:pt idx="5">
                  <c:v>258.0</c:v>
                </c:pt>
                <c:pt idx="6">
                  <c:v>148.0</c:v>
                </c:pt>
                <c:pt idx="7">
                  <c:v>362.0</c:v>
                </c:pt>
                <c:pt idx="8">
                  <c:v>382.0</c:v>
                </c:pt>
                <c:pt idx="9">
                  <c:v>0.0</c:v>
                </c:pt>
                <c:pt idx="10">
                  <c:v>0.0</c:v>
                </c:pt>
                <c:pt idx="11">
                  <c:v>0.0</c:v>
                </c:pt>
              </c:numCache>
            </c:numRef>
          </c:val>
          <c:smooth val="0"/>
        </c:ser>
        <c:ser>
          <c:idx val="1"/>
          <c:order val="1"/>
          <c:tx>
            <c:strRef>
              <c:f>Sheet1!$C$1</c:f>
              <c:strCache>
                <c:ptCount val="1"/>
                <c:pt idx="0">
                  <c:v>2024年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Sheet1!$C$2:$C$13</c:f>
              <c:numCache>
                <c:formatCode>General</c:formatCode>
                <c:ptCount val="12"/>
                <c:pt idx="0">
                  <c:v>126.0</c:v>
                </c:pt>
                <c:pt idx="1">
                  <c:v>67.0</c:v>
                </c:pt>
                <c:pt idx="2">
                  <c:v>104.0</c:v>
                </c:pt>
                <c:pt idx="3">
                  <c:v>110.0</c:v>
                </c:pt>
                <c:pt idx="4">
                  <c:v>125.0</c:v>
                </c:pt>
                <c:pt idx="5">
                  <c:v>149.0</c:v>
                </c:pt>
                <c:pt idx="6">
                  <c:v>233.0</c:v>
                </c:pt>
                <c:pt idx="7">
                  <c:v>158.0</c:v>
                </c:pt>
                <c:pt idx="8">
                  <c:v>167.0</c:v>
                </c:pt>
                <c:pt idx="9">
                  <c:v>139.0</c:v>
                </c:pt>
                <c:pt idx="10">
                  <c:v>115.0</c:v>
                </c:pt>
                <c:pt idx="11">
                  <c:v>96.0</c:v>
                </c:pt>
              </c:numCache>
            </c:numRef>
          </c:val>
          <c:smooth val="0"/>
        </c:ser>
        <c:dLbls>
          <c:showLegendKey val="0"/>
          <c:showVal val="0"/>
          <c:showCatName val="0"/>
          <c:showSerName val="0"/>
          <c:showPercent val="0"/>
          <c:showBubbleSize val="0"/>
        </c:dLbls>
        <c:marker val="1"/>
        <c:smooth val="0"/>
        <c:axId val="714490320"/>
        <c:axId val="714494064"/>
      </c:lineChart>
      <c:catAx>
        <c:axId val="714490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4494064"/>
        <c:crosses val="autoZero"/>
        <c:auto val="1"/>
        <c:lblAlgn val="ctr"/>
        <c:lblOffset val="100"/>
        <c:noMultiLvlLbl val="0"/>
      </c:catAx>
      <c:valAx>
        <c:axId val="714494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交易套数</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449032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3e6da1b-b069-435f-976f-ef37905b597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全市二手房成交情况（单位：套）</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2025年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Sheet1!$B$2:$B$13</c:f>
              <c:numCache>
                <c:formatCode>General</c:formatCode>
                <c:ptCount val="12"/>
                <c:pt idx="0">
                  <c:v>94.0</c:v>
                </c:pt>
                <c:pt idx="1">
                  <c:v>92.0</c:v>
                </c:pt>
                <c:pt idx="2">
                  <c:v>130.0</c:v>
                </c:pt>
                <c:pt idx="3">
                  <c:v>141.0</c:v>
                </c:pt>
                <c:pt idx="4">
                  <c:v>146.0</c:v>
                </c:pt>
                <c:pt idx="5">
                  <c:v>198.0</c:v>
                </c:pt>
                <c:pt idx="6">
                  <c:v>76.0</c:v>
                </c:pt>
                <c:pt idx="7">
                  <c:v>166.0</c:v>
                </c:pt>
                <c:pt idx="8">
                  <c:v>149.0</c:v>
                </c:pt>
                <c:pt idx="9">
                  <c:v>0.0</c:v>
                </c:pt>
                <c:pt idx="10">
                  <c:v>0.0</c:v>
                </c:pt>
                <c:pt idx="11">
                  <c:v>0.0</c:v>
                </c:pt>
              </c:numCache>
            </c:numRef>
          </c:val>
          <c:smooth val="0"/>
        </c:ser>
        <c:ser>
          <c:idx val="1"/>
          <c:order val="1"/>
          <c:tx>
            <c:strRef>
              <c:f>Sheet1!$C$1</c:f>
              <c:strCache>
                <c:ptCount val="1"/>
                <c:pt idx="0">
                  <c:v>2024年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Sheet1!$C$2:$C$13</c:f>
              <c:numCache>
                <c:formatCode>General</c:formatCode>
                <c:ptCount val="12"/>
                <c:pt idx="0">
                  <c:v>99.0</c:v>
                </c:pt>
                <c:pt idx="1">
                  <c:v>85.0</c:v>
                </c:pt>
                <c:pt idx="2">
                  <c:v>127.0</c:v>
                </c:pt>
                <c:pt idx="3">
                  <c:v>154.0</c:v>
                </c:pt>
                <c:pt idx="4">
                  <c:v>116.0</c:v>
                </c:pt>
                <c:pt idx="5">
                  <c:v>127.0</c:v>
                </c:pt>
                <c:pt idx="6">
                  <c:v>129.0</c:v>
                </c:pt>
                <c:pt idx="7">
                  <c:v>126.0</c:v>
                </c:pt>
                <c:pt idx="8">
                  <c:v>111.0</c:v>
                </c:pt>
                <c:pt idx="9">
                  <c:v>74.0</c:v>
                </c:pt>
                <c:pt idx="10">
                  <c:v>111.0</c:v>
                </c:pt>
                <c:pt idx="11">
                  <c:v>84.0</c:v>
                </c:pt>
              </c:numCache>
            </c:numRef>
          </c:val>
          <c:smooth val="0"/>
        </c:ser>
        <c:dLbls>
          <c:showLegendKey val="0"/>
          <c:showVal val="0"/>
          <c:showCatName val="0"/>
          <c:showSerName val="0"/>
          <c:showPercent val="0"/>
          <c:showBubbleSize val="0"/>
        </c:dLbls>
        <c:marker val="1"/>
        <c:smooth val="0"/>
        <c:axId val="1501409744"/>
        <c:axId val="1889845760"/>
      </c:lineChart>
      <c:catAx>
        <c:axId val="150140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89845760"/>
        <c:crosses val="autoZero"/>
        <c:auto val="1"/>
        <c:lblAlgn val="ctr"/>
        <c:lblOffset val="100"/>
        <c:noMultiLvlLbl val="0"/>
      </c:catAx>
      <c:valAx>
        <c:axId val="188984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交易套数</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0140974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19f1622-8461-4dc6-b1f7-f4f3d575aa0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近一年剔除后贷款发放情况（单位：笔、万元）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dLbls>
          <c:showLegendKey val="0"/>
          <c:showVal val="0"/>
          <c:showCatName val="0"/>
          <c:showSerName val="0"/>
          <c:showPercent val="0"/>
          <c:showBubbleSize val="0"/>
        </c:dLbls>
        <c:gapWidth val="150"/>
        <c:axId val="811118944"/>
        <c:axId val="811013696"/>
      </c:barChart>
      <c:lineChart>
        <c:grouping val="standard"/>
        <c:varyColors val="0"/>
        <c:ser>
          <c:idx val="2"/>
          <c:order val="2"/>
          <c:tx>
            <c:strRef>
              <c:f>Sheet1!$B$1</c:f>
              <c:strCache>
                <c:ptCount val="1"/>
                <c:pt idx="0">
                  <c:v>贷款发放笔数</c:v>
                </c:pt>
              </c:strCache>
            </c:strRef>
          </c:tx>
          <c:spPr>
            <a:ln w="28575" cap="rnd">
              <a:solidFill>
                <a:schemeClr val="accent3"/>
              </a:solidFill>
              <a:round/>
            </a:ln>
            <a:effectLst/>
          </c:spPr>
          <c:marker>
            <c:symbol val="none"/>
          </c:marker>
          <c:dLbls>
            <c:delete val="1"/>
          </c:dLbls>
          <c:cat>
            <c:strRef>
              <c:f>Sheet1!$A$2:$A$10</c:f>
              <c:strCache>
                <c:ptCount val="9"/>
                <c:pt idx="0">
                  <c:v>01月份</c:v>
                </c:pt>
                <c:pt idx="1">
                  <c:v>02月份</c:v>
                </c:pt>
                <c:pt idx="2">
                  <c:v>03月份</c:v>
                </c:pt>
                <c:pt idx="3">
                  <c:v>04月份</c:v>
                </c:pt>
                <c:pt idx="4">
                  <c:v>05月份</c:v>
                </c:pt>
                <c:pt idx="5">
                  <c:v>06月份</c:v>
                </c:pt>
                <c:pt idx="6">
                  <c:v>07月份</c:v>
                </c:pt>
                <c:pt idx="7">
                  <c:v>08月份</c:v>
                </c:pt>
                <c:pt idx="8">
                  <c:v>09月份</c:v>
                </c:pt>
              </c:strCache>
            </c:strRef>
          </c:cat>
          <c:val>
            <c:numRef>
              <c:f>Sheet1!$B$2:$B$10</c:f>
              <c:numCache>
                <c:formatCode>General</c:formatCode>
                <c:ptCount val="9"/>
                <c:pt idx="0">
                  <c:v>233.0</c:v>
                </c:pt>
                <c:pt idx="1">
                  <c:v>229.0</c:v>
                </c:pt>
                <c:pt idx="2">
                  <c:v>285.0</c:v>
                </c:pt>
                <c:pt idx="3">
                  <c:v>408.0</c:v>
                </c:pt>
                <c:pt idx="4">
                  <c:v>329.0</c:v>
                </c:pt>
                <c:pt idx="5">
                  <c:v>525.0</c:v>
                </c:pt>
                <c:pt idx="6">
                  <c:v>148.0</c:v>
                </c:pt>
                <c:pt idx="7">
                  <c:v>362.0</c:v>
                </c:pt>
                <c:pt idx="8">
                  <c:v>383.0</c:v>
                </c:pt>
              </c:numCache>
            </c:numRef>
          </c:val>
          <c:smooth val="0"/>
        </c:ser>
        <c:ser>
          <c:idx val="3"/>
          <c:order val="3"/>
          <c:tx>
            <c:strRef>
              <c:f>Sheet1!$C$1</c:f>
              <c:strCache>
                <c:ptCount val="1"/>
                <c:pt idx="0">
                  <c:v>贷款发放金额</c:v>
                </c:pt>
              </c:strCache>
            </c:strRef>
          </c:tx>
          <c:cat>
            <c:strRef>
              <c:f>Sheet1!$A$2:$A$10</c:f>
              <c:strCache>
                <c:ptCount val="9"/>
                <c:pt idx="0">
                  <c:v>01月份</c:v>
                </c:pt>
                <c:pt idx="1">
                  <c:v>02月份</c:v>
                </c:pt>
                <c:pt idx="2">
                  <c:v>03月份</c:v>
                </c:pt>
                <c:pt idx="3">
                  <c:v>04月份</c:v>
                </c:pt>
                <c:pt idx="4">
                  <c:v>05月份</c:v>
                </c:pt>
                <c:pt idx="5">
                  <c:v>06月份</c:v>
                </c:pt>
                <c:pt idx="6">
                  <c:v>07月份</c:v>
                </c:pt>
                <c:pt idx="7">
                  <c:v>08月份</c:v>
                </c:pt>
                <c:pt idx="8">
                  <c:v>09月份</c:v>
                </c:pt>
              </c:strCache>
            </c:strRef>
          </c:cat>
          <c:val>
            <c:numRef>
              <c:f>Sheet1!$C$2:$C$10</c:f>
              <c:numCache>
                <c:ptCount val="9"/>
                <c:pt idx="0">
                  <c:v>11928.2</c:v>
                </c:pt>
                <c:pt idx="1">
                  <c:v>11305.5</c:v>
                </c:pt>
                <c:pt idx="2">
                  <c:v>14251.6</c:v>
                </c:pt>
                <c:pt idx="3">
                  <c:v>21358.3</c:v>
                </c:pt>
                <c:pt idx="4">
                  <c:v>16069.0</c:v>
                </c:pt>
                <c:pt idx="5">
                  <c:v>26779.7</c:v>
                </c:pt>
                <c:pt idx="6">
                  <c:v>7746.7</c:v>
                </c:pt>
                <c:pt idx="7">
                  <c:v>18675.7</c:v>
                </c:pt>
                <c:pt idx="8">
                  <c:v>20276.8</c:v>
                </c:pt>
              </c:numCache>
            </c:numRef>
          </c:val>
        </c:ser>
        <c:dLbls>
          <c:showLegendKey val="0"/>
          <c:showVal val="0"/>
          <c:showCatName val="0"/>
          <c:showSerName val="0"/>
          <c:showPercent val="0"/>
          <c:showBubbleSize val="0"/>
        </c:dLbls>
        <c:marker val="0"/>
        <c:smooth val="0"/>
        <c:axId val="811118944"/>
        <c:axId val="811013696"/>
      </c:lineChart>
      <c:catAx>
        <c:axId val="811118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13696"/>
        <c:crosses val="autoZero"/>
        <c:auto val="1"/>
        <c:lblAlgn val="ctr"/>
        <c:lblOffset val="100"/>
        <c:noMultiLvlLbl val="0"/>
      </c:catAx>
      <c:valAx>
        <c:axId val="811013696"/>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笔数</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11894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05107a8-1eb5-47ac-b641-e59f04b92b0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贷款回收趋势图（单位：亿元）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2025年</c:v>
                </c:pt>
              </c:strCache>
            </c:strRef>
          </c:tx>
          <c:spPr>
            <a:ln w="28575" cap="rnd">
              <a:solidFill>
                <a:schemeClr val="accent1"/>
              </a:solidFill>
              <a:round/>
            </a:ln>
            <a:effectLst/>
          </c:spPr>
          <c:marker>
            <c:symbol val="none"/>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2.22</c:v>
                </c:pt>
                <c:pt idx="1">
                  <c:v>2.03</c:v>
                </c:pt>
                <c:pt idx="2">
                  <c:v>2.22</c:v>
                </c:pt>
                <c:pt idx="3">
                  <c:v>2.0</c:v>
                </c:pt>
                <c:pt idx="4">
                  <c:v>1.82</c:v>
                </c:pt>
                <c:pt idx="5">
                  <c:v>1.69</c:v>
                </c:pt>
                <c:pt idx="6">
                  <c:v>1.88</c:v>
                </c:pt>
                <c:pt idx="7">
                  <c:v>1.98</c:v>
                </c:pt>
                <c:pt idx="8">
                  <c:v>1.81</c:v>
                </c:pt>
              </c:numCache>
            </c:numRef>
          </c:val>
          <c:smooth val="0"/>
        </c:ser>
        <c:ser>
          <c:idx val="1"/>
          <c:order val="1"/>
          <c:tx>
            <c:strRef>
              <c:f>Sheet1!$C$1</c:f>
              <c:strCache>
                <c:ptCount val="1"/>
                <c:pt idx="0">
                  <c:v>2024年</c:v>
                </c:pt>
              </c:strCache>
            </c:strRef>
          </c:tx>
          <c:spPr>
            <a:ln w="28575" cap="rnd">
              <a:solidFill>
                <a:schemeClr val="accent2"/>
              </a:solidFill>
              <a:round/>
            </a:ln>
            <a:effectLst/>
          </c:spPr>
          <c:marker>
            <c:symbol val="none"/>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1.96</c:v>
                </c:pt>
                <c:pt idx="1">
                  <c:v>2.08</c:v>
                </c:pt>
                <c:pt idx="2">
                  <c:v>2.06</c:v>
                </c:pt>
                <c:pt idx="3">
                  <c:v>2.02</c:v>
                </c:pt>
                <c:pt idx="4">
                  <c:v>1.89</c:v>
                </c:pt>
                <c:pt idx="5">
                  <c:v>1.96</c:v>
                </c:pt>
                <c:pt idx="6">
                  <c:v>2.08</c:v>
                </c:pt>
                <c:pt idx="7">
                  <c:v>2.04</c:v>
                </c:pt>
                <c:pt idx="8">
                  <c:v>1.94</c:v>
                </c:pt>
              </c:numCache>
            </c:numRef>
          </c:val>
          <c:smooth val="0"/>
        </c:ser>
        <c:dLbls>
          <c:showLegendKey val="0"/>
          <c:showVal val="0"/>
          <c:showCatName val="0"/>
          <c:showSerName val="0"/>
          <c:showPercent val="0"/>
          <c:showBubbleSize val="0"/>
        </c:dLbls>
        <c:marker val="0"/>
        <c:smooth val="0"/>
        <c:axId val="811014944"/>
        <c:axId val="811012032"/>
      </c:lineChart>
      <c:catAx>
        <c:axId val="811014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12032"/>
        <c:crosses val="autoZero"/>
        <c:auto val="1"/>
        <c:lblAlgn val="ctr"/>
        <c:lblOffset val="100"/>
        <c:noMultiLvlLbl val="0"/>
      </c:catAx>
      <c:valAx>
        <c:axId val="811012032"/>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1494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ca6d836-a870-48ff-b36f-5a90a06daff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近一年住房公积金贷款还款情况（单位：万元）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percentStacked"/>
        <c:varyColors val="0"/>
        <c:ser>
          <c:idx val="0"/>
          <c:order val="0"/>
          <c:tx>
            <c:strRef>
              <c:f>Sheet1!$B$1</c:f>
              <c:strCache>
                <c:ptCount val="1"/>
                <c:pt idx="0">
                  <c:v>正常还款</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10174.43</c:v>
                </c:pt>
                <c:pt idx="1">
                  <c:v>10097.77</c:v>
                </c:pt>
                <c:pt idx="2">
                  <c:v>10036.19</c:v>
                </c:pt>
                <c:pt idx="3">
                  <c:v>9975.54</c:v>
                </c:pt>
                <c:pt idx="4">
                  <c:v>9954.4</c:v>
                </c:pt>
                <c:pt idx="5">
                  <c:v>9928.27</c:v>
                </c:pt>
                <c:pt idx="6">
                  <c:v>9971.61</c:v>
                </c:pt>
                <c:pt idx="7">
                  <c:v>9877.43</c:v>
                </c:pt>
                <c:pt idx="8">
                  <c:v>9870.14</c:v>
                </c:pt>
              </c:numCache>
            </c:numRef>
          </c:val>
        </c:ser>
        <c:ser>
          <c:idx val="1"/>
          <c:order val="1"/>
          <c:tx>
            <c:strRef>
              <c:f>Sheet1!$C$1</c:f>
              <c:strCache>
                <c:ptCount val="1"/>
                <c:pt idx="0">
                  <c:v>提前还款</c:v>
                </c:pt>
              </c:strCache>
            </c:strRef>
          </c:tx>
          <c:spPr>
            <a:solidFill>
              <a:schemeClr val="accent2"/>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12030.01</c:v>
                </c:pt>
                <c:pt idx="1">
                  <c:v>10211.15</c:v>
                </c:pt>
                <c:pt idx="2">
                  <c:v>12154.26</c:v>
                </c:pt>
                <c:pt idx="3">
                  <c:v>10046.55</c:v>
                </c:pt>
                <c:pt idx="4">
                  <c:v>8271.25</c:v>
                </c:pt>
                <c:pt idx="5">
                  <c:v>6944.7</c:v>
                </c:pt>
                <c:pt idx="6">
                  <c:v>8871.87</c:v>
                </c:pt>
                <c:pt idx="7">
                  <c:v>9883.51</c:v>
                </c:pt>
                <c:pt idx="8">
                  <c:v>8205.68</c:v>
                </c:pt>
              </c:numCache>
            </c:numRef>
          </c:val>
        </c:ser>
        <c:dLbls>
          <c:showLegendKey val="0"/>
          <c:showVal val="0"/>
          <c:showCatName val="0"/>
          <c:showSerName val="0"/>
          <c:showPercent val="0"/>
          <c:showBubbleSize val="0"/>
        </c:dLbls>
        <c:gapWidth val="219"/>
        <c:overlap val="100"/>
        <c:axId val="811030752"/>
        <c:axId val="811044896"/>
      </c:barChart>
      <c:catAx>
        <c:axId val="811030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44896"/>
        <c:crosses val="autoZero"/>
        <c:auto val="1"/>
        <c:lblAlgn val="ctr"/>
        <c:lblOffset val="100"/>
        <c:noMultiLvlLbl val="0"/>
      </c:catAx>
      <c:valAx>
        <c:axId val="811044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占比</a:t>
                </a:r>
                <a:endParaRPr lang="en-US" sz="1100"/>
              </a:p>
            </c:rich>
          </c:tx>
          <c:layout/>
          <c:overlay val="false"/>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3075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9f684a9-1a79-499e-b674-796e5230a93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住房消费趋势图（单位：亿元）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2025年</c:v>
                </c:pt>
              </c:strCache>
            </c:strRef>
          </c:tx>
          <c:spPr>
            <a:ln w="28575" cap="rnd">
              <a:solidFill>
                <a:schemeClr val="accent1"/>
              </a:solidFill>
              <a:round/>
            </a:ln>
            <a:effectLst/>
          </c:spPr>
          <c:marker>
            <c:symbol val="none"/>
          </c:marker>
          <c:dLbls>
            <c:delete val="1"/>
          </c:dLbls>
          <c:cat>
            <c:strRef>
              <c:f>Sheet1!$A$2:$A$13</c:f>
              <c:strCache>
                <c:ptCount val="12"/>
                <c:pt idx="0">
                  <c:v>null</c:v>
                </c:pt>
                <c:pt idx="1">
                  <c:v>null</c:v>
                </c:pt>
                <c:pt idx="2">
                  <c:v>null</c:v>
                </c:pt>
                <c:pt idx="3">
                  <c:v>null</c:v>
                </c:pt>
                <c:pt idx="4">
                  <c:v>null</c:v>
                </c:pt>
                <c:pt idx="5">
                  <c:v>null</c:v>
                </c:pt>
                <c:pt idx="6">
                  <c:v>null</c:v>
                </c:pt>
                <c:pt idx="7">
                  <c:v>null</c:v>
                </c:pt>
                <c:pt idx="8">
                  <c:v>null</c:v>
                </c:pt>
                <c:pt idx="9">
                  <c:v>null</c:v>
                </c:pt>
                <c:pt idx="10">
                  <c:v>null</c:v>
                </c:pt>
                <c:pt idx="11">
                  <c:v>null</c:v>
                </c:pt>
              </c:strCache>
            </c:strRef>
          </c:cat>
          <c:val>
            <c:numRef>
              <c:f>Sheet1!$B$2:$B$13</c:f>
              <c:numCache>
                <c:formatCode>General</c:formatCode>
                <c:ptCount val="12"/>
                <c:pt idx="0">
                  <c:v>2.2708865445E8</c:v>
                </c:pt>
                <c:pt idx="1">
                  <c:v>2.0882433176E8</c:v>
                </c:pt>
                <c:pt idx="2">
                  <c:v>2.4050443425E8</c:v>
                </c:pt>
                <c:pt idx="3">
                  <c:v>2.3506657473E8</c:v>
                </c:pt>
                <c:pt idx="4">
                  <c:v>2.1389974984E8</c:v>
                </c:pt>
                <c:pt idx="5">
                  <c:v>2.0563206701E8</c:v>
                </c:pt>
                <c:pt idx="6">
                  <c:v>2.2519875399E8</c:v>
                </c:pt>
                <c:pt idx="7">
                  <c:v>2.4422220486E8</c:v>
                </c:pt>
                <c:pt idx="8">
                  <c:v>2.2397878574E8</c:v>
                </c:pt>
                <c:pt idx="9">
                  <c:v>0.0</c:v>
                </c:pt>
                <c:pt idx="10">
                  <c:v>0.0</c:v>
                </c:pt>
                <c:pt idx="11">
                  <c:v>0.0</c:v>
                </c:pt>
              </c:numCache>
            </c:numRef>
          </c:val>
          <c:smooth val="0"/>
        </c:ser>
        <c:ser>
          <c:idx val="1"/>
          <c:order val="1"/>
          <c:tx>
            <c:strRef>
              <c:f>Sheet1!$C$1</c:f>
              <c:strCache>
                <c:ptCount val="1"/>
                <c:pt idx="0">
                  <c:v>2024年</c:v>
                </c:pt>
              </c:strCache>
            </c:strRef>
          </c:tx>
          <c:spPr>
            <a:ln w="28575" cap="rnd">
              <a:solidFill>
                <a:schemeClr val="accent2"/>
              </a:solidFill>
              <a:round/>
            </a:ln>
            <a:effectLst/>
          </c:spPr>
          <c:marker>
            <c:symbol val="none"/>
          </c:marker>
          <c:dLbls>
            <c:delete val="1"/>
          </c:dLbls>
          <c:cat>
            <c:strRef>
              <c:f>Sheet1!$A$2:$A$13</c:f>
              <c:strCache>
                <c:ptCount val="12"/>
                <c:pt idx="0">
                  <c:v>null</c:v>
                </c:pt>
                <c:pt idx="1">
                  <c:v>null</c:v>
                </c:pt>
                <c:pt idx="2">
                  <c:v>null</c:v>
                </c:pt>
                <c:pt idx="3">
                  <c:v>null</c:v>
                </c:pt>
                <c:pt idx="4">
                  <c:v>null</c:v>
                </c:pt>
                <c:pt idx="5">
                  <c:v>null</c:v>
                </c:pt>
                <c:pt idx="6">
                  <c:v>null</c:v>
                </c:pt>
                <c:pt idx="7">
                  <c:v>null</c:v>
                </c:pt>
                <c:pt idx="8">
                  <c:v>null</c:v>
                </c:pt>
                <c:pt idx="9">
                  <c:v>null</c:v>
                </c:pt>
                <c:pt idx="10">
                  <c:v>null</c:v>
                </c:pt>
                <c:pt idx="11">
                  <c:v>null</c:v>
                </c:pt>
              </c:strCache>
            </c:strRef>
          </c:cat>
          <c:val>
            <c:numRef>
              <c:f>Sheet1!$C$2:$C$13</c:f>
              <c:numCache>
                <c:formatCode>General</c:formatCode>
                <c:ptCount val="12"/>
                <c:pt idx="0">
                  <c:v>2.0889103158E8</c:v>
                </c:pt>
                <c:pt idx="1">
                  <c:v>1.9811750298E8</c:v>
                </c:pt>
                <c:pt idx="2">
                  <c:v>2.1383931695E8</c:v>
                </c:pt>
                <c:pt idx="3">
                  <c:v>2.3292149923E8</c:v>
                </c:pt>
                <c:pt idx="4">
                  <c:v>2.1554832254E8</c:v>
                </c:pt>
                <c:pt idx="5">
                  <c:v>2.2061617282E8</c:v>
                </c:pt>
                <c:pt idx="6">
                  <c:v>2.6099314978E8</c:v>
                </c:pt>
                <c:pt idx="7">
                  <c:v>2.4315097122E8</c:v>
                </c:pt>
                <c:pt idx="8">
                  <c:v>2.3268964641E8</c:v>
                </c:pt>
                <c:pt idx="9">
                  <c:v>2.01201814E8</c:v>
                </c:pt>
                <c:pt idx="10">
                  <c:v>2.0953139205E8</c:v>
                </c:pt>
                <c:pt idx="11">
                  <c:v>2.2366694043E8</c:v>
                </c:pt>
              </c:numCache>
            </c:numRef>
          </c:val>
          <c:smooth val="0"/>
        </c:ser>
        <c:dLbls>
          <c:showLegendKey val="0"/>
          <c:showVal val="0"/>
          <c:showCatName val="0"/>
          <c:showSerName val="0"/>
          <c:showPercent val="0"/>
          <c:showBubbleSize val="0"/>
        </c:dLbls>
        <c:marker val="0"/>
        <c:smooth val="0"/>
        <c:axId val="811059040"/>
        <c:axId val="811054048"/>
      </c:lineChart>
      <c:catAx>
        <c:axId val="811059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54048"/>
        <c:crosses val="autoZero"/>
        <c:auto val="1"/>
        <c:lblAlgn val="ctr"/>
        <c:lblOffset val="100"/>
        <c:noMultiLvlLbl val="0"/>
      </c:catAx>
      <c:valAx>
        <c:axId val="811054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5904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dd913b7-026d-4257-b166-4f6072afb9f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住房公积金存贷比变动情况</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存贷比</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65.33</c:v>
                </c:pt>
                <c:pt idx="1">
                  <c:v>64.49</c:v>
                </c:pt>
                <c:pt idx="2">
                  <c:v>63.82</c:v>
                </c:pt>
                <c:pt idx="3">
                  <c:v>63.5</c:v>
                </c:pt>
                <c:pt idx="4">
                  <c:v>63.1</c:v>
                </c:pt>
                <c:pt idx="5">
                  <c:v>62.21</c:v>
                </c:pt>
                <c:pt idx="6">
                  <c:v>61.63</c:v>
                </c:pt>
                <c:pt idx="7">
                  <c:v>61.45</c:v>
                </c:pt>
                <c:pt idx="8">
                  <c:v>61.17</c:v>
                </c:pt>
              </c:numCache>
            </c:numRef>
          </c:val>
          <c:smooth val="0"/>
        </c:ser>
        <c:dLbls>
          <c:showLegendKey val="0"/>
          <c:showVal val="0"/>
          <c:showCatName val="0"/>
          <c:showSerName val="0"/>
          <c:showPercent val="0"/>
          <c:showBubbleSize val="0"/>
        </c:dLbls>
        <c:marker val="1"/>
        <c:smooth val="0"/>
        <c:axId val="811061120"/>
        <c:axId val="811069856"/>
      </c:lineChart>
      <c:catAx>
        <c:axId val="811061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69856"/>
        <c:crosses val="autoZero"/>
        <c:auto val="1"/>
        <c:lblAlgn val="ctr"/>
        <c:lblOffset val="100"/>
        <c:noMultiLvlLbl val="0"/>
      </c:catAx>
      <c:valAx>
        <c:axId val="811069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存贷比</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6112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4afba88-80ca-46ed-b4e3-b02a3ca52fb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全市各机构存贷比情况</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存贷比</c:v>
                </c:pt>
              </c:strCache>
            </c:strRef>
          </c:tx>
          <c:spPr>
            <a:solidFill>
              <a:schemeClr val="accent1"/>
            </a:solidFill>
            <a:ln>
              <a:noFill/>
            </a:ln>
            <a:effectLst/>
          </c:spPr>
          <c:invertIfNegative val="0"/>
          <c:dLbls>
            <c:delete val="1"/>
          </c:dLbls>
          <c:cat>
            <c:strRef>
              <c:f>Sheet1!$A$2:$A$11</c:f>
              <c:strCache>
                <c:ptCount val="10"/>
                <c:pt idx="0">
                  <c:v>薛城管理部</c:v>
                </c:pt>
                <c:pt idx="1">
                  <c:v>市直二部</c:v>
                </c:pt>
                <c:pt idx="2">
                  <c:v>高新区管理部</c:v>
                </c:pt>
                <c:pt idx="3">
                  <c:v>滕州分中心</c:v>
                </c:pt>
                <c:pt idx="4">
                  <c:v>市中管理部</c:v>
                </c:pt>
                <c:pt idx="5">
                  <c:v>峄城管理部</c:v>
                </c:pt>
                <c:pt idx="6">
                  <c:v>台儿庄管理部</c:v>
                </c:pt>
                <c:pt idx="7">
                  <c:v>市直一部</c:v>
                </c:pt>
                <c:pt idx="8">
                  <c:v>山亭管理部</c:v>
                </c:pt>
                <c:pt idx="9">
                  <c:v>枣矿分中心</c:v>
                </c:pt>
              </c:strCache>
            </c:strRef>
          </c:cat>
          <c:val>
            <c:numRef>
              <c:f>Sheet1!$B$2:$B$11</c:f>
              <c:numCache>
                <c:formatCode>General</c:formatCode>
                <c:ptCount val="10"/>
                <c:pt idx="0">
                  <c:v>128.52</c:v>
                </c:pt>
                <c:pt idx="1">
                  <c:v>126.92</c:v>
                </c:pt>
                <c:pt idx="2">
                  <c:v>95.42</c:v>
                </c:pt>
                <c:pt idx="3">
                  <c:v>80.85</c:v>
                </c:pt>
                <c:pt idx="4">
                  <c:v>70.08</c:v>
                </c:pt>
                <c:pt idx="5">
                  <c:v>55.45</c:v>
                </c:pt>
                <c:pt idx="6">
                  <c:v>54.43</c:v>
                </c:pt>
                <c:pt idx="7">
                  <c:v>44.19</c:v>
                </c:pt>
                <c:pt idx="8">
                  <c:v>25.25</c:v>
                </c:pt>
                <c:pt idx="9">
                  <c:v>15.72</c:v>
                </c:pt>
              </c:numCache>
            </c:numRef>
          </c:val>
        </c:ser>
        <c:dLbls>
          <c:showLegendKey val="0"/>
          <c:showVal val="0"/>
          <c:showCatName val="0"/>
          <c:showSerName val="0"/>
          <c:showPercent val="0"/>
          <c:showBubbleSize val="0"/>
        </c:dLbls>
        <c:gapWidth val="219"/>
        <c:overlap val="-27"/>
        <c:axId val="811081504"/>
        <c:axId val="811090656"/>
      </c:barChart>
      <c:catAx>
        <c:axId val="811081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90656"/>
        <c:crosses val="autoZero"/>
        <c:auto val="1"/>
        <c:lblAlgn val="ctr"/>
        <c:lblOffset val="100"/>
        <c:noMultiLvlLbl val="0"/>
      </c:catAx>
      <c:valAx>
        <c:axId val="811090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存贷比</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815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ac6cb58-1e30-44e1-9032-497c0f15899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全省各地住房公积金存贷比情况</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存贷比</c:v>
                </c:pt>
              </c:strCache>
            </c:strRef>
          </c:tx>
          <c:spPr>
            <a:solidFill>
              <a:schemeClr val="accent1"/>
            </a:solidFill>
            <a:ln>
              <a:noFill/>
            </a:ln>
            <a:effectLst/>
          </c:spPr>
          <c:invertIfNegative val="0"/>
          <c:dLbls>
            <c:delete val="1"/>
          </c:dLbls>
          <c:cat>
            <c:strRef>
              <c:f>Sheet1!$A$2:$A$17</c:f>
              <c:strCache>
                <c:ptCount val="16"/>
                <c:pt idx="0">
                  <c:v>临沂</c:v>
                </c:pt>
                <c:pt idx="1">
                  <c:v>淄博</c:v>
                </c:pt>
                <c:pt idx="2">
                  <c:v>日照</c:v>
                </c:pt>
                <c:pt idx="3">
                  <c:v>青岛</c:v>
                </c:pt>
                <c:pt idx="4">
                  <c:v>潍坊</c:v>
                </c:pt>
                <c:pt idx="5">
                  <c:v>烟台</c:v>
                </c:pt>
                <c:pt idx="6">
                  <c:v>济南</c:v>
                </c:pt>
                <c:pt idx="7">
                  <c:v>德州</c:v>
                </c:pt>
                <c:pt idx="8">
                  <c:v>泰安</c:v>
                </c:pt>
                <c:pt idx="9">
                  <c:v>滨州</c:v>
                </c:pt>
                <c:pt idx="10">
                  <c:v>枣庄</c:v>
                </c:pt>
                <c:pt idx="11">
                  <c:v>济宁</c:v>
                </c:pt>
                <c:pt idx="12">
                  <c:v>东营</c:v>
                </c:pt>
                <c:pt idx="13">
                  <c:v>菏泽</c:v>
                </c:pt>
                <c:pt idx="14">
                  <c:v>聊城</c:v>
                </c:pt>
                <c:pt idx="15">
                  <c:v>威海</c:v>
                </c:pt>
              </c:strCache>
            </c:strRef>
          </c:cat>
          <c:val>
            <c:numRef>
              <c:f>Sheet1!$B$2:$B$17</c:f>
              <c:numCache>
                <c:formatCode>General</c:formatCode>
                <c:ptCount val="16"/>
                <c:pt idx="0">
                  <c:v>75.77</c:v>
                </c:pt>
                <c:pt idx="1">
                  <c:v>72.43</c:v>
                </c:pt>
                <c:pt idx="2">
                  <c:v>70.46</c:v>
                </c:pt>
                <c:pt idx="3">
                  <c:v>70.16</c:v>
                </c:pt>
                <c:pt idx="4">
                  <c:v>69.76</c:v>
                </c:pt>
                <c:pt idx="5">
                  <c:v>69.36</c:v>
                </c:pt>
                <c:pt idx="6">
                  <c:v>67.44</c:v>
                </c:pt>
                <c:pt idx="7">
                  <c:v>67.24</c:v>
                </c:pt>
                <c:pt idx="8">
                  <c:v>66.51</c:v>
                </c:pt>
                <c:pt idx="9">
                  <c:v>66.43</c:v>
                </c:pt>
                <c:pt idx="10">
                  <c:v>66.15</c:v>
                </c:pt>
                <c:pt idx="11">
                  <c:v>66.11</c:v>
                </c:pt>
                <c:pt idx="12">
                  <c:v>63.56</c:v>
                </c:pt>
                <c:pt idx="13">
                  <c:v>60.53</c:v>
                </c:pt>
                <c:pt idx="14">
                  <c:v>59.24</c:v>
                </c:pt>
                <c:pt idx="15">
                  <c:v>54.15</c:v>
                </c:pt>
              </c:numCache>
            </c:numRef>
          </c:val>
        </c:ser>
        <c:dLbls>
          <c:showLegendKey val="0"/>
          <c:showVal val="0"/>
          <c:showCatName val="0"/>
          <c:showSerName val="0"/>
          <c:showPercent val="0"/>
          <c:showBubbleSize val="0"/>
        </c:dLbls>
        <c:gapWidth val="219"/>
        <c:overlap val="-27"/>
        <c:axId val="811081504"/>
        <c:axId val="811090656"/>
      </c:barChart>
      <c:catAx>
        <c:axId val="811081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90656"/>
        <c:crosses val="autoZero"/>
        <c:auto val="1"/>
        <c:lblAlgn val="ctr"/>
        <c:lblOffset val="100"/>
        <c:noMultiLvlLbl val="0"/>
      </c:catAx>
      <c:valAx>
        <c:axId val="811090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存贷比</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815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019a09e-103c-4952-9cff-04ea6ff2e18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nchor="t" rtlCol="false"/>
          <a:lstStyle/>
          <a:p>
            <a:pPr algn="l">
              <a:defRPr/>
            </a:pPr>
            <a:r>
              <a:rPr lang="en-US"/>
              <a:t>近12个月银行存款余额变动情况（单位：亿元）</a:t>
            </a:r>
            <a:endParaRPr lang="en-US" sz="1100"/>
          </a:p>
        </c:rich>
      </c:tx>
      <c:layout/>
      <c:overlay val="false"/>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Sheet1!$B$1</c:f>
              <c:strCache>
                <c:ptCount val="1"/>
                <c:pt idx="0">
                  <c:v>住房公积金存款余额</c:v>
                </c:pt>
              </c:strCache>
            </c:strRef>
          </c:tx>
          <c:spPr>
            <a:ln w="28575" cap="rnd">
              <a:solidFill>
                <a:schemeClr val="accent1"/>
              </a:solidFill>
              <a:round/>
            </a:ln>
            <a:effectLst/>
          </c:spPr>
          <c:marker>
            <c:symbol val="none"/>
          </c:marker>
          <c:dLbls>
            <c:delete val="1"/>
          </c:dLbls>
          <c:cat>
            <c:strRef>
              <c:f>Sheet1!$A$2:$A$13</c:f>
              <c:strCache>
                <c:ptCount val="12"/>
                <c:pt idx="0">
                  <c:v>2026年01月</c:v>
                </c:pt>
                <c:pt idx="1">
                  <c:v>2026年02月</c:v>
                </c:pt>
                <c:pt idx="2">
                  <c:v>2026年03月</c:v>
                </c:pt>
                <c:pt idx="3">
                  <c:v>2026年04月</c:v>
                </c:pt>
                <c:pt idx="4">
                  <c:v>2026年05月</c:v>
                </c:pt>
                <c:pt idx="5">
                  <c:v>2026年06月</c:v>
                </c:pt>
                <c:pt idx="6">
                  <c:v>2026年07月</c:v>
                </c:pt>
                <c:pt idx="7">
                  <c:v>2026年08月</c:v>
                </c:pt>
                <c:pt idx="8">
                  <c:v>2026年09月</c:v>
                </c:pt>
                <c:pt idx="9">
                  <c:v>2026年10月</c:v>
                </c:pt>
                <c:pt idx="10">
                  <c:v>2026年11月</c:v>
                </c:pt>
                <c:pt idx="11">
                  <c:v>2026年12月</c:v>
                </c:pt>
              </c:strCache>
            </c:strRef>
          </c:cat>
          <c:val>
            <c:numRef>
              <c:f>Sheet1!$B$2:$B$13</c:f>
              <c:numCache>
                <c:formatCode>General</c:formatCode>
                <c:ptCount val="12"/>
                <c:pt idx="0">
                  <c:v>78.03</c:v>
                </c:pt>
                <c:pt idx="1">
                  <c:v>80.46</c:v>
                </c:pt>
                <c:pt idx="2">
                  <c:v>82.79</c:v>
                </c:pt>
                <c:pt idx="3">
                  <c:v>84.31</c:v>
                </c:pt>
                <c:pt idx="4">
                  <c:v>85.92</c:v>
                </c:pt>
                <c:pt idx="5">
                  <c:v>85.76</c:v>
                </c:pt>
                <c:pt idx="6">
                  <c:v>87.61</c:v>
                </c:pt>
                <c:pt idx="7">
                  <c:v>87.59</c:v>
                </c:pt>
                <c:pt idx="8">
                  <c:v>89.07</c:v>
                </c:pt>
                <c:pt idx="9">
                  <c:v>0.0</c:v>
                </c:pt>
                <c:pt idx="10">
                  <c:v>0.0</c:v>
                </c:pt>
                <c:pt idx="11">
                  <c:v>0.0</c:v>
                </c:pt>
              </c:numCache>
            </c:numRef>
          </c:val>
          <c:smooth val="0"/>
        </c:ser>
        <c:ser>
          <c:idx val="1"/>
          <c:order val="1"/>
          <c:tx>
            <c:strRef>
              <c:f>Sheet1!$C$1</c:f>
              <c:strCache>
                <c:ptCount val="1"/>
                <c:pt idx="0">
                  <c:v>增值收益存款余额</c:v>
                </c:pt>
              </c:strCache>
            </c:strRef>
          </c:tx>
          <c:spPr>
            <a:ln w="28575" cap="rnd">
              <a:solidFill>
                <a:schemeClr val="accent2"/>
              </a:solidFill>
              <a:round/>
            </a:ln>
            <a:effectLst/>
          </c:spPr>
          <c:marker>
            <c:symbol val="none"/>
          </c:marker>
          <c:dLbls>
            <c:delete val="1"/>
          </c:dLbls>
          <c:cat>
            <c:strRef>
              <c:f>Sheet1!$A$2:$A$13</c:f>
              <c:strCache>
                <c:ptCount val="12"/>
                <c:pt idx="0">
                  <c:v>2026年01月</c:v>
                </c:pt>
                <c:pt idx="1">
                  <c:v>2026年02月</c:v>
                </c:pt>
                <c:pt idx="2">
                  <c:v>2026年03月</c:v>
                </c:pt>
                <c:pt idx="3">
                  <c:v>2026年04月</c:v>
                </c:pt>
                <c:pt idx="4">
                  <c:v>2026年05月</c:v>
                </c:pt>
                <c:pt idx="5">
                  <c:v>2026年06月</c:v>
                </c:pt>
                <c:pt idx="6">
                  <c:v>2026年07月</c:v>
                </c:pt>
                <c:pt idx="7">
                  <c:v>2026年08月</c:v>
                </c:pt>
                <c:pt idx="8">
                  <c:v>2026年09月</c:v>
                </c:pt>
                <c:pt idx="9">
                  <c:v>2026年10月</c:v>
                </c:pt>
                <c:pt idx="10">
                  <c:v>2026年11月</c:v>
                </c:pt>
                <c:pt idx="11">
                  <c:v>2026年12月</c:v>
                </c:pt>
              </c:strCache>
            </c:strRef>
          </c:cat>
          <c:val>
            <c:numRef>
              <c:f>Sheet1!$C$2:$C$13</c:f>
              <c:numCache>
                <c:formatCode>General</c:formatCode>
                <c:ptCount val="12"/>
                <c:pt idx="0">
                  <c:v>4.38</c:v>
                </c:pt>
                <c:pt idx="1">
                  <c:v>4.58</c:v>
                </c:pt>
                <c:pt idx="2">
                  <c:v>4.36</c:v>
                </c:pt>
                <c:pt idx="3">
                  <c:v>4.36</c:v>
                </c:pt>
                <c:pt idx="4">
                  <c:v>4.21</c:v>
                </c:pt>
                <c:pt idx="5">
                  <c:v>4.77</c:v>
                </c:pt>
                <c:pt idx="6">
                  <c:v>4.67</c:v>
                </c:pt>
                <c:pt idx="7">
                  <c:v>5.52</c:v>
                </c:pt>
                <c:pt idx="8">
                  <c:v>5.43</c:v>
                </c:pt>
                <c:pt idx="9">
                  <c:v>0.0</c:v>
                </c:pt>
                <c:pt idx="10">
                  <c:v>0.0</c:v>
                </c:pt>
                <c:pt idx="11">
                  <c:v>0.0</c:v>
                </c:pt>
              </c:numCache>
            </c:numRef>
          </c:val>
          <c:smooth val="0"/>
        </c:ser>
        <c:ser>
          <c:idx val="2"/>
          <c:order val="2"/>
          <c:tx>
            <c:strRef>
              <c:f>Sheet1!$D$1</c:f>
              <c:strCache>
                <c:ptCount val="1"/>
                <c:pt idx="0">
                  <c:v>存款余额合计</c:v>
                </c:pt>
              </c:strCache>
            </c:strRef>
          </c:tx>
          <c:spPr>
            <a:ln w="28575" cap="rnd">
              <a:solidFill>
                <a:schemeClr val="accent3"/>
              </a:solidFill>
              <a:round/>
            </a:ln>
            <a:effectLst/>
          </c:spPr>
          <c:marker>
            <c:symbol val="none"/>
          </c:marker>
          <c:dLbls>
            <c:delete val="1"/>
          </c:dLbls>
          <c:cat>
            <c:strRef>
              <c:f>Sheet1!$A$2:$A$13</c:f>
              <c:strCache>
                <c:ptCount val="12"/>
                <c:pt idx="0">
                  <c:v>2026年01月</c:v>
                </c:pt>
                <c:pt idx="1">
                  <c:v>2026年02月</c:v>
                </c:pt>
                <c:pt idx="2">
                  <c:v>2026年03月</c:v>
                </c:pt>
                <c:pt idx="3">
                  <c:v>2026年04月</c:v>
                </c:pt>
                <c:pt idx="4">
                  <c:v>2026年05月</c:v>
                </c:pt>
                <c:pt idx="5">
                  <c:v>2026年06月</c:v>
                </c:pt>
                <c:pt idx="6">
                  <c:v>2026年07月</c:v>
                </c:pt>
                <c:pt idx="7">
                  <c:v>2026年08月</c:v>
                </c:pt>
                <c:pt idx="8">
                  <c:v>2026年09月</c:v>
                </c:pt>
                <c:pt idx="9">
                  <c:v>2026年10月</c:v>
                </c:pt>
                <c:pt idx="10">
                  <c:v>2026年11月</c:v>
                </c:pt>
                <c:pt idx="11">
                  <c:v>2026年12月</c:v>
                </c:pt>
              </c:strCache>
            </c:strRef>
          </c:cat>
          <c:val>
            <c:numRef>
              <c:f>Sheet1!$D$2:$D$13</c:f>
              <c:numCache>
                <c:formatCode>General</c:formatCode>
                <c:ptCount val="12"/>
                <c:pt idx="0">
                  <c:v>82.41</c:v>
                </c:pt>
                <c:pt idx="1">
                  <c:v>85.05</c:v>
                </c:pt>
                <c:pt idx="2">
                  <c:v>87.14</c:v>
                </c:pt>
                <c:pt idx="3">
                  <c:v>88.67</c:v>
                </c:pt>
                <c:pt idx="4">
                  <c:v>90.13</c:v>
                </c:pt>
                <c:pt idx="5">
                  <c:v>90.53</c:v>
                </c:pt>
                <c:pt idx="6">
                  <c:v>92.29</c:v>
                </c:pt>
                <c:pt idx="7">
                  <c:v>93.12</c:v>
                </c:pt>
                <c:pt idx="8">
                  <c:v>94.5</c:v>
                </c:pt>
                <c:pt idx="9">
                  <c:v>0.0</c:v>
                </c:pt>
                <c:pt idx="10">
                  <c:v>0.0</c:v>
                </c:pt>
                <c:pt idx="11">
                  <c:v>0.0</c:v>
                </c:pt>
              </c:numCache>
            </c:numRef>
          </c:val>
          <c:smooth val="0"/>
        </c:ser>
        <c:dLbls>
          <c:showLegendKey val="0"/>
          <c:showVal val="0"/>
          <c:showCatName val="0"/>
          <c:showSerName val="0"/>
          <c:showPercent val="0"/>
          <c:showBubbleSize val="0"/>
        </c:dLbls>
        <c:marker val="0"/>
        <c:smooth val="0"/>
        <c:axId val="720367632"/>
        <c:axId val="720368048"/>
      </c:lineChart>
      <c:catAx>
        <c:axId val="720367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0368048"/>
        <c:crosses val="autoZero"/>
        <c:auto val="1"/>
        <c:lblAlgn val="ctr"/>
        <c:lblOffset val="100"/>
        <c:noMultiLvlLbl val="0"/>
      </c:catAx>
      <c:valAx>
        <c:axId val="720368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anchor="t" rtlCol="false"/>
              <a:lstStyle/>
              <a:p>
                <a:pPr algn="l">
                  <a:defRPr/>
                </a:pPr>
                <a:r>
                  <a:rPr lang="en-US"/>
                  <a:t>金额</a:t>
                </a:r>
                <a:endParaRPr lang="en-US" sz="1100"/>
              </a:p>
            </c:rich>
          </c:tx>
          <c:layout/>
          <c:overlay val="false"/>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036763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7934cad-ab22-4db7-aafa-1b98478245c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银行存款余额占比情况</a:t>
            </a:r>
            <a:endParaRPr lang="zh-CN" altLang="en-US"/>
          </a:p>
        </c:rich>
      </c:tx>
      <c:layout/>
      <c:overlay val="0"/>
      <c:spPr>
        <a:noFill/>
        <a:ln>
          <a:noFill/>
        </a:ln>
        <a:effectLst/>
      </c:spPr>
    </c:title>
    <c:autoTitleDeleted val="0"/>
    <c:plotArea>
      <c:layout/>
      <c:pieChart>
        <c:varyColors val="1"/>
        <c:ser>
          <c:idx val="0"/>
          <c:order val="0"/>
          <c:tx>
            <c:strRef>
              <c:f>Sheet1!$B$1</c:f>
              <c:strCache>
                <c:ptCount val="1"/>
                <c:pt idx="0">
                  <c:v>银行存款余额占比情况</c:v>
                </c:pt>
              </c:strCache>
            </c:strRef>
          </c:tx>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中国工商银行</c:v>
                </c:pt>
                <c:pt idx="1">
                  <c:v>日照银行</c:v>
                </c:pt>
                <c:pt idx="2">
                  <c:v>青岛银行</c:v>
                </c:pt>
                <c:pt idx="3">
                  <c:v>枣庄银行</c:v>
                </c:pt>
                <c:pt idx="4">
                  <c:v>滕州农商行</c:v>
                </c:pt>
                <c:pt idx="5">
                  <c:v>山东省农村信用社联合社</c:v>
                </c:pt>
                <c:pt idx="6">
                  <c:v>交通银行</c:v>
                </c:pt>
                <c:pt idx="7">
                  <c:v>中国邮政储蓄银行</c:v>
                </c:pt>
                <c:pt idx="8">
                  <c:v>恒丰银行</c:v>
                </c:pt>
                <c:pt idx="9">
                  <c:v>中国建设银行</c:v>
                </c:pt>
                <c:pt idx="10">
                  <c:v>中国农业银行</c:v>
                </c:pt>
                <c:pt idx="11">
                  <c:v>中国银行</c:v>
                </c:pt>
              </c:strCache>
            </c:strRef>
          </c:cat>
          <c:val>
            <c:numRef>
              <c:f>Sheet1!$B$2:$B$13</c:f>
              <c:numCache>
                <c:ptCount val="12"/>
                <c:pt idx="0">
                  <c:v>13.61</c:v>
                </c:pt>
                <c:pt idx="1">
                  <c:v>0.0</c:v>
                </c:pt>
                <c:pt idx="2">
                  <c:v>0.0</c:v>
                </c:pt>
                <c:pt idx="3">
                  <c:v>0.55</c:v>
                </c:pt>
                <c:pt idx="4">
                  <c:v>0.0</c:v>
                </c:pt>
                <c:pt idx="5">
                  <c:v>0.59</c:v>
                </c:pt>
                <c:pt idx="6">
                  <c:v>1.61</c:v>
                </c:pt>
                <c:pt idx="7">
                  <c:v>11.53</c:v>
                </c:pt>
                <c:pt idx="8">
                  <c:v>2.19</c:v>
                </c:pt>
                <c:pt idx="9">
                  <c:v>52.19</c:v>
                </c:pt>
                <c:pt idx="10">
                  <c:v>14.81</c:v>
                </c:pt>
                <c:pt idx="11">
                  <c:v>2.91</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800f038-cfc2-4372-945d-17e00dcee78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2796</Words>
  <Characters>7049</Characters>
  <Lines>235</Lines>
  <Paragraphs>76</Paragraphs>
  <TotalTime>14</TotalTime>
  <ScaleCrop>false</ScaleCrop>
  <LinksUpToDate>false</LinksUpToDate>
  <CharactersWithSpaces>7354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2025-09-02T06:31:00Z</dcterms:created>
  <dc:creator>LGDay</dc:creator>
  <cp:lastModifiedBy>乔永齐</cp:lastModifiedBy>
  <dcterms:modified xsi:type="dcterms:W3CDTF">2026-10-16T08:56:14Z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EE14A07FDF8A4CD0971ED0A3B1954147_12</vt:lpwstr>
  </property>
  <property fmtid="{D5CDD505-2E9C-101B-9397-08002B2CF9AE}" pid="4" name="KSOTemplateDocerSaveRecord">
    <vt:lpwstr>eyJoZGlkIjoiMWE4MTM4Y2U2ODRhM2RlM2QyZGEyZWQ3NDdhMDU1MjMiLCJ1c2VySWQiOiIxMDc4MzE0NDExIn0=</vt:lpwstr>
  </property>
</Properties>
</file>