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532F1">
      <w:pPr>
        <w:spacing w:line="660" w:lineRule="exact"/>
        <w:jc w:val="center"/>
        <w:rPr>
          <w:rFonts w:ascii="方正小标宋简体" w:eastAsia="方正小标宋简体"/>
          <w:sz w:val="44"/>
          <w:szCs w:val="44"/>
        </w:rPr>
      </w:pPr>
      <w:bookmarkStart w:id="0" w:name="_Hlk131441375"/>
      <w:bookmarkEnd w:id="0"/>
      <w:r>
        <w:rPr>
          <w:rFonts w:hint="eastAsia" w:ascii="方正小标宋简体" w:eastAsia="方正小标宋简体"/>
          <w:sz w:val="44"/>
          <w:szCs w:val="44"/>
          <w:lang w:eastAsia="zh-CN"/>
        </w:rPr>
        <w:t>枣庄</w:t>
      </w:r>
      <w:r>
        <w:rPr>
          <w:rFonts w:hint="eastAsia" w:ascii="方正小标宋简体" w:eastAsia="方正小标宋简体"/>
          <w:sz w:val="44"/>
          <w:szCs w:val="44"/>
        </w:rPr>
        <w:t>市住房公积金管理中心</w:t>
      </w:r>
    </w:p>
    <w:p w14:paraId="6D2025BC">
      <w:pPr>
        <w:spacing w:line="660" w:lineRule="exact"/>
        <w:jc w:val="center"/>
        <w:rPr>
          <w:rFonts w:ascii="方正小标宋简体" w:eastAsia="方正小标宋简体"/>
          <w:sz w:val="44"/>
          <w:szCs w:val="44"/>
        </w:rPr>
      </w:pPr>
      <w:r>
        <w:rPr>
          <w:rFonts w:ascii="方正小标宋简体" w:eastAsia="方正小标宋简体"/>
          <w:sz w:val="44"/>
          <w:szCs w:val="44"/>
        </w:rPr>
        <w:t>2026</w:t>
      </w:r>
      <w:r>
        <w:rPr>
          <w:rFonts w:hint="eastAsia" w:ascii="方正小标宋简体" w:eastAsia="方正小标宋简体"/>
          <w:sz w:val="44"/>
          <w:szCs w:val="44"/>
        </w:rPr>
        <w:t>年度资金运行分析报告</w:t>
      </w:r>
    </w:p>
    <w:p w14:paraId="05548381">
      <w:pPr>
        <w:spacing w:line="660" w:lineRule="exact"/>
        <w:jc w:val="center"/>
        <w:rPr>
          <w:rFonts w:ascii="方正小标宋简体" w:eastAsia="方正小标宋简体"/>
          <w:sz w:val="44"/>
          <w:szCs w:val="44"/>
        </w:rPr>
      </w:pPr>
    </w:p>
    <w:p w14:paraId="1645960D">
      <w:pPr>
        <w:spacing w:line="560" w:lineRule="exact"/>
        <w:ind w:firstLine="640" w:firstLineChars="200"/>
        <w:rPr>
          <w:rFonts w:ascii="仿宋_GB2312" w:eastAsia="仿宋_GB2312"/>
          <w:sz w:val="32"/>
          <w:szCs w:val="32"/>
        </w:rPr>
      </w:pPr>
      <w:r>
        <w:rPr>
          <w:rFonts w:hint="eastAsia" w:ascii="仿宋_GB2312" w:eastAsia="仿宋_GB2312"/>
          <w:sz w:val="32"/>
          <w:szCs w:val="32"/>
        </w:rPr>
        <w:t>今年以来，在市中心党组的正确领导下，全市各分中心、管理部紧紧围绕年初确定的重点项目，有序推进各项计划任务，在支持住房消费、维护建缴对象合法权益、促进房地产市场平稳健康发展方面做出应有的贡献。根据住房城乡建设部住房公积金监管司《关于加强住房公积金统计分析工作的通知》（建金综函〔</w:t>
      </w:r>
      <w:r>
        <w:rPr>
          <w:rFonts w:ascii="仿宋_GB2312" w:eastAsia="仿宋_GB2312"/>
          <w:sz w:val="32"/>
          <w:szCs w:val="32"/>
        </w:rPr>
        <w:t>2018〕186号）文件要求，对</w:t>
      </w:r>
      <w:r>
        <w:rPr>
          <w:rFonts w:ascii="仿宋_GB2312" w:eastAsia="仿宋_GB2312"/>
          <w:sz w:val="32"/>
          <w:u w:color="auto"/>
        </w:rPr>
        <w:t>2026年度资金运行过程中发现的问题及时采取改进措施，加强内部管理，防范资金运行风险。</w:t>
      </w:r>
    </w:p>
    <w:p w14:paraId="069A2E51">
      <w:pPr>
        <w:spacing w:line="560" w:lineRule="exact"/>
        <w:ind w:firstLine="640" w:firstLineChars="200"/>
        <w:rPr>
          <w:rFonts w:ascii="黑体" w:hAnsi="黑体" w:eastAsia="黑体"/>
          <w:sz w:val="32"/>
          <w:szCs w:val="32"/>
        </w:rPr>
      </w:pPr>
      <w:r>
        <w:rPr>
          <w:rFonts w:hint="eastAsia" w:ascii="黑体" w:hAnsi="黑体" w:eastAsia="黑体"/>
          <w:sz w:val="32"/>
          <w:szCs w:val="32"/>
        </w:rPr>
        <w:t>一、资金运行总体情况</w:t>
      </w:r>
    </w:p>
    <w:p w14:paraId="63EF98BD">
      <w:pPr>
        <w:spacing w:line="560" w:lineRule="exact"/>
        <w:ind w:firstLine="640" w:firstLineChars="200"/>
        <w:rPr>
          <w:rFonts w:ascii="仿宋_GB2312" w:eastAsia="仿宋_GB2312"/>
          <w:sz w:val="32"/>
          <w:szCs w:val="32"/>
        </w:rPr>
      </w:pPr>
      <w:r>
        <w:rPr>
          <w:rFonts w:hint="eastAsia" w:ascii="仿宋_GB2312" w:eastAsia="仿宋_GB2312"/>
          <w:sz w:val="32"/>
          <w:szCs w:val="32"/>
        </w:rPr>
        <w:t>1-12月份，全市归集住房公积金</w:t>
      </w:r>
      <w:r>
        <w:rPr>
          <w:rFonts w:ascii="仿宋_GB2312" w:eastAsia="仿宋_GB2312"/>
          <w:sz w:val="32"/>
          <w:u w:color="auto"/>
        </w:rPr>
        <w:t>41.94亿元（含年度结息3.2亿元，剔除结息38.74亿元），提取住房公积金29.02亿元，提取额占归集额74.91%，住房公积金结余9.72亿元，归集余额为0亿元。发放个人住房公积金贷款14.84亿元（其中公转商置换1.69亿元），贷款回收17.65亿元，贷款余额为0亿元，年末存贷比例为0%。全年资金流入56.39亿元（剔除结息），资金流出43.86亿元，资金净流入12.53亿元,年末公转商贴息贷款余额已清零，存贷款规模0亿元。</w:t>
      </w:r>
    </w:p>
    <w:p w14:paraId="79C37727">
      <w:pPr>
        <w:rPr>
          <w:rFonts w:ascii="仿宋_GB2312" w:eastAsia="仿宋_GB2312"/>
          <w:sz w:val="32"/>
          <w:szCs w:val="32"/>
        </w:rPr>
      </w:pPr>
      <w:r>
        <w:rPr>
          <w:rFonts w:hint="eastAsia"/>
        </w:rPr>
        <w:drawing>
          <wp:inline distT="0" distB="0" distL="0" distR="0">
            <wp:extent cx="5274310" cy="3076575"/>
            <wp:effectExtent l="5080" t="4445" r="16510" b="5080"/>
            <wp:docPr id="1" name="图表 1" descr="{{ztqktjzjlltb}}"/>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5ABF13F8">
      <w:pPr>
        <w:spacing w:line="560" w:lineRule="exact"/>
        <w:ind w:firstLine="643" w:firstLineChars="200"/>
        <w:rPr>
          <w:rFonts w:ascii="仿宋_GB2312" w:eastAsia="仿宋_GB2312"/>
          <w:b/>
          <w:sz w:val="32"/>
          <w:szCs w:val="32"/>
        </w:rPr>
      </w:pPr>
      <w:r>
        <w:rPr>
          <w:rFonts w:hint="eastAsia" w:ascii="仿宋_GB2312" w:eastAsia="仿宋_GB2312"/>
          <w:b/>
          <w:sz w:val="32"/>
          <w:szCs w:val="32"/>
        </w:rPr>
        <w:t>资金运行基本特征：</w:t>
      </w:r>
    </w:p>
    <w:p w14:paraId="6F6DF439">
      <w:pPr>
        <w:spacing w:line="560" w:lineRule="exact"/>
        <w:ind w:firstLine="643" w:firstLineChars="200"/>
        <w:rPr>
          <w:rFonts w:ascii="楷体_GB2312" w:eastAsia="楷体_GB2312"/>
          <w:b/>
          <w:sz w:val="32"/>
          <w:szCs w:val="32"/>
        </w:rPr>
      </w:pPr>
      <w:r>
        <w:rPr>
          <w:rFonts w:hint="eastAsia" w:ascii="楷体_GB2312" w:eastAsia="楷体_GB2312"/>
          <w:b/>
          <w:sz w:val="32"/>
          <w:szCs w:val="32"/>
        </w:rPr>
        <w:t>（一）资金流入情况分析。</w:t>
      </w:r>
    </w:p>
    <w:p w14:paraId="683F1475">
      <w:pPr>
        <w:spacing w:line="560" w:lineRule="exact"/>
        <w:ind w:firstLine="640" w:firstLineChars="200"/>
        <w:rPr>
          <w:rFonts w:ascii="仿宋_GB2312" w:eastAsia="仿宋_GB2312"/>
          <w:sz w:val="32"/>
          <w:szCs w:val="32"/>
        </w:rPr>
      </w:pPr>
      <w:r>
        <w:rPr>
          <w:rFonts w:hint="eastAsia" w:ascii="仿宋_GB2312" w:eastAsia="仿宋_GB2312"/>
          <w:sz w:val="32"/>
          <w:szCs w:val="32"/>
        </w:rPr>
        <w:t>全年资金流入合计</w:t>
      </w:r>
      <w:r>
        <w:rPr>
          <w:rFonts w:ascii="仿宋_GB2312" w:eastAsia="仿宋_GB2312"/>
          <w:sz w:val="32"/>
          <w:szCs w:val="32"/>
        </w:rPr>
        <w:t>56.39</w:t>
      </w:r>
      <w:r>
        <w:rPr>
          <w:rFonts w:ascii="仿宋_GB2312" w:eastAsia="仿宋_GB2312"/>
          <w:sz w:val="32"/>
          <w:u w:color="auto"/>
        </w:rPr>
        <w:t>亿元（剔除结息），其中：缴存额38.74亿元，贷款回收17.65亿元，分别占资金流入总量的68.7%和31.3%。</w:t>
      </w:r>
    </w:p>
    <w:p w14:paraId="5700C01E">
      <w:pPr>
        <w:spacing w:line="560" w:lineRule="exact"/>
        <w:ind w:firstLine="640" w:firstLineChars="200"/>
        <w:rPr>
          <w:rFonts w:ascii="仿宋_GB2312" w:eastAsia="仿宋_GB2312"/>
          <w:sz w:val="32"/>
          <w:szCs w:val="32"/>
        </w:rPr>
      </w:pPr>
      <w:r>
        <w:rPr>
          <w:rFonts w:hint="eastAsia" w:ascii="仿宋_GB2312" w:eastAsia="仿宋_GB2312"/>
          <w:sz w:val="32"/>
          <w:szCs w:val="32"/>
        </w:rPr>
        <w:t>从全市资金流量情况图可以看出，</w:t>
      </w:r>
      <w:r>
        <w:rPr>
          <w:rFonts w:ascii="宋体" w:hAnsi="宋体" w:eastAsia="宋体" w:cs="宋体"/>
          <w:b/>
          <w:bCs/>
          <w:i/>
          <w:iCs/>
          <w:sz w:val="28"/>
          <w:szCs w:val="28"/>
        </w:rPr>
        <w:t>上半年资金流入整体规模较高，6 月达到年内流入高峰，下半年月度流入有所回落，10</w:t>
      </w:r>
      <w:r>
        <w:rPr>
          <w:rFonts w:ascii="宋体" w:hAnsi="宋体" w:eastAsia="宋体" w:cs="宋体"/>
          <w:b/>
          <w:bCs/>
          <w:i/>
          <w:iCs/>
          <w:sz w:val="28"/>
          <w:szCs w:val="28"/>
        </w:rPr>
        <w:noBreakHyphen/>
      </w:r>
      <w:r>
        <w:rPr>
          <w:rFonts w:ascii="宋体" w:hAnsi="宋体" w:eastAsia="宋体" w:cs="宋体"/>
          <w:b/>
          <w:bCs/>
          <w:i/>
          <w:iCs/>
          <w:sz w:val="28"/>
          <w:szCs w:val="28"/>
        </w:rPr>
        <w:t>12 月统计口径数值归零，主要为年末账务轧平处理所致</w:t>
      </w:r>
      <w:r>
        <w:rPr>
          <w:rFonts w:hint="eastAsia" w:ascii="仿宋_GB2312" w:eastAsia="仿宋_GB2312"/>
          <w:sz w:val="32"/>
          <w:szCs w:val="32"/>
        </w:rPr>
        <w:t>，月均资金流入</w:t>
      </w:r>
      <w:r>
        <w:rPr>
          <w:rFonts w:ascii="仿宋_GB2312" w:eastAsia="仿宋_GB2312"/>
          <w:sz w:val="32"/>
          <w:szCs w:val="32"/>
        </w:rPr>
        <w:t>4.7</w:t>
      </w:r>
      <w:r>
        <w:rPr>
          <w:rFonts w:ascii="仿宋_GB2312" w:eastAsia="仿宋_GB2312"/>
          <w:sz w:val="32"/>
          <w:u w:color="auto"/>
        </w:rPr>
        <w:t>亿元，影响资金流入的主要原因是</w:t>
      </w:r>
      <w:r>
        <w:rPr>
          <w:rFonts w:ascii="宋体" w:hAnsi="宋体" w:eastAsia="宋体" w:cs="宋体"/>
          <w:b/>
          <w:bCs/>
          <w:i/>
          <w:iCs/>
          <w:sz w:val="28"/>
          <w:szCs w:val="28"/>
        </w:rPr>
        <w:t>受部分企业经营压力影响，单位缴存扩面增量不足，缴存同比出现下滑；同时个人住房贷款提前还款规模走高，带动贷款回收保持较高水平，成为资金流入重要补充来源</w:t>
      </w:r>
      <w:r>
        <w:rPr>
          <w:rFonts w:ascii="仿宋_GB2312" w:eastAsia="仿宋_GB2312"/>
          <w:sz w:val="32"/>
          <w:szCs w:val="32"/>
        </w:rPr>
        <w:t>。</w:t>
      </w:r>
    </w:p>
    <w:p w14:paraId="52D72327">
      <w:pPr>
        <w:spacing w:line="560" w:lineRule="exact"/>
        <w:ind w:firstLine="636" w:firstLineChars="198"/>
        <w:rPr>
          <w:rFonts w:ascii="楷体_GB2312" w:eastAsia="楷体_GB2312"/>
          <w:b/>
          <w:sz w:val="32"/>
          <w:szCs w:val="32"/>
        </w:rPr>
      </w:pPr>
      <w:r>
        <w:rPr>
          <w:rFonts w:hint="eastAsia" w:ascii="楷体_GB2312" w:eastAsia="楷体_GB2312"/>
          <w:b/>
          <w:sz w:val="32"/>
          <w:szCs w:val="32"/>
        </w:rPr>
        <w:t>（二）资金流出情况分析。</w:t>
      </w:r>
      <w:bookmarkStart w:id="1" w:name="_GoBack"/>
      <w:bookmarkEnd w:id="1"/>
    </w:p>
    <w:p w14:paraId="226C6A5C">
      <w:pPr>
        <w:spacing w:line="560" w:lineRule="exact"/>
        <w:ind w:firstLine="420" w:firstLineChars="200"/>
        <w:rPr>
          <w:rFonts w:ascii="仿宋_GB2312" w:eastAsia="仿宋_GB2312"/>
          <w:sz w:val="32"/>
          <w:szCs w:val="32"/>
        </w:rPr>
      </w:pPr>
      <w:r>
        <w:t>全年资金流出合计43.86亿元，其中：提取额29.02亿元、贷款发放额14.84亿元，分别占资金流出总量的66.17%和33.83%。</w:t>
      </w:r>
    </w:p>
    <w:p w14:paraId="34390112">
      <w:pPr>
        <w:spacing w:line="560" w:lineRule="exact"/>
        <w:ind w:firstLine="562" w:firstLineChars="200"/>
        <w:rPr>
          <w:rFonts w:ascii="仿宋_GB2312" w:eastAsia="仿宋_GB2312"/>
          <w:sz w:val="32"/>
          <w:szCs w:val="32"/>
        </w:rPr>
      </w:pPr>
      <w:r>
        <w:rPr>
          <w:rFonts w:ascii="宋体" w:hAnsi="宋体" w:eastAsia="宋体" w:cs="宋体"/>
          <w:b/>
          <w:bCs/>
          <w:i/>
          <w:iCs/>
          <w:sz w:val="28"/>
          <w:szCs w:val="28"/>
        </w:rPr>
        <w:t>提取业务是资金流出的首要因素，占比超六成，还贷、退休类提取是提取业务的主要构成；住房贷款发放为次要流出项，全年完成公转商置换 1.69 亿元，存量公转商贴息贷款全部清零。月度来看，上半年资金流出整体高于下半年，与购房、还贷业务办理节奏相匹配，受房地产市场交易活跃度变化，贷款发放规模同比有所收缩，带动整体资金流出同比下降</w:t>
      </w:r>
      <w:r>
        <w:rPr>
          <w:rFonts w:hint="eastAsia" w:ascii="仿宋_GB2312" w:eastAsia="仿宋_GB2312"/>
          <w:sz w:val="32"/>
          <w:szCs w:val="32"/>
        </w:rPr>
        <w:t>。</w:t>
      </w:r>
    </w:p>
    <w:p w14:paraId="09EAEB7B">
      <w:pPr>
        <w:spacing w:line="560" w:lineRule="exact"/>
        <w:ind w:firstLine="636" w:firstLineChars="198"/>
        <w:rPr>
          <w:rFonts w:ascii="楷体_GB2312" w:eastAsia="楷体_GB2312"/>
          <w:b/>
          <w:sz w:val="32"/>
          <w:szCs w:val="32"/>
        </w:rPr>
      </w:pPr>
      <w:r>
        <w:rPr>
          <w:rFonts w:hint="eastAsia" w:ascii="楷体_GB2312" w:eastAsia="楷体_GB2312"/>
          <w:b/>
          <w:sz w:val="32"/>
          <w:szCs w:val="32"/>
        </w:rPr>
        <w:t>（三）资金净流量情况分析。</w:t>
      </w:r>
    </w:p>
    <w:p w14:paraId="14587C4B">
      <w:pPr>
        <w:spacing w:line="560" w:lineRule="exact"/>
        <w:ind w:firstLine="420" w:firstLineChars="200"/>
        <w:rPr>
          <w:rFonts w:ascii="仿宋_GB2312" w:eastAsia="仿宋_GB2312"/>
          <w:sz w:val="32"/>
          <w:szCs w:val="32"/>
        </w:rPr>
      </w:pPr>
      <w:r>
        <w:t>从资金流出去向看，提取仍是资金流出的主要渠道，说明当前公积金使用场景更多集中在住房消费支取和偿还住房贷款，体现出居民改善居住条件和降低家庭杠杆并行的特点。贷款发放额占比低于提取额，说明枣庄房地产市场仍处于恢复阶段，尤其是非核心片区新增购房需求释放较慢，导致贷款投放对资金流出的拉动弱于历史高点。</w:t>
      </w:r>
    </w:p>
    <w:p w14:paraId="21A4FBFA">
      <w:pPr>
        <w:spacing w:line="560" w:lineRule="exact"/>
        <w:ind w:firstLine="640" w:firstLineChars="200"/>
        <w:rPr>
          <w:rFonts w:ascii="仿宋_GB2312" w:eastAsia="仿宋_GB2312"/>
          <w:sz w:val="32"/>
          <w:szCs w:val="32"/>
        </w:rPr>
      </w:pPr>
      <w:r>
        <w:rPr>
          <w:rFonts w:hint="eastAsia" w:ascii="仿宋_GB2312" w:eastAsia="仿宋_GB2312"/>
          <w:sz w:val="32"/>
          <w:szCs w:val="32"/>
        </w:rPr>
        <w:t>通过分析各机构资金净流入情况表可以看出，</w:t>
      </w:r>
      <w:r>
        <w:rPr>
          <w:rFonts w:hint="eastAsia" w:ascii="仿宋_GB2312" w:eastAsia="仿宋_GB2312"/>
          <w:i/>
          <w:iCs/>
          <w:color w:val="FF0000"/>
          <w:sz w:val="32"/>
          <w:szCs w:val="32"/>
        </w:rPr>
        <w:t>请人工补充分析</w:t>
      </w:r>
      <w:r>
        <w:rPr>
          <w:rFonts w:hint="eastAsia" w:ascii="仿宋_GB2312" w:eastAsia="仿宋_GB2312"/>
          <w:sz w:val="32"/>
          <w:szCs w:val="32"/>
        </w:rPr>
        <w:t>。按净流入金额（剔除公转商置换）由高到低分别是：</w:t>
      </w:r>
      <w:r>
        <w:rPr>
          <w:rFonts w:ascii="仿宋_GB2312" w:eastAsia="仿宋_GB2312"/>
          <w:sz w:val="32"/>
          <w:u w:color="auto"/>
        </w:rPr>
        <w:t>市中管理部11104.76万元、峄城管理部18745.04万元、山亭管理部9456.07万元、台儿庄管理部12234.41万元、薛城管理部6642.5万元、滕州分中心41867.37万元、枣矿分中心20111.66万元、高新区管理部3125.17万元、市直一部53779.42万元、市直二部-3352.36万元。</w:t>
      </w:r>
    </w:p>
    <w:p w14:paraId="5163582C">
      <w:pPr>
        <w:rPr>
          <w:rFonts w:ascii="仿宋_GB2312" w:eastAsia="仿宋_GB2312"/>
          <w:sz w:val="32"/>
          <w:szCs w:val="32"/>
        </w:rPr>
      </w:pPr>
      <w:r>
        <w:rPr>
          <w:rFonts w:hint="eastAsia" w:ascii="黑体" w:hAnsi="黑体" w:eastAsia="黑体" w:cs="黑体"/>
          <w:bCs/>
          <w:sz w:val="32"/>
          <w:szCs w:val="32"/>
        </w:rPr>
        <w:drawing>
          <wp:inline distT="0" distB="0" distL="0" distR="0">
            <wp:extent cx="5274310" cy="3076575"/>
            <wp:effectExtent l="5080" t="4445" r="16510" b="5080"/>
            <wp:docPr id="8" name="图表 8" descr="{{fzjgzjjlrqkb}}"/>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B3A6C38">
      <w:pPr>
        <w:spacing w:line="560" w:lineRule="exact"/>
        <w:ind w:firstLine="420" w:firstLineChars="200"/>
        <w:rPr>
          <w:rFonts w:ascii="黑体" w:hAnsi="黑体" w:eastAsia="黑体" w:cs="黑体"/>
          <w:bCs/>
          <w:sz w:val="32"/>
          <w:szCs w:val="32"/>
        </w:rPr>
      </w:pPr>
      <w:r>
        <w:t>二、各项指标计划执行情况分析</w:t>
      </w:r>
    </w:p>
    <w:p w14:paraId="3B569130">
      <w:pPr>
        <w:spacing w:line="560" w:lineRule="exact"/>
        <w:ind w:firstLine="420" w:firstLineChars="200"/>
        <w:rPr>
          <w:rFonts w:ascii="仿宋_GB2312" w:eastAsia="仿宋_GB2312"/>
          <w:sz w:val="32"/>
          <w:szCs w:val="32"/>
        </w:rPr>
      </w:pPr>
      <w:r>
        <w:t>（一）住房公积金归集。全市归集住房公积金41.94亿元（含结息3.2亿元，剔除结息38.74亿元），同比增长-28.45%，近三年平均增长率4.69%，剔除结息后月均缴存金额3.23亿元，年末缴存余额0亿元。</w:t>
      </w:r>
    </w:p>
    <w:p w14:paraId="030CA732">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9" name="图表 9" descr="{{gjqst}}"/>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76EAF4">
      <w:pPr>
        <w:spacing w:line="57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4820588D">
      <w:pPr>
        <w:spacing w:line="560" w:lineRule="exact"/>
        <w:ind w:firstLine="640" w:firstLineChars="200"/>
        <w:rPr>
          <w:rFonts w:ascii="仿宋_GB2312" w:eastAsia="仿宋_GB2312"/>
          <w:sz w:val="32"/>
          <w:szCs w:val="32"/>
        </w:rPr>
      </w:pPr>
      <w:r>
        <w:rPr>
          <w:rFonts w:ascii="仿宋_GB2312" w:eastAsia="仿宋_GB2312"/>
          <w:sz w:val="32"/>
          <w:szCs w:val="32"/>
        </w:rPr>
        <w:t>1.请人工补充分析。</w:t>
      </w:r>
    </w:p>
    <w:p w14:paraId="1BF1F5C3">
      <w:pPr>
        <w:spacing w:line="560" w:lineRule="exact"/>
        <w:ind w:firstLine="640" w:firstLineChars="200"/>
        <w:rPr>
          <w:rFonts w:ascii="仿宋_GB2312" w:eastAsia="仿宋_GB2312"/>
          <w:sz w:val="32"/>
          <w:szCs w:val="32"/>
        </w:rPr>
      </w:pPr>
      <w:r>
        <w:rPr>
          <w:rFonts w:ascii="仿宋_GB2312" w:eastAsia="仿宋_GB2312"/>
          <w:sz w:val="32"/>
          <w:szCs w:val="32"/>
        </w:rPr>
        <w:t xml:space="preserve">2. </w:t>
      </w:r>
      <w:r>
        <w:rPr>
          <w:rFonts w:ascii="仿宋_GB2312" w:eastAsia="仿宋_GB2312"/>
          <w:sz w:val="32"/>
          <w:u w:color="auto"/>
        </w:rPr>
        <w:t>2026年归集增长率超过4%的分支机构为；归集增长率低于2%的分支机构为市直二部（-58.04%）、薛城管理部（-45.87%）、市直一部（-32.16%）、枣矿分中心（-26.14%）、台儿庄管理部（-21.87%）、市中管理部（-21.27%）、高新区管理部（-20.93%）、山亭管理部（-19.5%）、峄城管理部（-18.11%）、滕州分中心（-17.87%）。</w:t>
      </w:r>
    </w:p>
    <w:p w14:paraId="2C6DF9D5">
      <w:pPr>
        <w:spacing w:line="560" w:lineRule="exact"/>
        <w:ind w:firstLine="562" w:firstLineChars="200"/>
        <w:rPr>
          <w:rFonts w:ascii="宋体" w:hAnsi="宋体" w:eastAsia="宋体"/>
          <w:b/>
          <w:bCs/>
          <w:sz w:val="28"/>
          <w:szCs w:val="28"/>
        </w:rPr>
      </w:pPr>
      <w:r>
        <w:rPr>
          <w:rFonts w:ascii="宋体" w:hAnsi="宋体" w:eastAsia="宋体"/>
          <w:b/>
          <w:bCs/>
          <w:sz w:val="28"/>
          <w:szCs w:val="28"/>
        </w:rPr>
        <w:t>2026</w:t>
      </w:r>
      <w:r>
        <w:rPr>
          <w:rFonts w:ascii="宋体" w:hAnsi="宋体" w:eastAsia="宋体"/>
          <w:b/>
          <w:sz w:val="28"/>
          <w:u w:color="auto"/>
        </w:rPr>
        <w:t>年全市各分支机构归集情况表（单位：万元）</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2130"/>
        <w:gridCol w:w="2130"/>
        <w:gridCol w:w="2130"/>
        <w:gridCol w:w="2130"/>
      </w:tblGrid>
      <w:tr w14:paraId="7F72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0" w:type="pct"/>
          </w:tcPr>
          <w:p w14:paraId="1937E106">
            <w:r>
              <w:rPr>
                <w:rFonts w:ascii="仿宋_GB2312" w:hAnsi="仿宋_GB2312" w:eastAsia="仿宋_GB2312" w:cs="仿宋_GB2312"/>
                <w:sz w:val="32"/>
                <w:u w:color="auto"/>
              </w:rPr>
              <w:t>机构</w:t>
            </w:r>
          </w:p>
        </w:tc>
        <w:tc>
          <w:tcPr>
            <w:tcW w:w="1250" w:type="pct"/>
          </w:tcPr>
          <w:p w14:paraId="6879AEF4">
            <w:r>
              <w:rPr>
                <w:rFonts w:ascii="仿宋_GB2312" w:hAnsi="仿宋_GB2312" w:eastAsia="仿宋_GB2312" w:cs="仿宋_GB2312"/>
                <w:sz w:val="32"/>
                <w:u w:color="auto"/>
              </w:rPr>
              <w:t>归集额</w:t>
            </w:r>
          </w:p>
        </w:tc>
        <w:tc>
          <w:tcPr>
            <w:tcW w:w="1250" w:type="pct"/>
          </w:tcPr>
          <w:p w14:paraId="2B7DA76B">
            <w:r>
              <w:rPr>
                <w:rFonts w:ascii="仿宋_GB2312" w:hAnsi="仿宋_GB2312" w:eastAsia="仿宋_GB2312" w:cs="仿宋_GB2312"/>
                <w:sz w:val="32"/>
                <w:u w:color="auto"/>
              </w:rPr>
              <w:t>同比变动率</w:t>
            </w:r>
          </w:p>
        </w:tc>
        <w:tc>
          <w:tcPr>
            <w:tcW w:w="1250" w:type="pct"/>
          </w:tcPr>
          <w:p w14:paraId="05642D0E">
            <w:r>
              <w:rPr>
                <w:rFonts w:ascii="仿宋_GB2312" w:hAnsi="仿宋_GB2312" w:eastAsia="仿宋_GB2312" w:cs="仿宋_GB2312"/>
                <w:sz w:val="32"/>
                <w:u w:color="auto"/>
              </w:rPr>
              <w:t>同比变动金额</w:t>
            </w:r>
          </w:p>
        </w:tc>
      </w:tr>
      <w:tr w14:paraId="334F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16EC9751">
            <w:r>
              <w:rPr>
                <w:rFonts w:ascii="仿宋_GB2312" w:hAnsi="仿宋_GB2312" w:eastAsia="仿宋_GB2312" w:cs="仿宋_GB2312"/>
                <w:sz w:val="32"/>
                <w:u w:color="auto"/>
              </w:rPr>
              <w:t>市中管理部</w:t>
            </w:r>
          </w:p>
        </w:tc>
        <w:tc>
          <w:tcPr>
            <w:tcW w:w="1250" w:type="pct"/>
          </w:tcPr>
          <w:p w14:paraId="23F67486">
            <w:r>
              <w:rPr>
                <w:rFonts w:ascii="仿宋_GB2312" w:hAnsi="仿宋_GB2312" w:eastAsia="仿宋_GB2312" w:cs="仿宋_GB2312"/>
                <w:sz w:val="32"/>
                <w:u w:color="auto"/>
              </w:rPr>
              <w:t>25517.05</w:t>
            </w:r>
          </w:p>
        </w:tc>
        <w:tc>
          <w:tcPr>
            <w:tcW w:w="1250" w:type="pct"/>
          </w:tcPr>
          <w:p w14:paraId="083F9200">
            <w:r>
              <w:rPr>
                <w:rFonts w:ascii="仿宋_GB2312" w:hAnsi="仿宋_GB2312" w:eastAsia="仿宋_GB2312" w:cs="仿宋_GB2312"/>
                <w:sz w:val="32"/>
                <w:u w:color="auto"/>
              </w:rPr>
              <w:t>-21.27</w:t>
            </w:r>
          </w:p>
        </w:tc>
        <w:tc>
          <w:tcPr>
            <w:tcW w:w="1250" w:type="pct"/>
          </w:tcPr>
          <w:p w14:paraId="0E159B81">
            <w:r>
              <w:rPr>
                <w:rFonts w:ascii="仿宋_GB2312" w:hAnsi="仿宋_GB2312" w:eastAsia="仿宋_GB2312" w:cs="仿宋_GB2312"/>
                <w:sz w:val="32"/>
                <w:u w:color="auto"/>
              </w:rPr>
              <w:t>-6895.49</w:t>
            </w:r>
          </w:p>
        </w:tc>
      </w:tr>
      <w:tr w14:paraId="48CD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1AFCA246">
            <w:r>
              <w:rPr>
                <w:rFonts w:ascii="仿宋_GB2312" w:hAnsi="仿宋_GB2312" w:eastAsia="仿宋_GB2312" w:cs="仿宋_GB2312"/>
                <w:sz w:val="32"/>
                <w:u w:color="auto"/>
              </w:rPr>
              <w:t>峄城管理部</w:t>
            </w:r>
          </w:p>
        </w:tc>
        <w:tc>
          <w:tcPr>
            <w:tcW w:w="1250" w:type="pct"/>
          </w:tcPr>
          <w:p w14:paraId="0DDFDB5A">
            <w:r>
              <w:rPr>
                <w:rFonts w:ascii="仿宋_GB2312" w:hAnsi="仿宋_GB2312" w:eastAsia="仿宋_GB2312" w:cs="仿宋_GB2312"/>
                <w:sz w:val="32"/>
                <w:u w:color="auto"/>
              </w:rPr>
              <w:t>30933.79</w:t>
            </w:r>
          </w:p>
        </w:tc>
        <w:tc>
          <w:tcPr>
            <w:tcW w:w="1250" w:type="pct"/>
          </w:tcPr>
          <w:p w14:paraId="754F1EE2">
            <w:r>
              <w:rPr>
                <w:rFonts w:ascii="仿宋_GB2312" w:hAnsi="仿宋_GB2312" w:eastAsia="仿宋_GB2312" w:cs="仿宋_GB2312"/>
                <w:sz w:val="32"/>
                <w:u w:color="auto"/>
              </w:rPr>
              <w:t>-18.11</w:t>
            </w:r>
          </w:p>
        </w:tc>
        <w:tc>
          <w:tcPr>
            <w:tcW w:w="1250" w:type="pct"/>
          </w:tcPr>
          <w:p w14:paraId="1280E96F">
            <w:r>
              <w:rPr>
                <w:rFonts w:ascii="仿宋_GB2312" w:hAnsi="仿宋_GB2312" w:eastAsia="仿宋_GB2312" w:cs="仿宋_GB2312"/>
                <w:sz w:val="32"/>
                <w:u w:color="auto"/>
              </w:rPr>
              <w:t>-6842.42</w:t>
            </w:r>
          </w:p>
        </w:tc>
      </w:tr>
      <w:tr w14:paraId="6C3F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2A3CBCA1">
            <w:r>
              <w:rPr>
                <w:rFonts w:ascii="仿宋_GB2312" w:hAnsi="仿宋_GB2312" w:eastAsia="仿宋_GB2312" w:cs="仿宋_GB2312"/>
                <w:sz w:val="32"/>
                <w:u w:color="auto"/>
              </w:rPr>
              <w:t>山亭管理部</w:t>
            </w:r>
          </w:p>
        </w:tc>
        <w:tc>
          <w:tcPr>
            <w:tcW w:w="1250" w:type="pct"/>
          </w:tcPr>
          <w:p w14:paraId="036322F9">
            <w:r>
              <w:rPr>
                <w:rFonts w:ascii="仿宋_GB2312" w:hAnsi="仿宋_GB2312" w:eastAsia="仿宋_GB2312" w:cs="仿宋_GB2312"/>
                <w:sz w:val="32"/>
                <w:u w:color="auto"/>
              </w:rPr>
              <w:t>20482.14</w:t>
            </w:r>
          </w:p>
        </w:tc>
        <w:tc>
          <w:tcPr>
            <w:tcW w:w="1250" w:type="pct"/>
          </w:tcPr>
          <w:p w14:paraId="2E02B93F">
            <w:r>
              <w:rPr>
                <w:rFonts w:ascii="仿宋_GB2312" w:hAnsi="仿宋_GB2312" w:eastAsia="仿宋_GB2312" w:cs="仿宋_GB2312"/>
                <w:sz w:val="32"/>
                <w:u w:color="auto"/>
              </w:rPr>
              <w:t>-19.5</w:t>
            </w:r>
          </w:p>
        </w:tc>
        <w:tc>
          <w:tcPr>
            <w:tcW w:w="1250" w:type="pct"/>
          </w:tcPr>
          <w:p w14:paraId="1F03BBBC">
            <w:r>
              <w:rPr>
                <w:rFonts w:ascii="仿宋_GB2312" w:hAnsi="仿宋_GB2312" w:eastAsia="仿宋_GB2312" w:cs="仿宋_GB2312"/>
                <w:sz w:val="32"/>
                <w:u w:color="auto"/>
              </w:rPr>
              <w:t>-4961.05</w:t>
            </w:r>
          </w:p>
        </w:tc>
      </w:tr>
      <w:tr w14:paraId="1510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55AEA89D">
            <w:r>
              <w:rPr>
                <w:rFonts w:ascii="仿宋_GB2312" w:hAnsi="仿宋_GB2312" w:eastAsia="仿宋_GB2312" w:cs="仿宋_GB2312"/>
                <w:sz w:val="32"/>
                <w:u w:color="auto"/>
              </w:rPr>
              <w:t>台儿庄管理部</w:t>
            </w:r>
          </w:p>
        </w:tc>
        <w:tc>
          <w:tcPr>
            <w:tcW w:w="1250" w:type="pct"/>
          </w:tcPr>
          <w:p w14:paraId="22771823">
            <w:r>
              <w:rPr>
                <w:rFonts w:ascii="仿宋_GB2312" w:hAnsi="仿宋_GB2312" w:eastAsia="仿宋_GB2312" w:cs="仿宋_GB2312"/>
                <w:sz w:val="32"/>
                <w:u w:color="auto"/>
              </w:rPr>
              <w:t>24809.72</w:t>
            </w:r>
          </w:p>
        </w:tc>
        <w:tc>
          <w:tcPr>
            <w:tcW w:w="1250" w:type="pct"/>
          </w:tcPr>
          <w:p w14:paraId="3EB2DE8B">
            <w:r>
              <w:rPr>
                <w:rFonts w:ascii="仿宋_GB2312" w:hAnsi="仿宋_GB2312" w:eastAsia="仿宋_GB2312" w:cs="仿宋_GB2312"/>
                <w:sz w:val="32"/>
                <w:u w:color="auto"/>
              </w:rPr>
              <w:t>-21.87</w:t>
            </w:r>
          </w:p>
        </w:tc>
        <w:tc>
          <w:tcPr>
            <w:tcW w:w="1250" w:type="pct"/>
          </w:tcPr>
          <w:p w14:paraId="38ACE78D">
            <w:r>
              <w:rPr>
                <w:rFonts w:ascii="仿宋_GB2312" w:hAnsi="仿宋_GB2312" w:eastAsia="仿宋_GB2312" w:cs="仿宋_GB2312"/>
                <w:sz w:val="32"/>
                <w:u w:color="auto"/>
              </w:rPr>
              <w:t>-6943.21</w:t>
            </w:r>
          </w:p>
        </w:tc>
      </w:tr>
      <w:tr w14:paraId="0115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105A4EBB">
            <w:r>
              <w:rPr>
                <w:rFonts w:ascii="仿宋_GB2312" w:hAnsi="仿宋_GB2312" w:eastAsia="仿宋_GB2312" w:cs="仿宋_GB2312"/>
                <w:sz w:val="32"/>
                <w:u w:color="auto"/>
              </w:rPr>
              <w:t>薛城管理部</w:t>
            </w:r>
          </w:p>
        </w:tc>
        <w:tc>
          <w:tcPr>
            <w:tcW w:w="1250" w:type="pct"/>
          </w:tcPr>
          <w:p w14:paraId="0235E5BA">
            <w:r>
              <w:rPr>
                <w:rFonts w:ascii="仿宋_GB2312" w:hAnsi="仿宋_GB2312" w:eastAsia="仿宋_GB2312" w:cs="仿宋_GB2312"/>
                <w:sz w:val="32"/>
                <w:u w:color="auto"/>
              </w:rPr>
              <w:t>18948.01</w:t>
            </w:r>
          </w:p>
        </w:tc>
        <w:tc>
          <w:tcPr>
            <w:tcW w:w="1250" w:type="pct"/>
          </w:tcPr>
          <w:p w14:paraId="531E4043">
            <w:r>
              <w:rPr>
                <w:rFonts w:ascii="仿宋_GB2312" w:hAnsi="仿宋_GB2312" w:eastAsia="仿宋_GB2312" w:cs="仿宋_GB2312"/>
                <w:sz w:val="32"/>
                <w:u w:color="auto"/>
              </w:rPr>
              <w:t>-45.87</w:t>
            </w:r>
          </w:p>
        </w:tc>
        <w:tc>
          <w:tcPr>
            <w:tcW w:w="1250" w:type="pct"/>
          </w:tcPr>
          <w:p w14:paraId="2C197CD6">
            <w:r>
              <w:rPr>
                <w:rFonts w:ascii="仿宋_GB2312" w:hAnsi="仿宋_GB2312" w:eastAsia="仿宋_GB2312" w:cs="仿宋_GB2312"/>
                <w:sz w:val="32"/>
                <w:u w:color="auto"/>
              </w:rPr>
              <w:t>-16059.09</w:t>
            </w:r>
          </w:p>
        </w:tc>
      </w:tr>
      <w:tr w14:paraId="5A2B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2E81F77A">
            <w:r>
              <w:rPr>
                <w:rFonts w:ascii="仿宋_GB2312" w:hAnsi="仿宋_GB2312" w:eastAsia="仿宋_GB2312" w:cs="仿宋_GB2312"/>
                <w:sz w:val="32"/>
                <w:u w:color="auto"/>
              </w:rPr>
              <w:t>滕州分中心</w:t>
            </w:r>
          </w:p>
        </w:tc>
        <w:tc>
          <w:tcPr>
            <w:tcW w:w="1250" w:type="pct"/>
          </w:tcPr>
          <w:p w14:paraId="4B628AFB">
            <w:r>
              <w:rPr>
                <w:rFonts w:ascii="仿宋_GB2312" w:hAnsi="仿宋_GB2312" w:eastAsia="仿宋_GB2312" w:cs="仿宋_GB2312"/>
                <w:sz w:val="32"/>
                <w:u w:color="auto"/>
              </w:rPr>
              <w:t>97173.08</w:t>
            </w:r>
          </w:p>
        </w:tc>
        <w:tc>
          <w:tcPr>
            <w:tcW w:w="1250" w:type="pct"/>
          </w:tcPr>
          <w:p w14:paraId="3860A477">
            <w:r>
              <w:rPr>
                <w:rFonts w:ascii="仿宋_GB2312" w:hAnsi="仿宋_GB2312" w:eastAsia="仿宋_GB2312" w:cs="仿宋_GB2312"/>
                <w:sz w:val="32"/>
                <w:u w:color="auto"/>
              </w:rPr>
              <w:t>-17.87</w:t>
            </w:r>
          </w:p>
        </w:tc>
        <w:tc>
          <w:tcPr>
            <w:tcW w:w="1250" w:type="pct"/>
          </w:tcPr>
          <w:p w14:paraId="51A58CE7">
            <w:r>
              <w:rPr>
                <w:rFonts w:ascii="仿宋_GB2312" w:hAnsi="仿宋_GB2312" w:eastAsia="仿宋_GB2312" w:cs="仿宋_GB2312"/>
                <w:sz w:val="32"/>
                <w:u w:color="auto"/>
              </w:rPr>
              <w:t>-21138.85</w:t>
            </w:r>
          </w:p>
        </w:tc>
      </w:tr>
      <w:tr w14:paraId="3C5B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7BA3DB5">
            <w:r>
              <w:rPr>
                <w:rFonts w:ascii="仿宋_GB2312" w:hAnsi="仿宋_GB2312" w:eastAsia="仿宋_GB2312" w:cs="仿宋_GB2312"/>
                <w:sz w:val="32"/>
                <w:u w:color="auto"/>
              </w:rPr>
              <w:t>枣矿分中心</w:t>
            </w:r>
          </w:p>
        </w:tc>
        <w:tc>
          <w:tcPr>
            <w:tcW w:w="1250" w:type="pct"/>
          </w:tcPr>
          <w:p w14:paraId="628F4769">
            <w:r>
              <w:rPr>
                <w:rFonts w:ascii="仿宋_GB2312" w:hAnsi="仿宋_GB2312" w:eastAsia="仿宋_GB2312" w:cs="仿宋_GB2312"/>
                <w:sz w:val="32"/>
                <w:u w:color="auto"/>
              </w:rPr>
              <w:t>76984.43</w:t>
            </w:r>
          </w:p>
        </w:tc>
        <w:tc>
          <w:tcPr>
            <w:tcW w:w="1250" w:type="pct"/>
          </w:tcPr>
          <w:p w14:paraId="09FE04B9">
            <w:r>
              <w:rPr>
                <w:rFonts w:ascii="仿宋_GB2312" w:hAnsi="仿宋_GB2312" w:eastAsia="仿宋_GB2312" w:cs="仿宋_GB2312"/>
                <w:sz w:val="32"/>
                <w:u w:color="auto"/>
              </w:rPr>
              <w:t>-26.14</w:t>
            </w:r>
          </w:p>
        </w:tc>
        <w:tc>
          <w:tcPr>
            <w:tcW w:w="1250" w:type="pct"/>
          </w:tcPr>
          <w:p w14:paraId="62DEB696">
            <w:r>
              <w:rPr>
                <w:rFonts w:ascii="仿宋_GB2312" w:hAnsi="仿宋_GB2312" w:eastAsia="仿宋_GB2312" w:cs="仿宋_GB2312"/>
                <w:sz w:val="32"/>
                <w:u w:color="auto"/>
              </w:rPr>
              <w:t>-27246.16</w:t>
            </w:r>
          </w:p>
        </w:tc>
      </w:tr>
      <w:tr w14:paraId="61E1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8E05BF5">
            <w:r>
              <w:rPr>
                <w:rFonts w:ascii="仿宋_GB2312" w:hAnsi="仿宋_GB2312" w:eastAsia="仿宋_GB2312" w:cs="仿宋_GB2312"/>
                <w:sz w:val="32"/>
                <w:u w:color="auto"/>
              </w:rPr>
              <w:t>高新区管理部</w:t>
            </w:r>
          </w:p>
        </w:tc>
        <w:tc>
          <w:tcPr>
            <w:tcW w:w="1250" w:type="pct"/>
          </w:tcPr>
          <w:p w14:paraId="2FB78FA5">
            <w:r>
              <w:rPr>
                <w:rFonts w:ascii="仿宋_GB2312" w:hAnsi="仿宋_GB2312" w:eastAsia="仿宋_GB2312" w:cs="仿宋_GB2312"/>
                <w:sz w:val="32"/>
                <w:u w:color="auto"/>
              </w:rPr>
              <w:t>10213.69</w:t>
            </w:r>
          </w:p>
        </w:tc>
        <w:tc>
          <w:tcPr>
            <w:tcW w:w="1250" w:type="pct"/>
          </w:tcPr>
          <w:p w14:paraId="68EC722D">
            <w:r>
              <w:rPr>
                <w:rFonts w:ascii="仿宋_GB2312" w:hAnsi="仿宋_GB2312" w:eastAsia="仿宋_GB2312" w:cs="仿宋_GB2312"/>
                <w:sz w:val="32"/>
                <w:u w:color="auto"/>
              </w:rPr>
              <w:t>-20.93</w:t>
            </w:r>
          </w:p>
        </w:tc>
        <w:tc>
          <w:tcPr>
            <w:tcW w:w="1250" w:type="pct"/>
          </w:tcPr>
          <w:p w14:paraId="6C5E0E53">
            <w:r>
              <w:rPr>
                <w:rFonts w:ascii="仿宋_GB2312" w:hAnsi="仿宋_GB2312" w:eastAsia="仿宋_GB2312" w:cs="仿宋_GB2312"/>
                <w:sz w:val="32"/>
                <w:u w:color="auto"/>
              </w:rPr>
              <w:t>-2704.17</w:t>
            </w:r>
          </w:p>
        </w:tc>
      </w:tr>
      <w:tr w14:paraId="74D5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3D655E49">
            <w:r>
              <w:rPr>
                <w:rFonts w:ascii="仿宋_GB2312" w:hAnsi="仿宋_GB2312" w:eastAsia="仿宋_GB2312" w:cs="仿宋_GB2312"/>
                <w:sz w:val="32"/>
                <w:u w:color="auto"/>
              </w:rPr>
              <w:t>市直一部</w:t>
            </w:r>
          </w:p>
        </w:tc>
        <w:tc>
          <w:tcPr>
            <w:tcW w:w="1250" w:type="pct"/>
          </w:tcPr>
          <w:p w14:paraId="69993924">
            <w:r>
              <w:rPr>
                <w:rFonts w:ascii="仿宋_GB2312" w:hAnsi="仿宋_GB2312" w:eastAsia="仿宋_GB2312" w:cs="仿宋_GB2312"/>
                <w:sz w:val="32"/>
                <w:u w:color="auto"/>
              </w:rPr>
              <w:t>92516.61</w:t>
            </w:r>
          </w:p>
        </w:tc>
        <w:tc>
          <w:tcPr>
            <w:tcW w:w="1250" w:type="pct"/>
          </w:tcPr>
          <w:p w14:paraId="68A6155B">
            <w:r>
              <w:rPr>
                <w:rFonts w:ascii="仿宋_GB2312" w:hAnsi="仿宋_GB2312" w:eastAsia="仿宋_GB2312" w:cs="仿宋_GB2312"/>
                <w:sz w:val="32"/>
                <w:u w:color="auto"/>
              </w:rPr>
              <w:t>-32.16</w:t>
            </w:r>
          </w:p>
        </w:tc>
        <w:tc>
          <w:tcPr>
            <w:tcW w:w="1250" w:type="pct"/>
          </w:tcPr>
          <w:p w14:paraId="2879B2C5">
            <w:r>
              <w:rPr>
                <w:rFonts w:ascii="仿宋_GB2312" w:hAnsi="仿宋_GB2312" w:eastAsia="仿宋_GB2312" w:cs="仿宋_GB2312"/>
                <w:sz w:val="32"/>
                <w:u w:color="auto"/>
              </w:rPr>
              <w:t>-43851.34</w:t>
            </w:r>
          </w:p>
        </w:tc>
      </w:tr>
      <w:tr w14:paraId="361F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62B33EE">
            <w:r>
              <w:rPr>
                <w:rFonts w:ascii="仿宋_GB2312" w:hAnsi="仿宋_GB2312" w:eastAsia="仿宋_GB2312" w:cs="仿宋_GB2312"/>
                <w:sz w:val="32"/>
                <w:u w:color="auto"/>
              </w:rPr>
              <w:t>市直二部</w:t>
            </w:r>
          </w:p>
        </w:tc>
        <w:tc>
          <w:tcPr>
            <w:tcW w:w="1250" w:type="pct"/>
          </w:tcPr>
          <w:p w14:paraId="2EAF8EE5">
            <w:r>
              <w:rPr>
                <w:rFonts w:ascii="仿宋_GB2312" w:hAnsi="仿宋_GB2312" w:eastAsia="仿宋_GB2312" w:cs="仿宋_GB2312"/>
                <w:sz w:val="32"/>
                <w:u w:color="auto"/>
              </w:rPr>
              <w:t>21791.99</w:t>
            </w:r>
          </w:p>
        </w:tc>
        <w:tc>
          <w:tcPr>
            <w:tcW w:w="1250" w:type="pct"/>
          </w:tcPr>
          <w:p w14:paraId="2DBB5BEC">
            <w:r>
              <w:rPr>
                <w:rFonts w:ascii="仿宋_GB2312" w:hAnsi="仿宋_GB2312" w:eastAsia="仿宋_GB2312" w:cs="仿宋_GB2312"/>
                <w:sz w:val="32"/>
                <w:u w:color="auto"/>
              </w:rPr>
              <w:t>-58.04</w:t>
            </w:r>
          </w:p>
        </w:tc>
        <w:tc>
          <w:tcPr>
            <w:tcW w:w="1250" w:type="pct"/>
          </w:tcPr>
          <w:p w14:paraId="126BEBD8">
            <w:r>
              <w:rPr>
                <w:rFonts w:ascii="仿宋_GB2312" w:hAnsi="仿宋_GB2312" w:eastAsia="仿宋_GB2312" w:cs="仿宋_GB2312"/>
                <w:sz w:val="32"/>
                <w:u w:color="auto"/>
              </w:rPr>
              <w:t>-30146.83</w:t>
            </w:r>
          </w:p>
        </w:tc>
      </w:tr>
      <w:tr w14:paraId="2646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262BC8C8">
            <w:r>
              <w:rPr>
                <w:rFonts w:ascii="仿宋_GB2312" w:hAnsi="仿宋_GB2312" w:eastAsia="仿宋_GB2312" w:cs="仿宋_GB2312"/>
                <w:sz w:val="32"/>
                <w:u w:color="auto"/>
              </w:rPr>
              <w:t>合计</w:t>
            </w:r>
          </w:p>
        </w:tc>
        <w:tc>
          <w:tcPr>
            <w:tcW w:w="1250" w:type="pct"/>
          </w:tcPr>
          <w:p w14:paraId="58C915BD">
            <w:r>
              <w:rPr>
                <w:rFonts w:ascii="仿宋_GB2312" w:hAnsi="仿宋_GB2312" w:eastAsia="仿宋_GB2312" w:cs="仿宋_GB2312"/>
                <w:sz w:val="32"/>
                <w:u w:color="auto"/>
              </w:rPr>
              <w:t>419370.52</w:t>
            </w:r>
          </w:p>
        </w:tc>
        <w:tc>
          <w:tcPr>
            <w:tcW w:w="1250" w:type="pct"/>
          </w:tcPr>
          <w:p w14:paraId="68B84DB8">
            <w:r>
              <w:rPr>
                <w:rFonts w:ascii="仿宋_GB2312" w:hAnsi="仿宋_GB2312" w:eastAsia="仿宋_GB2312" w:cs="仿宋_GB2312"/>
                <w:sz w:val="32"/>
                <w:u w:color="auto"/>
              </w:rPr>
              <w:t>-28.45</w:t>
            </w:r>
          </w:p>
        </w:tc>
        <w:tc>
          <w:tcPr>
            <w:tcW w:w="1250" w:type="pct"/>
          </w:tcPr>
          <w:p w14:paraId="189FED43">
            <w:r>
              <w:rPr>
                <w:rFonts w:ascii="仿宋_GB2312" w:hAnsi="仿宋_GB2312" w:eastAsia="仿宋_GB2312" w:cs="仿宋_GB2312"/>
                <w:sz w:val="32"/>
                <w:u w:color="auto"/>
              </w:rPr>
              <w:t>-166788.61</w:t>
            </w:r>
          </w:p>
        </w:tc>
      </w:tr>
    </w:tbl>
    <w:p w14:paraId="74B6C236">
      <w:pPr>
        <w:spacing w:line="560" w:lineRule="exact"/>
        <w:ind w:firstLine="640" w:firstLineChars="200"/>
        <w:rPr>
          <w:rFonts w:ascii="仿宋_GB2312" w:eastAsia="仿宋_GB2312"/>
          <w:sz w:val="32"/>
          <w:szCs w:val="32"/>
        </w:rPr>
      </w:pPr>
      <w:r>
        <w:rPr>
          <w:rFonts w:ascii="仿宋_GB2312" w:eastAsia="仿宋_GB2312"/>
          <w:sz w:val="32"/>
          <w:szCs w:val="32"/>
        </w:rPr>
        <w:t>3. 开展</w:t>
      </w:r>
      <w:r>
        <w:rPr>
          <w:rFonts w:ascii="仿宋_GB2312" w:eastAsia="仿宋_GB2312"/>
          <w:sz w:val="32"/>
          <w:u w:color="auto"/>
        </w:rPr>
        <w:t>2026年度基数调整后，各分支机构归集增长情况高低不均，多数分支机构基数调整后归集变动不大。环比增长率最高为</w:t>
      </w:r>
      <w:r>
        <w:rPr>
          <w:rFonts w:hint="eastAsia" w:ascii="仿宋_GB2312" w:eastAsia="仿宋_GB2312"/>
          <w:sz w:val="32"/>
          <w:szCs w:val="32"/>
        </w:rPr>
        <w:t>高新区管理部-49.1</w:t>
      </w:r>
      <w:r>
        <w:rPr>
          <w:rFonts w:ascii="仿宋_GB2312" w:eastAsia="仿宋_GB2312"/>
          <w:sz w:val="32"/>
          <w:szCs w:val="32"/>
        </w:rPr>
        <w:t>%，环比增长率最低为</w:t>
      </w:r>
      <w:r>
        <w:rPr>
          <w:rFonts w:ascii="仿宋_GB2312" w:eastAsia="仿宋_GB2312"/>
          <w:sz w:val="32"/>
          <w:u w:color="auto"/>
        </w:rPr>
        <w:t>滕州分中心-62.94%。</w:t>
      </w:r>
    </w:p>
    <w:p w14:paraId="2245780C">
      <w:pPr>
        <w:spacing w:line="560" w:lineRule="exact"/>
        <w:ind w:firstLine="420" w:firstLineChars="200"/>
        <w:rPr>
          <w:rFonts w:ascii="仿宋_GB2312" w:eastAsia="仿宋_GB2312"/>
          <w:sz w:val="32"/>
          <w:szCs w:val="32"/>
        </w:rPr>
      </w:pPr>
      <w:r>
        <w:t>1.归集总量下降与枣庄当前产业结构和就业结构调整密切相关。传统制造、煤化工及上下游企业仍是缴存主体，部分企业经营承压、用工趋于审慎，对新增缴存和缴存基数形成下拉；同时，灵活就业群体扩大、民营小微企业波动较大，也使归集增长缺乏稳定支撑。</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704"/>
        <w:gridCol w:w="1704"/>
        <w:gridCol w:w="1704"/>
        <w:gridCol w:w="1704"/>
        <w:gridCol w:w="1704"/>
      </w:tblGrid>
      <w:tr w14:paraId="6362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7BC2CFF8">
            <w:r>
              <w:rPr>
                <w:rFonts w:ascii="仿宋_GB2312" w:hAnsi="仿宋_GB2312" w:eastAsia="仿宋_GB2312" w:cs="仿宋_GB2312"/>
                <w:sz w:val="32"/>
                <w:u w:color="auto"/>
              </w:rPr>
              <w:t>机构</w:t>
            </w:r>
          </w:p>
        </w:tc>
        <w:tc>
          <w:tcPr>
            <w:tcW w:w="1000" w:type="pct"/>
          </w:tcPr>
          <w:p w14:paraId="150EA16E">
            <w:r>
              <w:rPr>
                <w:rFonts w:ascii="仿宋_GB2312" w:hAnsi="仿宋_GB2312" w:eastAsia="仿宋_GB2312" w:cs="仿宋_GB2312"/>
                <w:sz w:val="32"/>
                <w:u w:color="auto"/>
              </w:rPr>
              <w:t>下半年月均归集</w:t>
            </w:r>
          </w:p>
        </w:tc>
        <w:tc>
          <w:tcPr>
            <w:tcW w:w="1000" w:type="pct"/>
          </w:tcPr>
          <w:p w14:paraId="4BA6F8EA">
            <w:r>
              <w:rPr>
                <w:rFonts w:ascii="仿宋_GB2312" w:hAnsi="仿宋_GB2312" w:eastAsia="仿宋_GB2312" w:cs="仿宋_GB2312"/>
                <w:sz w:val="32"/>
                <w:u w:color="auto"/>
              </w:rPr>
              <w:t>上半年月均归集</w:t>
            </w:r>
          </w:p>
        </w:tc>
        <w:tc>
          <w:tcPr>
            <w:tcW w:w="1000" w:type="pct"/>
          </w:tcPr>
          <w:p w14:paraId="64E8FF63">
            <w:r>
              <w:rPr>
                <w:rFonts w:ascii="仿宋_GB2312" w:hAnsi="仿宋_GB2312" w:eastAsia="仿宋_GB2312" w:cs="仿宋_GB2312"/>
                <w:sz w:val="32"/>
                <w:u w:color="auto"/>
              </w:rPr>
              <w:t>月均归集增长额</w:t>
            </w:r>
          </w:p>
        </w:tc>
        <w:tc>
          <w:tcPr>
            <w:tcW w:w="1000" w:type="pct"/>
          </w:tcPr>
          <w:p w14:paraId="7F922D38">
            <w:r>
              <w:rPr>
                <w:rFonts w:ascii="仿宋_GB2312" w:hAnsi="仿宋_GB2312" w:eastAsia="仿宋_GB2312" w:cs="仿宋_GB2312"/>
                <w:sz w:val="32"/>
                <w:u w:color="auto"/>
              </w:rPr>
              <w:t>环比增长率</w:t>
            </w:r>
          </w:p>
        </w:tc>
      </w:tr>
      <w:tr w14:paraId="7992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33E268F9">
            <w:r>
              <w:rPr>
                <w:rFonts w:ascii="仿宋_GB2312" w:hAnsi="仿宋_GB2312" w:eastAsia="仿宋_GB2312" w:cs="仿宋_GB2312"/>
                <w:sz w:val="32"/>
                <w:u w:color="auto"/>
              </w:rPr>
              <w:t>市中管理部</w:t>
            </w:r>
          </w:p>
        </w:tc>
        <w:tc>
          <w:tcPr>
            <w:tcW w:w="1000" w:type="pct"/>
          </w:tcPr>
          <w:p w14:paraId="623D80EF">
            <w:r>
              <w:rPr>
                <w:rFonts w:ascii="仿宋_GB2312" w:hAnsi="仿宋_GB2312" w:eastAsia="仿宋_GB2312" w:cs="仿宋_GB2312"/>
                <w:sz w:val="32"/>
                <w:u w:color="auto"/>
              </w:rPr>
              <w:t>1327.49</w:t>
            </w:r>
          </w:p>
        </w:tc>
        <w:tc>
          <w:tcPr>
            <w:tcW w:w="1000" w:type="pct"/>
          </w:tcPr>
          <w:p w14:paraId="2CE1A18D">
            <w:r>
              <w:rPr>
                <w:rFonts w:ascii="仿宋_GB2312" w:hAnsi="仿宋_GB2312" w:eastAsia="仿宋_GB2312" w:cs="仿宋_GB2312"/>
                <w:sz w:val="32"/>
                <w:u w:color="auto"/>
              </w:rPr>
              <w:t>2925.36</w:t>
            </w:r>
          </w:p>
        </w:tc>
        <w:tc>
          <w:tcPr>
            <w:tcW w:w="1000" w:type="pct"/>
          </w:tcPr>
          <w:p w14:paraId="1D234261">
            <w:r>
              <w:rPr>
                <w:rFonts w:ascii="仿宋_GB2312" w:hAnsi="仿宋_GB2312" w:eastAsia="仿宋_GB2312" w:cs="仿宋_GB2312"/>
                <w:sz w:val="32"/>
                <w:u w:color="auto"/>
              </w:rPr>
              <w:t>2126.42</w:t>
            </w:r>
          </w:p>
        </w:tc>
        <w:tc>
          <w:tcPr>
            <w:tcW w:w="1000" w:type="pct"/>
          </w:tcPr>
          <w:p w14:paraId="2E78B0DA">
            <w:r>
              <w:rPr>
                <w:rFonts w:ascii="仿宋_GB2312" w:hAnsi="仿宋_GB2312" w:eastAsia="仿宋_GB2312" w:cs="仿宋_GB2312"/>
                <w:sz w:val="32"/>
                <w:u w:color="auto"/>
              </w:rPr>
              <w:t>-21.27</w:t>
            </w:r>
          </w:p>
        </w:tc>
      </w:tr>
      <w:tr w14:paraId="17A3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5CB4EBDD">
            <w:r>
              <w:rPr>
                <w:rFonts w:ascii="仿宋_GB2312" w:hAnsi="仿宋_GB2312" w:eastAsia="仿宋_GB2312" w:cs="仿宋_GB2312"/>
                <w:sz w:val="32"/>
                <w:u w:color="auto"/>
              </w:rPr>
              <w:t>峄城管理部</w:t>
            </w:r>
          </w:p>
        </w:tc>
        <w:tc>
          <w:tcPr>
            <w:tcW w:w="1000" w:type="pct"/>
          </w:tcPr>
          <w:p w14:paraId="4A7CFCEB">
            <w:r>
              <w:rPr>
                <w:rFonts w:ascii="仿宋_GB2312" w:hAnsi="仿宋_GB2312" w:eastAsia="仿宋_GB2312" w:cs="仿宋_GB2312"/>
                <w:sz w:val="32"/>
                <w:u w:color="auto"/>
              </w:rPr>
              <w:t>1617.57</w:t>
            </w:r>
          </w:p>
        </w:tc>
        <w:tc>
          <w:tcPr>
            <w:tcW w:w="1000" w:type="pct"/>
          </w:tcPr>
          <w:p w14:paraId="2A25BB56">
            <w:r>
              <w:rPr>
                <w:rFonts w:ascii="仿宋_GB2312" w:hAnsi="仿宋_GB2312" w:eastAsia="仿宋_GB2312" w:cs="仿宋_GB2312"/>
                <w:sz w:val="32"/>
                <w:u w:color="auto"/>
              </w:rPr>
              <w:t>3538.06</w:t>
            </w:r>
          </w:p>
        </w:tc>
        <w:tc>
          <w:tcPr>
            <w:tcW w:w="1000" w:type="pct"/>
          </w:tcPr>
          <w:p w14:paraId="26727B5A">
            <w:r>
              <w:rPr>
                <w:rFonts w:ascii="仿宋_GB2312" w:hAnsi="仿宋_GB2312" w:eastAsia="仿宋_GB2312" w:cs="仿宋_GB2312"/>
                <w:sz w:val="32"/>
                <w:u w:color="auto"/>
              </w:rPr>
              <w:t>2577.82</w:t>
            </w:r>
          </w:p>
        </w:tc>
        <w:tc>
          <w:tcPr>
            <w:tcW w:w="1000" w:type="pct"/>
          </w:tcPr>
          <w:p w14:paraId="3DE6BBF3">
            <w:r>
              <w:rPr>
                <w:rFonts w:ascii="仿宋_GB2312" w:hAnsi="仿宋_GB2312" w:eastAsia="仿宋_GB2312" w:cs="仿宋_GB2312"/>
                <w:sz w:val="32"/>
                <w:u w:color="auto"/>
              </w:rPr>
              <w:t>-18.11</w:t>
            </w:r>
          </w:p>
        </w:tc>
      </w:tr>
      <w:tr w14:paraId="6803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7501369A">
            <w:r>
              <w:rPr>
                <w:rFonts w:ascii="仿宋_GB2312" w:hAnsi="仿宋_GB2312" w:eastAsia="仿宋_GB2312" w:cs="仿宋_GB2312"/>
                <w:sz w:val="32"/>
                <w:u w:color="auto"/>
              </w:rPr>
              <w:t>山亭管理部</w:t>
            </w:r>
          </w:p>
        </w:tc>
        <w:tc>
          <w:tcPr>
            <w:tcW w:w="1000" w:type="pct"/>
          </w:tcPr>
          <w:p w14:paraId="678CAC94">
            <w:r>
              <w:rPr>
                <w:rFonts w:ascii="仿宋_GB2312" w:hAnsi="仿宋_GB2312" w:eastAsia="仿宋_GB2312" w:cs="仿宋_GB2312"/>
                <w:sz w:val="32"/>
                <w:u w:color="auto"/>
              </w:rPr>
              <w:t>1050.93</w:t>
            </w:r>
          </w:p>
        </w:tc>
        <w:tc>
          <w:tcPr>
            <w:tcW w:w="1000" w:type="pct"/>
          </w:tcPr>
          <w:p w14:paraId="608C1935">
            <w:r>
              <w:rPr>
                <w:rFonts w:ascii="仿宋_GB2312" w:hAnsi="仿宋_GB2312" w:eastAsia="仿宋_GB2312" w:cs="仿宋_GB2312"/>
                <w:sz w:val="32"/>
                <w:u w:color="auto"/>
              </w:rPr>
              <w:t>2362.76</w:t>
            </w:r>
          </w:p>
        </w:tc>
        <w:tc>
          <w:tcPr>
            <w:tcW w:w="1000" w:type="pct"/>
          </w:tcPr>
          <w:p w14:paraId="0353341E">
            <w:r>
              <w:rPr>
                <w:rFonts w:ascii="仿宋_GB2312" w:hAnsi="仿宋_GB2312" w:eastAsia="仿宋_GB2312" w:cs="仿宋_GB2312"/>
                <w:sz w:val="32"/>
                <w:u w:color="auto"/>
              </w:rPr>
              <w:t>1706.85</w:t>
            </w:r>
          </w:p>
        </w:tc>
        <w:tc>
          <w:tcPr>
            <w:tcW w:w="1000" w:type="pct"/>
          </w:tcPr>
          <w:p w14:paraId="1428262B">
            <w:r>
              <w:rPr>
                <w:rFonts w:ascii="仿宋_GB2312" w:hAnsi="仿宋_GB2312" w:eastAsia="仿宋_GB2312" w:cs="仿宋_GB2312"/>
                <w:sz w:val="32"/>
                <w:u w:color="auto"/>
              </w:rPr>
              <w:t>-19.5</w:t>
            </w:r>
          </w:p>
        </w:tc>
      </w:tr>
      <w:tr w14:paraId="5FD9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1F8839DA">
            <w:r>
              <w:rPr>
                <w:rFonts w:ascii="仿宋_GB2312" w:hAnsi="仿宋_GB2312" w:eastAsia="仿宋_GB2312" w:cs="仿宋_GB2312"/>
                <w:sz w:val="32"/>
                <w:u w:color="auto"/>
              </w:rPr>
              <w:t>台儿庄管理部</w:t>
            </w:r>
          </w:p>
        </w:tc>
        <w:tc>
          <w:tcPr>
            <w:tcW w:w="1000" w:type="pct"/>
          </w:tcPr>
          <w:p w14:paraId="4D1F208B">
            <w:r>
              <w:rPr>
                <w:rFonts w:ascii="仿宋_GB2312" w:hAnsi="仿宋_GB2312" w:eastAsia="仿宋_GB2312" w:cs="仿宋_GB2312"/>
                <w:sz w:val="32"/>
                <w:u w:color="auto"/>
              </w:rPr>
              <w:t>1311.8</w:t>
            </w:r>
          </w:p>
        </w:tc>
        <w:tc>
          <w:tcPr>
            <w:tcW w:w="1000" w:type="pct"/>
          </w:tcPr>
          <w:p w14:paraId="53636E32">
            <w:r>
              <w:rPr>
                <w:rFonts w:ascii="仿宋_GB2312" w:hAnsi="仿宋_GB2312" w:eastAsia="仿宋_GB2312" w:cs="仿宋_GB2312"/>
                <w:sz w:val="32"/>
                <w:u w:color="auto"/>
              </w:rPr>
              <w:t>2823.15</w:t>
            </w:r>
          </w:p>
        </w:tc>
        <w:tc>
          <w:tcPr>
            <w:tcW w:w="1000" w:type="pct"/>
          </w:tcPr>
          <w:p w14:paraId="544B8375">
            <w:r>
              <w:rPr>
                <w:rFonts w:ascii="仿宋_GB2312" w:hAnsi="仿宋_GB2312" w:eastAsia="仿宋_GB2312" w:cs="仿宋_GB2312"/>
                <w:sz w:val="32"/>
                <w:u w:color="auto"/>
              </w:rPr>
              <w:t>2067.48</w:t>
            </w:r>
          </w:p>
        </w:tc>
        <w:tc>
          <w:tcPr>
            <w:tcW w:w="1000" w:type="pct"/>
          </w:tcPr>
          <w:p w14:paraId="0D72F605">
            <w:r>
              <w:rPr>
                <w:rFonts w:ascii="仿宋_GB2312" w:hAnsi="仿宋_GB2312" w:eastAsia="仿宋_GB2312" w:cs="仿宋_GB2312"/>
                <w:sz w:val="32"/>
                <w:u w:color="auto"/>
              </w:rPr>
              <w:t>-21.87</w:t>
            </w:r>
          </w:p>
        </w:tc>
      </w:tr>
      <w:tr w14:paraId="5F99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492CD1A5">
            <w:r>
              <w:rPr>
                <w:rFonts w:ascii="仿宋_GB2312" w:hAnsi="仿宋_GB2312" w:eastAsia="仿宋_GB2312" w:cs="仿宋_GB2312"/>
                <w:sz w:val="32"/>
                <w:u w:color="auto"/>
              </w:rPr>
              <w:t>薛城管理部</w:t>
            </w:r>
          </w:p>
        </w:tc>
        <w:tc>
          <w:tcPr>
            <w:tcW w:w="1000" w:type="pct"/>
          </w:tcPr>
          <w:p w14:paraId="1493B324">
            <w:r>
              <w:rPr>
                <w:rFonts w:ascii="仿宋_GB2312" w:hAnsi="仿宋_GB2312" w:eastAsia="仿宋_GB2312" w:cs="仿宋_GB2312"/>
                <w:sz w:val="32"/>
                <w:u w:color="auto"/>
              </w:rPr>
              <w:t>877.29</w:t>
            </w:r>
          </w:p>
        </w:tc>
        <w:tc>
          <w:tcPr>
            <w:tcW w:w="1000" w:type="pct"/>
          </w:tcPr>
          <w:p w14:paraId="4D164388">
            <w:r>
              <w:rPr>
                <w:rFonts w:ascii="仿宋_GB2312" w:hAnsi="仿宋_GB2312" w:eastAsia="仿宋_GB2312" w:cs="仿宋_GB2312"/>
                <w:sz w:val="32"/>
                <w:u w:color="auto"/>
              </w:rPr>
              <w:t>2280.71</w:t>
            </w:r>
          </w:p>
        </w:tc>
        <w:tc>
          <w:tcPr>
            <w:tcW w:w="1000" w:type="pct"/>
          </w:tcPr>
          <w:p w14:paraId="1028465A">
            <w:r>
              <w:rPr>
                <w:rFonts w:ascii="仿宋_GB2312" w:hAnsi="仿宋_GB2312" w:eastAsia="仿宋_GB2312" w:cs="仿宋_GB2312"/>
                <w:sz w:val="32"/>
                <w:u w:color="auto"/>
              </w:rPr>
              <w:t>1579</w:t>
            </w:r>
          </w:p>
        </w:tc>
        <w:tc>
          <w:tcPr>
            <w:tcW w:w="1000" w:type="pct"/>
          </w:tcPr>
          <w:p w14:paraId="08921437">
            <w:r>
              <w:rPr>
                <w:rFonts w:ascii="仿宋_GB2312" w:hAnsi="仿宋_GB2312" w:eastAsia="仿宋_GB2312" w:cs="仿宋_GB2312"/>
                <w:sz w:val="32"/>
                <w:u w:color="auto"/>
              </w:rPr>
              <w:t>-45.87</w:t>
            </w:r>
          </w:p>
        </w:tc>
      </w:tr>
      <w:tr w14:paraId="5754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1173207F">
            <w:r>
              <w:rPr>
                <w:rFonts w:ascii="仿宋_GB2312" w:hAnsi="仿宋_GB2312" w:eastAsia="仿宋_GB2312" w:cs="仿宋_GB2312"/>
                <w:sz w:val="32"/>
                <w:u w:color="auto"/>
              </w:rPr>
              <w:t>滕州分中心</w:t>
            </w:r>
          </w:p>
        </w:tc>
        <w:tc>
          <w:tcPr>
            <w:tcW w:w="1000" w:type="pct"/>
          </w:tcPr>
          <w:p w14:paraId="047DCD83">
            <w:r>
              <w:rPr>
                <w:rFonts w:ascii="仿宋_GB2312" w:hAnsi="仿宋_GB2312" w:eastAsia="仿宋_GB2312" w:cs="仿宋_GB2312"/>
                <w:sz w:val="32"/>
                <w:u w:color="auto"/>
              </w:rPr>
              <w:t>4379.39</w:t>
            </w:r>
          </w:p>
        </w:tc>
        <w:tc>
          <w:tcPr>
            <w:tcW w:w="1000" w:type="pct"/>
          </w:tcPr>
          <w:p w14:paraId="30429903">
            <w:r>
              <w:rPr>
                <w:rFonts w:ascii="仿宋_GB2312" w:hAnsi="仿宋_GB2312" w:eastAsia="仿宋_GB2312" w:cs="仿宋_GB2312"/>
                <w:sz w:val="32"/>
                <w:u w:color="auto"/>
              </w:rPr>
              <w:t>11816.12</w:t>
            </w:r>
          </w:p>
        </w:tc>
        <w:tc>
          <w:tcPr>
            <w:tcW w:w="1000" w:type="pct"/>
          </w:tcPr>
          <w:p w14:paraId="1AA8EBB3">
            <w:r>
              <w:rPr>
                <w:rFonts w:ascii="仿宋_GB2312" w:hAnsi="仿宋_GB2312" w:eastAsia="仿宋_GB2312" w:cs="仿宋_GB2312"/>
                <w:sz w:val="32"/>
                <w:u w:color="auto"/>
              </w:rPr>
              <w:t>8097.76</w:t>
            </w:r>
          </w:p>
        </w:tc>
        <w:tc>
          <w:tcPr>
            <w:tcW w:w="1000" w:type="pct"/>
          </w:tcPr>
          <w:p w14:paraId="7D241615">
            <w:r>
              <w:rPr>
                <w:rFonts w:ascii="仿宋_GB2312" w:hAnsi="仿宋_GB2312" w:eastAsia="仿宋_GB2312" w:cs="仿宋_GB2312"/>
                <w:sz w:val="32"/>
                <w:u w:color="auto"/>
              </w:rPr>
              <w:t>-17.87</w:t>
            </w:r>
          </w:p>
        </w:tc>
      </w:tr>
      <w:tr w14:paraId="270C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26BC5C08">
            <w:r>
              <w:rPr>
                <w:rFonts w:ascii="仿宋_GB2312" w:hAnsi="仿宋_GB2312" w:eastAsia="仿宋_GB2312" w:cs="仿宋_GB2312"/>
                <w:sz w:val="32"/>
                <w:u w:color="auto"/>
              </w:rPr>
              <w:t>枣矿分中心</w:t>
            </w:r>
          </w:p>
        </w:tc>
        <w:tc>
          <w:tcPr>
            <w:tcW w:w="1000" w:type="pct"/>
          </w:tcPr>
          <w:p w14:paraId="3A96F9FE">
            <w:r>
              <w:rPr>
                <w:rFonts w:ascii="仿宋_GB2312" w:hAnsi="仿宋_GB2312" w:eastAsia="仿宋_GB2312" w:cs="仿宋_GB2312"/>
                <w:sz w:val="32"/>
                <w:u w:color="auto"/>
              </w:rPr>
              <w:t>3882.61</w:t>
            </w:r>
          </w:p>
        </w:tc>
        <w:tc>
          <w:tcPr>
            <w:tcW w:w="1000" w:type="pct"/>
          </w:tcPr>
          <w:p w14:paraId="17D5074A">
            <w:r>
              <w:rPr>
                <w:rFonts w:ascii="仿宋_GB2312" w:hAnsi="仿宋_GB2312" w:eastAsia="仿宋_GB2312" w:cs="仿宋_GB2312"/>
                <w:sz w:val="32"/>
                <w:u w:color="auto"/>
              </w:rPr>
              <w:t>8948.12</w:t>
            </w:r>
          </w:p>
        </w:tc>
        <w:tc>
          <w:tcPr>
            <w:tcW w:w="1000" w:type="pct"/>
          </w:tcPr>
          <w:p w14:paraId="7E625579">
            <w:r>
              <w:rPr>
                <w:rFonts w:ascii="仿宋_GB2312" w:hAnsi="仿宋_GB2312" w:eastAsia="仿宋_GB2312" w:cs="仿宋_GB2312"/>
                <w:sz w:val="32"/>
                <w:u w:color="auto"/>
              </w:rPr>
              <w:t>6415.37</w:t>
            </w:r>
          </w:p>
        </w:tc>
        <w:tc>
          <w:tcPr>
            <w:tcW w:w="1000" w:type="pct"/>
          </w:tcPr>
          <w:p w14:paraId="16928D6A">
            <w:r>
              <w:rPr>
                <w:rFonts w:ascii="仿宋_GB2312" w:hAnsi="仿宋_GB2312" w:eastAsia="仿宋_GB2312" w:cs="仿宋_GB2312"/>
                <w:sz w:val="32"/>
                <w:u w:color="auto"/>
              </w:rPr>
              <w:t>-26.14</w:t>
            </w:r>
          </w:p>
        </w:tc>
      </w:tr>
      <w:tr w14:paraId="17BD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3DDAF127">
            <w:r>
              <w:rPr>
                <w:rFonts w:ascii="仿宋_GB2312" w:hAnsi="仿宋_GB2312" w:eastAsia="仿宋_GB2312" w:cs="仿宋_GB2312"/>
                <w:sz w:val="32"/>
                <w:u w:color="auto"/>
              </w:rPr>
              <w:t>高新区管理部</w:t>
            </w:r>
          </w:p>
        </w:tc>
        <w:tc>
          <w:tcPr>
            <w:tcW w:w="1000" w:type="pct"/>
          </w:tcPr>
          <w:p w14:paraId="5E856209">
            <w:r>
              <w:rPr>
                <w:rFonts w:ascii="仿宋_GB2312" w:hAnsi="仿宋_GB2312" w:eastAsia="仿宋_GB2312" w:cs="仿宋_GB2312"/>
                <w:sz w:val="32"/>
                <w:u w:color="auto"/>
              </w:rPr>
              <w:t>574.19</w:t>
            </w:r>
          </w:p>
        </w:tc>
        <w:tc>
          <w:tcPr>
            <w:tcW w:w="1000" w:type="pct"/>
          </w:tcPr>
          <w:p w14:paraId="593C0BB9">
            <w:r>
              <w:rPr>
                <w:rFonts w:ascii="仿宋_GB2312" w:hAnsi="仿宋_GB2312" w:eastAsia="仿宋_GB2312" w:cs="仿宋_GB2312"/>
                <w:sz w:val="32"/>
                <w:u w:color="auto"/>
              </w:rPr>
              <w:t>1128.09</w:t>
            </w:r>
          </w:p>
        </w:tc>
        <w:tc>
          <w:tcPr>
            <w:tcW w:w="1000" w:type="pct"/>
          </w:tcPr>
          <w:p w14:paraId="137A8AA6">
            <w:r>
              <w:rPr>
                <w:rFonts w:ascii="仿宋_GB2312" w:hAnsi="仿宋_GB2312" w:eastAsia="仿宋_GB2312" w:cs="仿宋_GB2312"/>
                <w:sz w:val="32"/>
                <w:u w:color="auto"/>
              </w:rPr>
              <w:t>851.14</w:t>
            </w:r>
          </w:p>
        </w:tc>
        <w:tc>
          <w:tcPr>
            <w:tcW w:w="1000" w:type="pct"/>
          </w:tcPr>
          <w:p w14:paraId="151A21C5">
            <w:r>
              <w:rPr>
                <w:rFonts w:ascii="仿宋_GB2312" w:hAnsi="仿宋_GB2312" w:eastAsia="仿宋_GB2312" w:cs="仿宋_GB2312"/>
                <w:sz w:val="32"/>
                <w:u w:color="auto"/>
              </w:rPr>
              <w:t>-20.93</w:t>
            </w:r>
          </w:p>
        </w:tc>
      </w:tr>
      <w:tr w14:paraId="0147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392D784C">
            <w:r>
              <w:rPr>
                <w:rFonts w:ascii="仿宋_GB2312" w:hAnsi="仿宋_GB2312" w:eastAsia="仿宋_GB2312" w:cs="仿宋_GB2312"/>
                <w:sz w:val="32"/>
                <w:u w:color="auto"/>
              </w:rPr>
              <w:t>市直一部</w:t>
            </w:r>
          </w:p>
        </w:tc>
        <w:tc>
          <w:tcPr>
            <w:tcW w:w="1000" w:type="pct"/>
          </w:tcPr>
          <w:p w14:paraId="2FE3E863">
            <w:r>
              <w:rPr>
                <w:rFonts w:ascii="仿宋_GB2312" w:hAnsi="仿宋_GB2312" w:eastAsia="仿宋_GB2312" w:cs="仿宋_GB2312"/>
                <w:sz w:val="32"/>
                <w:u w:color="auto"/>
              </w:rPr>
              <w:t>4921.54</w:t>
            </w:r>
          </w:p>
        </w:tc>
        <w:tc>
          <w:tcPr>
            <w:tcW w:w="1000" w:type="pct"/>
          </w:tcPr>
          <w:p w14:paraId="04FCEFFA">
            <w:r>
              <w:rPr>
                <w:rFonts w:ascii="仿宋_GB2312" w:hAnsi="仿宋_GB2312" w:eastAsia="仿宋_GB2312" w:cs="仿宋_GB2312"/>
                <w:sz w:val="32"/>
                <w:u w:color="auto"/>
              </w:rPr>
              <w:t>10497.9</w:t>
            </w:r>
          </w:p>
        </w:tc>
        <w:tc>
          <w:tcPr>
            <w:tcW w:w="1000" w:type="pct"/>
          </w:tcPr>
          <w:p w14:paraId="317929A0">
            <w:r>
              <w:rPr>
                <w:rFonts w:ascii="仿宋_GB2312" w:hAnsi="仿宋_GB2312" w:eastAsia="仿宋_GB2312" w:cs="仿宋_GB2312"/>
                <w:sz w:val="32"/>
                <w:u w:color="auto"/>
              </w:rPr>
              <w:t>7709.72</w:t>
            </w:r>
          </w:p>
        </w:tc>
        <w:tc>
          <w:tcPr>
            <w:tcW w:w="1000" w:type="pct"/>
          </w:tcPr>
          <w:p w14:paraId="70B4C48A">
            <w:r>
              <w:rPr>
                <w:rFonts w:ascii="仿宋_GB2312" w:hAnsi="仿宋_GB2312" w:eastAsia="仿宋_GB2312" w:cs="仿宋_GB2312"/>
                <w:sz w:val="32"/>
                <w:u w:color="auto"/>
              </w:rPr>
              <w:t>-32.16</w:t>
            </w:r>
          </w:p>
        </w:tc>
      </w:tr>
      <w:tr w14:paraId="5090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409EE665">
            <w:r>
              <w:rPr>
                <w:rFonts w:ascii="仿宋_GB2312" w:hAnsi="仿宋_GB2312" w:eastAsia="仿宋_GB2312" w:cs="仿宋_GB2312"/>
                <w:sz w:val="32"/>
                <w:u w:color="auto"/>
              </w:rPr>
              <w:t>市直二部</w:t>
            </w:r>
          </w:p>
        </w:tc>
        <w:tc>
          <w:tcPr>
            <w:tcW w:w="1000" w:type="pct"/>
          </w:tcPr>
          <w:p w14:paraId="1CB9588E">
            <w:r>
              <w:rPr>
                <w:rFonts w:ascii="仿宋_GB2312" w:hAnsi="仿宋_GB2312" w:eastAsia="仿宋_GB2312" w:cs="仿宋_GB2312"/>
                <w:sz w:val="32"/>
                <w:u w:color="auto"/>
              </w:rPr>
              <w:t>1124.99</w:t>
            </w:r>
          </w:p>
        </w:tc>
        <w:tc>
          <w:tcPr>
            <w:tcW w:w="1000" w:type="pct"/>
          </w:tcPr>
          <w:p w14:paraId="12E17ED5">
            <w:r>
              <w:rPr>
                <w:rFonts w:ascii="仿宋_GB2312" w:hAnsi="仿宋_GB2312" w:eastAsia="仿宋_GB2312" w:cs="仿宋_GB2312"/>
                <w:sz w:val="32"/>
                <w:u w:color="auto"/>
              </w:rPr>
              <w:t>2507</w:t>
            </w:r>
          </w:p>
        </w:tc>
        <w:tc>
          <w:tcPr>
            <w:tcW w:w="1000" w:type="pct"/>
          </w:tcPr>
          <w:p w14:paraId="25D30855">
            <w:r>
              <w:rPr>
                <w:rFonts w:ascii="仿宋_GB2312" w:hAnsi="仿宋_GB2312" w:eastAsia="仿宋_GB2312" w:cs="仿宋_GB2312"/>
                <w:sz w:val="32"/>
                <w:u w:color="auto"/>
              </w:rPr>
              <w:t>1816</w:t>
            </w:r>
          </w:p>
        </w:tc>
        <w:tc>
          <w:tcPr>
            <w:tcW w:w="1000" w:type="pct"/>
          </w:tcPr>
          <w:p w14:paraId="728AC8B7">
            <w:r>
              <w:rPr>
                <w:rFonts w:ascii="仿宋_GB2312" w:hAnsi="仿宋_GB2312" w:eastAsia="仿宋_GB2312" w:cs="仿宋_GB2312"/>
                <w:sz w:val="32"/>
                <w:u w:color="auto"/>
              </w:rPr>
              <w:t>-58.04</w:t>
            </w:r>
          </w:p>
        </w:tc>
      </w:tr>
    </w:tbl>
    <w:p w14:paraId="522EAA3D">
      <w:pPr>
        <w:spacing w:line="560" w:lineRule="exact"/>
        <w:ind w:firstLine="643" w:firstLineChars="200"/>
        <w:rPr>
          <w:rFonts w:ascii="仿宋_GB2312" w:eastAsia="仿宋_GB2312"/>
          <w:sz w:val="32"/>
          <w:szCs w:val="32"/>
        </w:rPr>
      </w:pPr>
      <w:r>
        <w:rPr>
          <w:rFonts w:hint="eastAsia" w:ascii="楷体_GB2312" w:eastAsia="楷体_GB2312"/>
          <w:b/>
          <w:sz w:val="32"/>
          <w:szCs w:val="32"/>
        </w:rPr>
        <w:t>（二）住房公积金提取。</w:t>
      </w:r>
      <w:r>
        <w:rPr>
          <w:rFonts w:hint="eastAsia" w:ascii="仿宋_GB2312" w:eastAsia="仿宋_GB2312"/>
          <w:sz w:val="32"/>
          <w:szCs w:val="32"/>
        </w:rPr>
        <w:t>全市提取住房公积金</w:t>
      </w:r>
      <w:r>
        <w:rPr>
          <w:rFonts w:ascii="仿宋_GB2312" w:eastAsia="仿宋_GB2312"/>
          <w:sz w:val="32"/>
          <w:szCs w:val="32"/>
        </w:rPr>
        <w:t>29.02</w:t>
      </w:r>
      <w:r>
        <w:rPr>
          <w:rFonts w:ascii="仿宋_GB2312" w:eastAsia="仿宋_GB2312"/>
          <w:sz w:val="32"/>
          <w:u w:color="auto"/>
        </w:rPr>
        <w:t>亿元，同比增长-22.16%，近三年平均增长率3.74%。提取占归集额比例为74.91%，较上一年占比上升8.02%，月均提取金额2.42亿元。</w:t>
      </w:r>
    </w:p>
    <w:p w14:paraId="6345C8D7">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2" name="图表 2" descr="{{tqqst}}"/>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736C26A">
      <w:pPr>
        <w:spacing w:line="560" w:lineRule="exact"/>
        <w:jc w:val="center"/>
        <w:rPr>
          <w:rFonts w:ascii="宋体" w:hAnsi="宋体" w:eastAsia="宋体"/>
          <w:b/>
          <w:bCs/>
          <w:sz w:val="28"/>
          <w:szCs w:val="28"/>
        </w:rPr>
      </w:pPr>
      <w:r>
        <w:rPr>
          <w:rFonts w:ascii="宋体" w:hAnsi="宋体" w:eastAsia="宋体"/>
          <w:b/>
          <w:bCs/>
          <w:sz w:val="28"/>
          <w:szCs w:val="28"/>
        </w:rPr>
        <w:t>2026</w:t>
      </w:r>
      <w:r>
        <w:rPr>
          <w:rFonts w:ascii="宋体" w:hAnsi="宋体" w:eastAsia="宋体"/>
          <w:b/>
          <w:sz w:val="28"/>
          <w:u w:color="auto"/>
        </w:rPr>
        <w:t>年住房公积金提取事项分类表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2130"/>
        <w:gridCol w:w="2130"/>
        <w:gridCol w:w="2130"/>
        <w:gridCol w:w="2130"/>
      </w:tblGrid>
      <w:tr w14:paraId="547C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83649C6">
            <w:r>
              <w:rPr>
                <w:rFonts w:ascii="仿宋_GB2312" w:hAnsi="仿宋_GB2312" w:eastAsia="仿宋_GB2312" w:cs="仿宋_GB2312"/>
                <w:sz w:val="32"/>
                <w:u w:color="auto"/>
              </w:rPr>
              <w:t>提取事项</w:t>
            </w:r>
          </w:p>
        </w:tc>
        <w:tc>
          <w:tcPr>
            <w:tcW w:w="1250" w:type="pct"/>
          </w:tcPr>
          <w:p w14:paraId="7B2C105F">
            <w:r>
              <w:rPr>
                <w:rFonts w:ascii="仿宋_GB2312" w:hAnsi="仿宋_GB2312" w:eastAsia="仿宋_GB2312" w:cs="仿宋_GB2312"/>
                <w:sz w:val="32"/>
                <w:u w:color="auto"/>
              </w:rPr>
              <w:t>金额（万元）</w:t>
            </w:r>
          </w:p>
        </w:tc>
        <w:tc>
          <w:tcPr>
            <w:tcW w:w="1250" w:type="pct"/>
          </w:tcPr>
          <w:p w14:paraId="32ECE855">
            <w:r>
              <w:rPr>
                <w:rFonts w:ascii="仿宋_GB2312" w:hAnsi="仿宋_GB2312" w:eastAsia="仿宋_GB2312" w:cs="仿宋_GB2312"/>
                <w:sz w:val="32"/>
                <w:u w:color="auto"/>
              </w:rPr>
              <w:t>占比</w:t>
            </w:r>
          </w:p>
        </w:tc>
        <w:tc>
          <w:tcPr>
            <w:tcW w:w="1250" w:type="pct"/>
          </w:tcPr>
          <w:p w14:paraId="12DE8E8F">
            <w:r>
              <w:rPr>
                <w:rFonts w:ascii="仿宋_GB2312" w:hAnsi="仿宋_GB2312" w:eastAsia="仿宋_GB2312" w:cs="仿宋_GB2312"/>
                <w:sz w:val="32"/>
                <w:u w:color="auto"/>
              </w:rPr>
              <w:t>同比增长率</w:t>
            </w:r>
          </w:p>
        </w:tc>
      </w:tr>
      <w:tr w14:paraId="6D00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0F36D0CA">
            <w:r>
              <w:rPr>
                <w:rFonts w:ascii="仿宋_GB2312" w:hAnsi="仿宋_GB2312" w:eastAsia="仿宋_GB2312" w:cs="仿宋_GB2312"/>
                <w:sz w:val="32"/>
                <w:u w:color="auto"/>
              </w:rPr>
              <w:t>购建房提取</w:t>
            </w:r>
          </w:p>
        </w:tc>
        <w:tc>
          <w:tcPr>
            <w:tcW w:w="1250" w:type="pct"/>
          </w:tcPr>
          <w:p w14:paraId="6F37AB77">
            <w:r>
              <w:rPr>
                <w:rFonts w:ascii="仿宋_GB2312" w:hAnsi="仿宋_GB2312" w:eastAsia="仿宋_GB2312" w:cs="仿宋_GB2312"/>
                <w:sz w:val="32"/>
                <w:u w:color="auto"/>
              </w:rPr>
              <w:t>54622.53</w:t>
            </w:r>
          </w:p>
        </w:tc>
        <w:tc>
          <w:tcPr>
            <w:tcW w:w="1250" w:type="pct"/>
          </w:tcPr>
          <w:p w14:paraId="12B5AB49">
            <w:r>
              <w:rPr>
                <w:rFonts w:ascii="仿宋_GB2312" w:hAnsi="仿宋_GB2312" w:eastAsia="仿宋_GB2312" w:cs="仿宋_GB2312"/>
                <w:sz w:val="32"/>
                <w:u w:color="auto"/>
              </w:rPr>
              <w:t>18.82</w:t>
            </w:r>
          </w:p>
        </w:tc>
        <w:tc>
          <w:tcPr>
            <w:tcW w:w="1250" w:type="pct"/>
          </w:tcPr>
          <w:p w14:paraId="4C0CF670">
            <w:r>
              <w:rPr>
                <w:rFonts w:ascii="仿宋_GB2312" w:hAnsi="仿宋_GB2312" w:eastAsia="仿宋_GB2312" w:cs="仿宋_GB2312"/>
                <w:sz w:val="32"/>
                <w:u w:color="auto"/>
              </w:rPr>
              <w:t>-11.59%</w:t>
            </w:r>
          </w:p>
        </w:tc>
      </w:tr>
      <w:tr w14:paraId="1352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174A0A4F">
            <w:r>
              <w:rPr>
                <w:rFonts w:ascii="仿宋_GB2312" w:hAnsi="仿宋_GB2312" w:eastAsia="仿宋_GB2312" w:cs="仿宋_GB2312"/>
                <w:sz w:val="32"/>
                <w:u w:color="auto"/>
              </w:rPr>
              <w:t>离休、退休提取</w:t>
            </w:r>
          </w:p>
        </w:tc>
        <w:tc>
          <w:tcPr>
            <w:tcW w:w="1250" w:type="pct"/>
          </w:tcPr>
          <w:p w14:paraId="5BB90EFB">
            <w:r>
              <w:rPr>
                <w:rFonts w:ascii="仿宋_GB2312" w:hAnsi="仿宋_GB2312" w:eastAsia="仿宋_GB2312" w:cs="仿宋_GB2312"/>
                <w:sz w:val="32"/>
                <w:u w:color="auto"/>
              </w:rPr>
              <w:t>72780.39</w:t>
            </w:r>
          </w:p>
        </w:tc>
        <w:tc>
          <w:tcPr>
            <w:tcW w:w="1250" w:type="pct"/>
          </w:tcPr>
          <w:p w14:paraId="5C3A7B25">
            <w:r>
              <w:rPr>
                <w:rFonts w:ascii="仿宋_GB2312" w:hAnsi="仿宋_GB2312" w:eastAsia="仿宋_GB2312" w:cs="仿宋_GB2312"/>
                <w:sz w:val="32"/>
                <w:u w:color="auto"/>
              </w:rPr>
              <w:t>25.08</w:t>
            </w:r>
          </w:p>
        </w:tc>
        <w:tc>
          <w:tcPr>
            <w:tcW w:w="1250" w:type="pct"/>
          </w:tcPr>
          <w:p w14:paraId="668F381B">
            <w:r>
              <w:rPr>
                <w:rFonts w:ascii="仿宋_GB2312" w:hAnsi="仿宋_GB2312" w:eastAsia="仿宋_GB2312" w:cs="仿宋_GB2312"/>
                <w:sz w:val="32"/>
                <w:u w:color="auto"/>
              </w:rPr>
              <w:t>-16.73%</w:t>
            </w:r>
          </w:p>
        </w:tc>
      </w:tr>
      <w:tr w14:paraId="5695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5B70ACA">
            <w:r>
              <w:rPr>
                <w:rFonts w:ascii="仿宋_GB2312" w:hAnsi="仿宋_GB2312" w:eastAsia="仿宋_GB2312" w:cs="仿宋_GB2312"/>
                <w:sz w:val="32"/>
                <w:u w:color="auto"/>
              </w:rPr>
              <w:t>还贷提取</w:t>
            </w:r>
          </w:p>
        </w:tc>
        <w:tc>
          <w:tcPr>
            <w:tcW w:w="1250" w:type="pct"/>
          </w:tcPr>
          <w:p w14:paraId="2EFAF98B">
            <w:r>
              <w:rPr>
                <w:rFonts w:ascii="仿宋_GB2312" w:hAnsi="仿宋_GB2312" w:eastAsia="仿宋_GB2312" w:cs="仿宋_GB2312"/>
                <w:sz w:val="32"/>
                <w:u w:color="auto"/>
              </w:rPr>
              <w:t>138403.45</w:t>
            </w:r>
          </w:p>
        </w:tc>
        <w:tc>
          <w:tcPr>
            <w:tcW w:w="1250" w:type="pct"/>
          </w:tcPr>
          <w:p w14:paraId="4BD42808">
            <w:r>
              <w:rPr>
                <w:rFonts w:ascii="仿宋_GB2312" w:hAnsi="仿宋_GB2312" w:eastAsia="仿宋_GB2312" w:cs="仿宋_GB2312"/>
                <w:sz w:val="32"/>
                <w:u w:color="auto"/>
              </w:rPr>
              <w:t>47.69</w:t>
            </w:r>
          </w:p>
        </w:tc>
        <w:tc>
          <w:tcPr>
            <w:tcW w:w="1250" w:type="pct"/>
          </w:tcPr>
          <w:p w14:paraId="3ACB0B3E">
            <w:r>
              <w:rPr>
                <w:rFonts w:ascii="仿宋_GB2312" w:hAnsi="仿宋_GB2312" w:eastAsia="仿宋_GB2312" w:cs="仿宋_GB2312"/>
                <w:sz w:val="32"/>
                <w:u w:color="auto"/>
              </w:rPr>
              <w:t>-29.51%</w:t>
            </w:r>
          </w:p>
        </w:tc>
      </w:tr>
      <w:tr w14:paraId="663D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3BEEAC93">
            <w:r>
              <w:rPr>
                <w:rFonts w:ascii="仿宋_GB2312" w:hAnsi="仿宋_GB2312" w:eastAsia="仿宋_GB2312" w:cs="仿宋_GB2312"/>
                <w:sz w:val="32"/>
                <w:u w:color="auto"/>
              </w:rPr>
              <w:t>无房租赁提取</w:t>
            </w:r>
          </w:p>
        </w:tc>
        <w:tc>
          <w:tcPr>
            <w:tcW w:w="1250" w:type="pct"/>
          </w:tcPr>
          <w:p w14:paraId="483C6501">
            <w:r>
              <w:rPr>
                <w:rFonts w:ascii="仿宋_GB2312" w:hAnsi="仿宋_GB2312" w:eastAsia="仿宋_GB2312" w:cs="仿宋_GB2312"/>
                <w:sz w:val="32"/>
                <w:u w:color="auto"/>
              </w:rPr>
              <w:t>9346.18</w:t>
            </w:r>
          </w:p>
        </w:tc>
        <w:tc>
          <w:tcPr>
            <w:tcW w:w="1250" w:type="pct"/>
          </w:tcPr>
          <w:p w14:paraId="1F91E311">
            <w:r>
              <w:rPr>
                <w:rFonts w:ascii="仿宋_GB2312" w:hAnsi="仿宋_GB2312" w:eastAsia="仿宋_GB2312" w:cs="仿宋_GB2312"/>
                <w:sz w:val="32"/>
                <w:u w:color="auto"/>
              </w:rPr>
              <w:t>3.22</w:t>
            </w:r>
          </w:p>
        </w:tc>
        <w:tc>
          <w:tcPr>
            <w:tcW w:w="1250" w:type="pct"/>
          </w:tcPr>
          <w:p w14:paraId="5BB8AB3D">
            <w:r>
              <w:rPr>
                <w:rFonts w:ascii="仿宋_GB2312" w:hAnsi="仿宋_GB2312" w:eastAsia="仿宋_GB2312" w:cs="仿宋_GB2312"/>
                <w:sz w:val="32"/>
                <w:u w:color="auto"/>
              </w:rPr>
              <w:t>17.06%</w:t>
            </w:r>
          </w:p>
        </w:tc>
      </w:tr>
      <w:tr w14:paraId="0C72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59EB396D">
            <w:r>
              <w:rPr>
                <w:rFonts w:ascii="仿宋_GB2312" w:hAnsi="仿宋_GB2312" w:eastAsia="仿宋_GB2312" w:cs="仿宋_GB2312"/>
                <w:sz w:val="32"/>
                <w:u w:color="auto"/>
              </w:rPr>
              <w:t>其他</w:t>
            </w:r>
          </w:p>
        </w:tc>
        <w:tc>
          <w:tcPr>
            <w:tcW w:w="1250" w:type="pct"/>
          </w:tcPr>
          <w:p w14:paraId="3AB5F705">
            <w:r>
              <w:rPr>
                <w:rFonts w:ascii="仿宋_GB2312" w:hAnsi="仿宋_GB2312" w:eastAsia="仿宋_GB2312" w:cs="仿宋_GB2312"/>
                <w:sz w:val="32"/>
                <w:u w:color="auto"/>
              </w:rPr>
              <w:t>15057.37</w:t>
            </w:r>
          </w:p>
        </w:tc>
        <w:tc>
          <w:tcPr>
            <w:tcW w:w="1250" w:type="pct"/>
          </w:tcPr>
          <w:p w14:paraId="1DEA9E14">
            <w:r>
              <w:rPr>
                <w:rFonts w:ascii="仿宋_GB2312" w:hAnsi="仿宋_GB2312" w:eastAsia="仿宋_GB2312" w:cs="仿宋_GB2312"/>
                <w:sz w:val="32"/>
                <w:u w:color="auto"/>
              </w:rPr>
              <w:t>5.19</w:t>
            </w:r>
          </w:p>
        </w:tc>
        <w:tc>
          <w:tcPr>
            <w:tcW w:w="1250" w:type="pct"/>
          </w:tcPr>
          <w:p w14:paraId="357973A7">
            <w:r>
              <w:rPr>
                <w:rFonts w:ascii="仿宋_GB2312" w:hAnsi="仿宋_GB2312" w:eastAsia="仿宋_GB2312" w:cs="仿宋_GB2312"/>
                <w:sz w:val="32"/>
                <w:u w:color="auto"/>
              </w:rPr>
              <w:t>-22.08%</w:t>
            </w:r>
          </w:p>
        </w:tc>
      </w:tr>
      <w:tr w14:paraId="06C9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4531164A">
            <w:r>
              <w:rPr>
                <w:rFonts w:ascii="仿宋_GB2312" w:hAnsi="仿宋_GB2312" w:eastAsia="仿宋_GB2312" w:cs="仿宋_GB2312"/>
                <w:sz w:val="32"/>
                <w:u w:color="auto"/>
              </w:rPr>
              <w:t>汇总</w:t>
            </w:r>
          </w:p>
        </w:tc>
        <w:tc>
          <w:tcPr>
            <w:tcW w:w="1250" w:type="pct"/>
          </w:tcPr>
          <w:p w14:paraId="11BF2C41">
            <w:r>
              <w:rPr>
                <w:rFonts w:ascii="仿宋_GB2312" w:hAnsi="仿宋_GB2312" w:eastAsia="仿宋_GB2312" w:cs="仿宋_GB2312"/>
                <w:sz w:val="32"/>
                <w:u w:color="auto"/>
              </w:rPr>
              <w:t>290209.91</w:t>
            </w:r>
          </w:p>
        </w:tc>
        <w:tc>
          <w:tcPr>
            <w:tcW w:w="1250" w:type="pct"/>
          </w:tcPr>
          <w:p w14:paraId="5146C615">
            <w:r>
              <w:rPr>
                <w:rFonts w:ascii="仿宋_GB2312" w:hAnsi="仿宋_GB2312" w:eastAsia="仿宋_GB2312" w:cs="仿宋_GB2312"/>
                <w:sz w:val="32"/>
                <w:u w:color="auto"/>
              </w:rPr>
              <w:t>100.00%</w:t>
            </w:r>
          </w:p>
        </w:tc>
        <w:tc>
          <w:tcPr>
            <w:tcW w:w="1250" w:type="pct"/>
          </w:tcPr>
          <w:p w14:paraId="0AD51D34"/>
        </w:tc>
      </w:tr>
    </w:tbl>
    <w:p w14:paraId="09B6F388">
      <w:pPr>
        <w:spacing w:line="560" w:lineRule="exact"/>
        <w:ind w:firstLine="640" w:firstLineChars="200"/>
        <w:rPr>
          <w:rFonts w:ascii="仿宋_GB2312" w:eastAsia="仿宋_GB2312"/>
          <w:sz w:val="32"/>
          <w:szCs w:val="32"/>
        </w:rPr>
      </w:pPr>
      <w:r>
        <w:rPr>
          <w:rFonts w:ascii="仿宋_GB2312" w:eastAsia="仿宋_GB2312"/>
          <w:sz w:val="32"/>
          <w:szCs w:val="32"/>
        </w:rPr>
        <w:t>1.购建房提取额同比</w:t>
      </w:r>
      <w:r>
        <w:rPr>
          <w:rFonts w:ascii="仿宋_GB2312" w:eastAsia="仿宋_GB2312"/>
          <w:sz w:val="32"/>
          <w:u w:color="auto"/>
        </w:rPr>
        <w:t>下降2.47%。</w:t>
      </w:r>
      <w:r>
        <w:rPr>
          <w:rFonts w:hint="eastAsia" w:ascii="仿宋_GB2312" w:eastAsia="仿宋_GB2312"/>
          <w:i/>
          <w:iCs/>
          <w:color w:val="FF0000"/>
          <w:sz w:val="32"/>
          <w:szCs w:val="32"/>
        </w:rPr>
        <w:t>请人工补充分析</w:t>
      </w:r>
      <w:r>
        <w:rPr>
          <w:rFonts w:ascii="仿宋_GB2312" w:eastAsia="仿宋_GB2312"/>
          <w:sz w:val="32"/>
          <w:szCs w:val="32"/>
        </w:rPr>
        <w:t>，购建房提取占提取总额的</w:t>
      </w:r>
      <w:r>
        <w:rPr>
          <w:rFonts w:ascii="仿宋_GB2312" w:eastAsia="仿宋_GB2312"/>
          <w:sz w:val="32"/>
          <w:u w:color="auto"/>
        </w:rPr>
        <w:t>18.82%。1月份占比最低为14.6%。</w:t>
      </w:r>
    </w:p>
    <w:p w14:paraId="4AA9543D">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4" name="图表 4" descr="{{jyngftqzbqk}}"/>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D118BF7">
      <w:pPr>
        <w:spacing w:line="560" w:lineRule="exact"/>
        <w:ind w:firstLine="640" w:firstLineChars="200"/>
        <w:rPr>
          <w:rFonts w:ascii="仿宋_GB2312" w:eastAsia="仿宋_GB2312"/>
          <w:sz w:val="32"/>
          <w:szCs w:val="32"/>
        </w:rPr>
      </w:pPr>
      <w:r>
        <w:rPr>
          <w:rFonts w:ascii="仿宋_GB2312" w:eastAsia="仿宋_GB2312"/>
          <w:sz w:val="32"/>
          <w:szCs w:val="32"/>
        </w:rPr>
        <w:t>2.还贷提取额同比</w:t>
      </w:r>
      <w:r>
        <w:rPr>
          <w:rFonts w:ascii="仿宋_GB2312" w:eastAsia="仿宋_GB2312"/>
          <w:sz w:val="32"/>
          <w:u w:color="auto"/>
        </w:rPr>
        <w:t>增长70.49%。</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5335A7A">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5" name="图表 5" descr="{{jynhdtqqk}}"/>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22A256">
      <w:pPr>
        <w:spacing w:line="560" w:lineRule="exact"/>
        <w:ind w:firstLine="640" w:firstLineChars="200"/>
        <w:rPr>
          <w:rFonts w:ascii="仿宋_GB2312" w:eastAsia="仿宋_GB2312"/>
          <w:sz w:val="32"/>
          <w:szCs w:val="32"/>
        </w:rPr>
      </w:pPr>
      <w:r>
        <w:rPr>
          <w:rFonts w:ascii="仿宋_GB2312" w:eastAsia="仿宋_GB2312"/>
          <w:sz w:val="32"/>
          <w:szCs w:val="32"/>
        </w:rPr>
        <w:t>3.无房租赁提取金额同比</w:t>
      </w:r>
      <w:r>
        <w:rPr>
          <w:rFonts w:ascii="仿宋_GB2312" w:eastAsia="仿宋_GB2312"/>
          <w:sz w:val="32"/>
          <w:u w:color="auto"/>
        </w:rPr>
        <w:t>增长30.27%。2月份无房租赁提取达到年内峰值。</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31BA7092">
      <w:pPr>
        <w:rPr>
          <w:rFonts w:ascii="仿宋_GB2312" w:eastAsia="仿宋_GB2312"/>
          <w:sz w:val="32"/>
          <w:szCs w:val="32"/>
        </w:rPr>
      </w:pPr>
      <w:r>
        <w:rPr>
          <w:rFonts w:hint="eastAsia" w:ascii="楷体_GB2312" w:eastAsia="楷体_GB2312"/>
          <w:b/>
          <w:sz w:val="32"/>
          <w:szCs w:val="32"/>
        </w:rPr>
        <w:drawing>
          <wp:inline distT="0" distB="0" distL="0" distR="0">
            <wp:extent cx="5274310" cy="3076575"/>
            <wp:effectExtent l="5080" t="4445" r="16510" b="5080"/>
            <wp:docPr id="6" name="图表 6" descr="{{jynwfzntq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7D54C6">
      <w:pPr>
        <w:spacing w:line="560" w:lineRule="exact"/>
        <w:ind w:firstLine="640" w:firstLineChars="200"/>
        <w:rPr>
          <w:rFonts w:ascii="仿宋_GB2312" w:eastAsia="仿宋_GB2312"/>
          <w:sz w:val="32"/>
          <w:szCs w:val="32"/>
        </w:rPr>
      </w:pPr>
      <w:r>
        <w:rPr>
          <w:rFonts w:ascii="仿宋_GB2312" w:eastAsia="仿宋_GB2312"/>
          <w:sz w:val="32"/>
          <w:szCs w:val="32"/>
        </w:rPr>
        <w:t>4.横向比较全省各地住房公积金提取情况，</w:t>
      </w:r>
      <w:r>
        <w:rPr>
          <w:rFonts w:hint="eastAsia" w:ascii="仿宋_GB2312" w:eastAsia="仿宋_GB2312"/>
          <w:sz w:val="32"/>
          <w:szCs w:val="32"/>
          <w:lang w:eastAsia="zh-CN"/>
        </w:rPr>
        <w:t>枣庄</w:t>
      </w:r>
      <w:r>
        <w:rPr>
          <w:rFonts w:ascii="仿宋_GB2312" w:eastAsia="仿宋_GB2312"/>
          <w:sz w:val="32"/>
          <w:szCs w:val="32"/>
        </w:rPr>
        <w:t>住房消费提取占提取比例为</w:t>
      </w:r>
      <w:r>
        <w:rPr>
          <w:rFonts w:ascii="仿宋_GB2312" w:eastAsia="仿宋_GB2312"/>
          <w:sz w:val="32"/>
          <w:u w:color="auto"/>
        </w:rPr>
        <w:t>113.22</w:t>
      </w:r>
      <w:r>
        <w:rPr>
          <w:rFonts w:ascii="仿宋_GB2312" w:eastAsia="仿宋_GB2312"/>
          <w:sz w:val="32"/>
          <w:szCs w:val="32"/>
        </w:rPr>
        <w:t>%，在全省排名第</w:t>
      </w:r>
      <w:r>
        <w:rPr>
          <w:rFonts w:ascii="仿宋_GB2312" w:eastAsia="仿宋_GB2312"/>
          <w:color w:val="FF0000"/>
          <w:sz w:val="32"/>
          <w:szCs w:val="32"/>
        </w:rPr>
        <w:t>**</w:t>
      </w:r>
      <w:r>
        <w:rPr>
          <w:rFonts w:ascii="仿宋_GB2312" w:eastAsia="仿宋_GB2312"/>
          <w:sz w:val="32"/>
          <w:szCs w:val="32"/>
        </w:rPr>
        <w:t>位</w:t>
      </w:r>
      <w:r>
        <w:rPr>
          <w:rFonts w:hint="eastAsia" w:ascii="仿宋_GB2312" w:eastAsia="仿宋_GB2312"/>
          <w:sz w:val="32"/>
          <w:szCs w:val="32"/>
        </w:rPr>
        <w:t>。</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5B2A118F">
      <w:pPr>
        <w:spacing w:line="560" w:lineRule="exact"/>
        <w:jc w:val="center"/>
        <w:rPr>
          <w:rFonts w:ascii="宋体" w:hAnsi="宋体" w:eastAsia="宋体"/>
          <w:b/>
          <w:bCs/>
          <w:sz w:val="28"/>
          <w:szCs w:val="28"/>
        </w:rPr>
      </w:pPr>
      <w:r>
        <w:rPr>
          <w:rFonts w:ascii="宋体" w:hAnsi="宋体" w:eastAsia="宋体"/>
          <w:b/>
          <w:bCs/>
          <w:sz w:val="28"/>
          <w:szCs w:val="28"/>
        </w:rPr>
        <w:t>全省各地住房公积金提取情况表</w:t>
      </w:r>
    </w:p>
    <w:p w14:paraId="77F08EC9">
      <w:pPr>
        <w:spacing w:line="560" w:lineRule="exact"/>
        <w:rPr>
          <w:rFonts w:ascii="仿宋_GB2312" w:eastAsia="仿宋_GB2312"/>
          <w:sz w:val="32"/>
          <w:szCs w:val="32"/>
        </w:rPr>
      </w:pPr>
      <w:r>
        <w:t>这说明枣庄商品住房成交尚未出现趋势性回暖，刚性和改善性购房需求释放仍偏温和，购房提取对总提取的拉动有限</w:t>
      </w:r>
    </w:p>
    <w:p w14:paraId="62A2AE2D">
      <w:pPr>
        <w:spacing w:line="560" w:lineRule="exact"/>
        <w:ind w:firstLine="643" w:firstLineChars="200"/>
        <w:rPr>
          <w:rFonts w:ascii="仿宋_GB2312" w:eastAsia="仿宋_GB2312"/>
          <w:sz w:val="32"/>
          <w:szCs w:val="32"/>
        </w:rPr>
      </w:pPr>
      <w:r>
        <w:rPr>
          <w:rFonts w:hint="eastAsia" w:ascii="楷体_GB2312" w:eastAsia="楷体_GB2312"/>
          <w:b/>
          <w:sz w:val="32"/>
          <w:szCs w:val="32"/>
        </w:rPr>
        <w:t>（三）个人住房公积金贷款发放。</w:t>
      </w:r>
      <w:r>
        <w:rPr>
          <w:rFonts w:hint="eastAsia" w:ascii="仿宋_GB2312" w:eastAsia="仿宋_GB2312"/>
          <w:sz w:val="32"/>
          <w:szCs w:val="32"/>
        </w:rPr>
        <w:t>全市发放个人住房公积金贷款</w:t>
      </w:r>
      <w:r>
        <w:rPr>
          <w:rFonts w:ascii="仿宋_GB2312" w:eastAsia="仿宋_GB2312"/>
          <w:sz w:val="32"/>
          <w:szCs w:val="32"/>
        </w:rPr>
        <w:t>2902</w:t>
      </w:r>
      <w:r>
        <w:rPr>
          <w:rFonts w:ascii="仿宋_GB2312" w:eastAsia="仿宋_GB2312"/>
          <w:sz w:val="32"/>
          <w:u w:color="auto"/>
        </w:rPr>
        <w:t>笔，金额14.84亿元，分别同比下降0%、下降19.26%，剔除置换后发放贷款2511笔、金额13.15亿元，分别同比下降0%、-15.98%。近三年贷款发放金额平均增长率为-10.26%，月均贷款发放金额1.24亿元，剔除置换后月均贷款发放1.1亿元，贷款余额为0亿元。</w:t>
      </w:r>
    </w:p>
    <w:p w14:paraId="1600E99D">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7" name="图表 7" descr="{{dkqs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0EE9C7">
      <w:pPr>
        <w:spacing w:line="560" w:lineRule="exact"/>
        <w:ind w:firstLine="420" w:firstLineChars="200"/>
        <w:rPr>
          <w:rFonts w:ascii="仿宋_GB2312" w:eastAsia="仿宋_GB2312"/>
          <w:sz w:val="32"/>
          <w:szCs w:val="32"/>
        </w:rPr>
      </w:pPr>
      <w:r>
        <w:t>2026年，枣庄全市房地产交易成交住房**套，同比**%，其中一手房**套，同比**%；二手房**套，同比**%。这反映出居民降杠杆意愿明显增强。受贷款利率下行、家庭现金流管理趋稳以及提前还贷观念增强等因素影响，职工更多选择使用公积金余额偿还住房贷款，特别是在主城区和滕州等按揭贷款存量较大的区域，还贷提取增长对总提取形成了主要支撑。。</w:t>
      </w:r>
    </w:p>
    <w:p w14:paraId="232B448C">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0" name="图表 10" descr="{{qsspzfjy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F16CC0">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1" name="图表 11" descr="{{qsesfcj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1E5DCF0">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2A59BF33">
      <w:pPr>
        <w:spacing w:line="560" w:lineRule="exact"/>
        <w:ind w:firstLine="420" w:firstLineChars="200"/>
        <w:rPr>
          <w:rFonts w:ascii="仿宋_GB2312" w:eastAsia="仿宋_GB2312"/>
          <w:sz w:val="32"/>
          <w:szCs w:val="32"/>
        </w:rPr>
      </w:pPr>
      <w:r>
        <w:t>1.这说明新市民、青年职工和跨区域就业群体对租赁住房支持政策的使用频率持续提升。春节前后返乡返岗、租赁续签和集中办理业务，也带动了阶段性租赁提取高点，反映出枣庄在产业转型过程中，租住型住房需求保持活跃。。</w:t>
      </w:r>
    </w:p>
    <w:p w14:paraId="5008E377">
      <w:pPr>
        <w:spacing w:line="560" w:lineRule="exact"/>
        <w:ind w:firstLine="640" w:firstLineChars="200"/>
        <w:rPr>
          <w:rFonts w:ascii="仿宋_GB2312" w:eastAsia="仿宋_GB2312"/>
          <w:sz w:val="32"/>
          <w:szCs w:val="32"/>
        </w:rPr>
      </w:pPr>
      <w:r>
        <w:rPr>
          <w:rFonts w:ascii="仿宋_GB2312" w:eastAsia="仿宋_GB2312"/>
          <w:sz w:val="32"/>
          <w:szCs w:val="32"/>
        </w:rPr>
        <w:t>2.</w:t>
      </w:r>
      <w:r>
        <w:rPr>
          <w:rFonts w:ascii="仿宋_GB2312" w:eastAsia="仿宋_GB2312"/>
          <w:i/>
          <w:iCs/>
          <w:color w:val="FF0000"/>
          <w:sz w:val="32"/>
          <w:szCs w:val="32"/>
        </w:rPr>
        <w:t>请人工补充分析</w:t>
      </w:r>
      <w:r>
        <w:rPr>
          <w:rFonts w:ascii="仿宋_GB2312" w:eastAsia="仿宋_GB2312"/>
          <w:sz w:val="32"/>
          <w:szCs w:val="32"/>
        </w:rPr>
        <w:t>。</w:t>
      </w:r>
    </w:p>
    <w:p w14:paraId="000B2134">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12" name="图表 12" descr="{{jyntchdkff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057A9E">
      <w:pPr>
        <w:spacing w:line="560" w:lineRule="exact"/>
        <w:ind w:firstLine="420" w:firstLineChars="200"/>
        <w:rPr>
          <w:rFonts w:ascii="仿宋_GB2312" w:eastAsia="仿宋_GB2312"/>
          <w:sz w:val="32"/>
          <w:szCs w:val="32"/>
        </w:rPr>
      </w:pPr>
      <w:r>
        <w:t>3.从已掌握情况看，该指标处于全省中上水平，但具体排名仍需待全年完整数据披露后再行确认。该指标高于100%，说明枣庄公积金使用更加偏向住房消费场景，资金政策对购房、租房和偿贷需求的支持力度较强，也与本地房地产市场以刚需和改善为主、投资性需求较弱的特点相吻合。。</w:t>
      </w:r>
    </w:p>
    <w:p w14:paraId="5B3DD81D">
      <w:pPr>
        <w:spacing w:line="560" w:lineRule="exact"/>
        <w:ind w:firstLine="643" w:firstLineChars="200"/>
        <w:rPr>
          <w:rFonts w:ascii="仿宋_GB2312" w:eastAsia="仿宋_GB2312"/>
          <w:sz w:val="32"/>
          <w:szCs w:val="32"/>
        </w:rPr>
      </w:pPr>
      <w:r>
        <w:rPr>
          <w:rFonts w:hint="eastAsia" w:ascii="楷体_GB2312" w:eastAsia="楷体_GB2312"/>
          <w:b/>
          <w:sz w:val="32"/>
          <w:szCs w:val="32"/>
        </w:rPr>
        <w:t>（四）住房公积金贷款回收。</w:t>
      </w:r>
      <w:r>
        <w:rPr>
          <w:rFonts w:ascii="仿宋_GB2312" w:eastAsia="仿宋_GB2312"/>
          <w:sz w:val="32"/>
          <w:szCs w:val="32"/>
        </w:rPr>
        <w:t>2026</w:t>
      </w:r>
      <w:r>
        <w:rPr>
          <w:rFonts w:ascii="仿宋_GB2312" w:eastAsia="仿宋_GB2312"/>
          <w:sz w:val="32"/>
          <w:u w:color="auto"/>
        </w:rPr>
        <w:t>年全市贷款回收17.65亿元，同比增长-26.2%，近三年平均增长率9.06%，月均贷款回收金额1.47亿元。</w:t>
      </w:r>
    </w:p>
    <w:p w14:paraId="6E98BA68">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3" name="图表 13" descr="{{dkhsqs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341ADE">
      <w:pPr>
        <w:spacing w:line="560" w:lineRule="exact"/>
        <w:ind w:firstLine="420" w:firstLineChars="200"/>
        <w:rPr>
          <w:rFonts w:ascii="仿宋_GB2312" w:eastAsia="仿宋_GB2312"/>
          <w:b/>
          <w:sz w:val="32"/>
          <w:szCs w:val="32"/>
        </w:rPr>
      </w:pPr>
      <w:r>
        <w:t>综合看，枣庄提取结构正由传统购房提取向“购房+还贷+租赁”多元并存转变，其中还贷提取和租赁提取增速较快，反映出住房消费方式更加理性、更加注重存量住房金融负担的缓释。后续应继续跟踪提取结构变化对资金流动性的影响。</w:t>
      </w:r>
    </w:p>
    <w:p w14:paraId="0DF7B6DB">
      <w:pPr>
        <w:spacing w:line="560" w:lineRule="exact"/>
        <w:ind w:firstLine="640" w:firstLineChars="200"/>
        <w:rPr>
          <w:rFonts w:ascii="仿宋_GB2312" w:eastAsia="仿宋_GB2312"/>
          <w:sz w:val="32"/>
          <w:szCs w:val="32"/>
        </w:rPr>
      </w:pPr>
      <w:r>
        <w:rPr>
          <w:rFonts w:ascii="仿宋_GB2312" w:eastAsia="仿宋_GB2312"/>
          <w:sz w:val="32"/>
          <w:szCs w:val="32"/>
        </w:rPr>
        <w:t>1.</w:t>
      </w:r>
      <w:r>
        <w:rPr>
          <w:rFonts w:ascii="仿宋_GB2312" w:eastAsia="仿宋_GB2312"/>
          <w:i/>
          <w:iCs/>
          <w:color w:val="FF0000"/>
          <w:sz w:val="32"/>
          <w:szCs w:val="32"/>
        </w:rPr>
        <w:t>请人工补充分析</w:t>
      </w:r>
      <w:r>
        <w:rPr>
          <w:rFonts w:ascii="仿宋_GB2312" w:eastAsia="仿宋_GB2312"/>
          <w:sz w:val="32"/>
          <w:szCs w:val="32"/>
        </w:rPr>
        <w:t>。</w:t>
      </w:r>
    </w:p>
    <w:p w14:paraId="732E9AF0">
      <w:pPr>
        <w:spacing w:line="560" w:lineRule="exact"/>
        <w:ind w:firstLine="640" w:firstLineChars="200"/>
        <w:rPr>
          <w:rFonts w:ascii="仿宋_GB2312" w:eastAsia="仿宋_GB2312"/>
          <w:sz w:val="32"/>
          <w:szCs w:val="32"/>
        </w:rPr>
      </w:pPr>
      <w:r>
        <w:rPr>
          <w:rFonts w:ascii="仿宋_GB2312" w:eastAsia="仿宋_GB2312"/>
          <w:sz w:val="32"/>
          <w:szCs w:val="32"/>
        </w:rPr>
        <w:t>2.</w:t>
      </w:r>
      <w:r>
        <w:rPr>
          <w:rFonts w:ascii="仿宋_GB2312" w:eastAsia="仿宋_GB2312"/>
          <w:sz w:val="32"/>
          <w:u w:color="auto"/>
        </w:rPr>
        <w:t>2026年提前还贷额占比为49.07%，</w:t>
      </w:r>
      <w:r>
        <w:rPr>
          <w:rFonts w:ascii="仿宋_GB2312" w:eastAsia="仿宋_GB2312"/>
          <w:i/>
          <w:iCs/>
          <w:color w:val="FF0000"/>
          <w:sz w:val="32"/>
          <w:szCs w:val="32"/>
        </w:rPr>
        <w:t>请人工补充分析</w:t>
      </w:r>
      <w:r>
        <w:rPr>
          <w:rFonts w:ascii="仿宋_GB2312" w:eastAsia="仿宋_GB2312"/>
          <w:sz w:val="32"/>
          <w:szCs w:val="32"/>
        </w:rPr>
        <w:t>。</w:t>
      </w:r>
    </w:p>
    <w:p w14:paraId="5DFAEFE8">
      <w:pPr>
        <w:rPr>
          <w:rFonts w:ascii="仿宋_GB2312" w:eastAsia="仿宋_GB2312"/>
          <w:sz w:val="32"/>
          <w:szCs w:val="32"/>
        </w:rPr>
      </w:pPr>
      <w:r>
        <w:rPr>
          <w:rFonts w:hint="eastAsia" w:ascii="楷体_GB2312" w:eastAsia="楷体_GB2312"/>
          <w:b/>
          <w:sz w:val="32"/>
          <w:szCs w:val="32"/>
        </w:rPr>
        <w:drawing>
          <wp:inline distT="0" distB="0" distL="0" distR="0">
            <wp:extent cx="5274310" cy="3076575"/>
            <wp:effectExtent l="5080" t="4445" r="16510" b="5080"/>
            <wp:docPr id="14" name="图表 14" descr="{{jyndkhk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D287E5">
      <w:pPr>
        <w:spacing w:line="560" w:lineRule="exact"/>
        <w:ind w:firstLine="420" w:firstLineChars="200"/>
        <w:rPr>
          <w:rFonts w:ascii="仿宋_GB2312" w:eastAsia="仿宋_GB2312"/>
          <w:sz w:val="32"/>
          <w:szCs w:val="32"/>
        </w:rPr>
      </w:pPr>
      <w:r>
        <w:t>（五）支持住房消费额。全市支持住房消费额43.86亿元（其中公转商置换1.69亿元），较去年同期下降21.21%，近三年平均增长率-2.75%，剔除公转商置换同比下降20.33%，剔除后月均住房消费额3.51亿元。</w:t>
      </w:r>
    </w:p>
    <w:p w14:paraId="6DB45C9E">
      <w:pPr>
        <w:rPr>
          <w:rFonts w:ascii="仿宋_GB2312" w:eastAsia="仿宋_GB2312"/>
          <w:sz w:val="32"/>
          <w:szCs w:val="32"/>
        </w:rPr>
      </w:pPr>
      <w:r>
        <w:rPr>
          <w:rFonts w:hint="eastAsia" w:ascii="仿宋_GB2312" w:eastAsia="仿宋_GB2312"/>
          <w:b/>
          <w:sz w:val="32"/>
          <w:szCs w:val="32"/>
        </w:rPr>
        <w:drawing>
          <wp:inline distT="0" distB="0" distL="0" distR="0">
            <wp:extent cx="5274310" cy="3076575"/>
            <wp:effectExtent l="5080" t="4445" r="16510" b="5080"/>
            <wp:docPr id="15" name="图表 15" descr="{{zfxfqs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B520020">
      <w:pPr>
        <w:spacing w:line="560" w:lineRule="exact"/>
        <w:ind w:firstLine="643" w:firstLineChars="200"/>
        <w:rPr>
          <w:rFonts w:ascii="仿宋_GB2312" w:eastAsia="仿宋_GB2312"/>
          <w:b/>
          <w:sz w:val="32"/>
          <w:szCs w:val="32"/>
        </w:rPr>
      </w:pPr>
      <w:r>
        <w:rPr>
          <w:rFonts w:hint="eastAsia" w:ascii="仿宋_GB2312" w:eastAsia="仿宋_GB2312"/>
          <w:b/>
          <w:sz w:val="32"/>
          <w:szCs w:val="32"/>
        </w:rPr>
        <w:t>运行特点：</w:t>
      </w:r>
    </w:p>
    <w:p w14:paraId="53DBA6A9">
      <w:pPr>
        <w:spacing w:line="560" w:lineRule="exact"/>
        <w:ind w:firstLine="640" w:firstLineChars="20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w:t>
      </w:r>
      <w:r>
        <w:rPr>
          <w:rFonts w:ascii="仿宋_GB2312" w:eastAsia="仿宋_GB2312"/>
          <w:i/>
          <w:iCs/>
          <w:color w:val="FF0000"/>
          <w:sz w:val="32"/>
          <w:szCs w:val="32"/>
        </w:rPr>
        <w:t xml:space="preserve"> 请人工补充分析</w:t>
      </w:r>
      <w:r>
        <w:rPr>
          <w:rFonts w:hint="eastAsia" w:ascii="仿宋_GB2312" w:eastAsia="仿宋_GB2312"/>
          <w:sz w:val="32"/>
          <w:szCs w:val="32"/>
        </w:rPr>
        <w:t>。</w:t>
      </w:r>
    </w:p>
    <w:p w14:paraId="2C9595D6">
      <w:pPr>
        <w:spacing w:line="560" w:lineRule="exact"/>
        <w:ind w:firstLine="640" w:firstLineChars="200"/>
        <w:rPr>
          <w:rFonts w:ascii="仿宋_GB2312" w:eastAsia="仿宋_GB2312"/>
          <w:sz w:val="32"/>
          <w:szCs w:val="32"/>
        </w:rPr>
      </w:pPr>
      <w:r>
        <w:rPr>
          <w:rFonts w:ascii="仿宋_GB2312" w:eastAsia="仿宋_GB2312"/>
          <w:sz w:val="32"/>
          <w:szCs w:val="32"/>
        </w:rPr>
        <w:t>2.</w:t>
      </w:r>
      <w:r>
        <w:rPr>
          <w:rFonts w:ascii="仿宋_GB2312" w:eastAsia="仿宋_GB2312"/>
          <w:i/>
          <w:iCs/>
          <w:color w:val="FF0000"/>
          <w:sz w:val="32"/>
          <w:szCs w:val="32"/>
        </w:rPr>
        <w:t xml:space="preserve"> 请人工补充分析</w:t>
      </w:r>
      <w:r>
        <w:rPr>
          <w:rFonts w:ascii="仿宋_GB2312" w:eastAsia="仿宋_GB2312"/>
          <w:sz w:val="32"/>
          <w:szCs w:val="32"/>
        </w:rPr>
        <w:t>。</w:t>
      </w:r>
      <w:r>
        <w:rPr>
          <w:rFonts w:ascii="仿宋_GB2312" w:eastAsia="仿宋_GB2312"/>
          <w:sz w:val="32"/>
          <w:u w:color="auto"/>
        </w:rPr>
        <w:t>8月份住房消费金额最高，达到2.44亿元。6月份住房消费金额最低，为2.06亿元，其中提取额仅29.02亿元。</w:t>
      </w:r>
    </w:p>
    <w:p w14:paraId="01A1F090">
      <w:pPr>
        <w:spacing w:line="560" w:lineRule="exact"/>
        <w:ind w:firstLine="420" w:firstLineChars="200"/>
        <w:rPr>
          <w:rFonts w:ascii="仿宋_GB2312" w:eastAsia="仿宋_GB2312"/>
          <w:sz w:val="32"/>
          <w:szCs w:val="32"/>
        </w:rPr>
      </w:pPr>
      <w:r>
        <w:t>（六）存贷比情况分析。12月末全市住房公积金缴存余额0亿元，住房公积金贷款余额0亿元，存贷比0%，较年初下降0%，公转商贷款余额为0。</w:t>
      </w:r>
    </w:p>
    <w:p w14:paraId="3C96722B">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7" name="图表 17" descr="{{cdbbd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2A6BBC1">
      <w:pPr>
        <w:spacing w:line="560" w:lineRule="exact"/>
        <w:ind w:firstLine="420" w:firstLineChars="200"/>
        <w:rPr>
          <w:rFonts w:ascii="仿宋_GB2312" w:eastAsia="仿宋_GB2312"/>
          <w:b/>
          <w:sz w:val="32"/>
          <w:szCs w:val="32"/>
        </w:rPr>
      </w:pPr>
      <w:r>
        <w:t>运行特点：</w:t>
      </w:r>
    </w:p>
    <w:p w14:paraId="017DC225">
      <w:pPr>
        <w:spacing w:line="560" w:lineRule="exact"/>
        <w:ind w:firstLine="640" w:firstLineChars="200"/>
        <w:rPr>
          <w:rFonts w:ascii="仿宋_GB2312" w:eastAsia="仿宋_GB2312"/>
          <w:sz w:val="32"/>
          <w:szCs w:val="32"/>
        </w:rPr>
      </w:pPr>
      <w:r>
        <w:rPr>
          <w:rFonts w:ascii="仿宋_GB2312" w:eastAsia="仿宋_GB2312"/>
          <w:sz w:val="32"/>
          <w:szCs w:val="32"/>
        </w:rPr>
        <w:t>1.今年以来</w:t>
      </w:r>
      <w:r>
        <w:rPr>
          <w:rFonts w:ascii="仿宋_GB2312" w:eastAsia="仿宋_GB2312"/>
          <w:i/>
          <w:iCs/>
          <w:color w:val="FF0000"/>
          <w:sz w:val="32"/>
          <w:szCs w:val="32"/>
        </w:rPr>
        <w:t>请人工补充分析</w:t>
      </w:r>
      <w:r>
        <w:rPr>
          <w:rFonts w:ascii="仿宋_GB2312" w:eastAsia="仿宋_GB2312"/>
          <w:sz w:val="32"/>
          <w:szCs w:val="32"/>
        </w:rPr>
        <w:t>。平均每月存贷比</w:t>
      </w:r>
      <w:r>
        <w:rPr>
          <w:rFonts w:ascii="仿宋_GB2312" w:eastAsia="仿宋_GB2312"/>
          <w:sz w:val="32"/>
          <w:u w:color="auto"/>
        </w:rPr>
        <w:t>下降0.0%，请人工补充分析。</w:t>
      </w:r>
    </w:p>
    <w:p w14:paraId="508DAFA0">
      <w:pPr>
        <w:spacing w:line="560" w:lineRule="exact"/>
        <w:ind w:firstLine="420" w:firstLineChars="200"/>
        <w:rPr>
          <w:rFonts w:ascii="仿宋_GB2312" w:eastAsia="仿宋_GB2312"/>
          <w:sz w:val="32"/>
          <w:szCs w:val="32"/>
        </w:rPr>
      </w:pPr>
      <w:r>
        <w:t>2.全市各分支机构存贷比高低不均，各机构全口径存贷比从高到低排序为：。年末共有3个分支机构存贷比超过95%，7个分支机构存贷比低于85%。</w:t>
      </w:r>
    </w:p>
    <w:p w14:paraId="66977114">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8" name="图表 18" descr="{{qsgjgcdbqk}}"/>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AD9FD68">
      <w:pPr>
        <w:spacing w:line="560" w:lineRule="exact"/>
        <w:ind w:firstLine="640" w:firstLineChars="200"/>
        <w:rPr>
          <w:rFonts w:ascii="仿宋_GB2312" w:eastAsia="仿宋_GB2312"/>
          <w:sz w:val="32"/>
          <w:szCs w:val="32"/>
        </w:rPr>
      </w:pPr>
      <w:r>
        <w:rPr>
          <w:rFonts w:ascii="仿宋_GB2312" w:eastAsia="仿宋_GB2312"/>
          <w:sz w:val="32"/>
          <w:szCs w:val="32"/>
        </w:rPr>
        <w:t>3.全省各地住房公积金存贷比相差较大，</w:t>
      </w:r>
      <w:r>
        <w:rPr>
          <w:rFonts w:ascii="仿宋_GB2312" w:eastAsia="仿宋_GB2312"/>
          <w:i/>
          <w:iCs/>
          <w:color w:val="FF0000"/>
          <w:sz w:val="32"/>
          <w:szCs w:val="32"/>
        </w:rPr>
        <w:t>请人工补充分析</w:t>
      </w:r>
      <w:r>
        <w:rPr>
          <w:rFonts w:ascii="仿宋_GB2312" w:eastAsia="仿宋_GB2312"/>
          <w:sz w:val="32"/>
          <w:szCs w:val="32"/>
        </w:rPr>
        <w:t>，</w:t>
      </w:r>
      <w:r>
        <w:rPr>
          <w:rFonts w:hint="eastAsia" w:ascii="仿宋_GB2312" w:eastAsia="仿宋_GB2312"/>
          <w:sz w:val="32"/>
          <w:szCs w:val="32"/>
          <w:lang w:eastAsia="zh-CN"/>
        </w:rPr>
        <w:t>枣庄</w:t>
      </w:r>
      <w:r>
        <w:rPr>
          <w:rFonts w:ascii="仿宋_GB2312" w:eastAsia="仿宋_GB2312"/>
          <w:sz w:val="32"/>
          <w:szCs w:val="32"/>
        </w:rPr>
        <w:t>存贷比</w:t>
      </w:r>
      <w:r>
        <w:rPr>
          <w:rFonts w:ascii="仿宋_GB2312" w:eastAsia="仿宋_GB2312"/>
          <w:i/>
          <w:iCs/>
          <w:color w:val="FF0000"/>
          <w:sz w:val="32"/>
          <w:szCs w:val="32"/>
        </w:rPr>
        <w:t>请人工补充分析</w:t>
      </w:r>
      <w:r>
        <w:rPr>
          <w:rFonts w:ascii="仿宋_GB2312" w:eastAsia="仿宋_GB2312"/>
          <w:sz w:val="32"/>
          <w:szCs w:val="32"/>
        </w:rPr>
        <w:t>。</w:t>
      </w:r>
    </w:p>
    <w:p w14:paraId="77DB6342">
      <w:pPr>
        <w:rPr>
          <w:rFonts w:ascii="仿宋_GB2312" w:eastAsia="仿宋_GB2312"/>
          <w:sz w:val="32"/>
          <w:szCs w:val="32"/>
        </w:rPr>
      </w:pPr>
      <w:r>
        <w:rPr>
          <w:rFonts w:hint="eastAsia" w:ascii="仿宋_GB2312" w:eastAsia="仿宋_GB2312"/>
          <w:bCs/>
          <w:sz w:val="32"/>
          <w:szCs w:val="32"/>
        </w:rPr>
        <w:drawing>
          <wp:inline distT="0" distB="0" distL="0" distR="0">
            <wp:extent cx="5274310" cy="3076575"/>
            <wp:effectExtent l="5080" t="4445" r="16510" b="5080"/>
            <wp:docPr id="16" name="图表 16" descr="{{qsgdzfgjjcdbqk}}"/>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67BCB12">
      <w:pPr>
        <w:spacing w:line="560" w:lineRule="exact"/>
        <w:ind w:firstLine="643" w:firstLineChars="200"/>
        <w:rPr>
          <w:rFonts w:ascii="楷体" w:hAnsi="楷体" w:eastAsia="楷体"/>
          <w:b/>
          <w:sz w:val="32"/>
          <w:szCs w:val="32"/>
        </w:rPr>
      </w:pPr>
      <w:r>
        <w:rPr>
          <w:rFonts w:hint="eastAsia" w:ascii="楷体" w:hAnsi="楷体" w:eastAsia="楷体"/>
          <w:b/>
          <w:sz w:val="32"/>
          <w:szCs w:val="32"/>
        </w:rPr>
        <w:t>（七）业务收支及增值收益情况</w:t>
      </w:r>
    </w:p>
    <w:p w14:paraId="462A4130">
      <w:pPr>
        <w:spacing w:line="560" w:lineRule="exact"/>
        <w:ind w:firstLine="640" w:firstLineChars="200"/>
        <w:rPr>
          <w:rFonts w:ascii="仿宋_GB2312" w:eastAsia="仿宋_GB2312"/>
          <w:sz w:val="32"/>
          <w:szCs w:val="32"/>
        </w:rPr>
      </w:pPr>
      <w:r>
        <w:rPr>
          <w:rFonts w:ascii="仿宋_GB2312" w:eastAsia="仿宋_GB2312"/>
          <w:sz w:val="32"/>
          <w:szCs w:val="32"/>
        </w:rPr>
        <w:t>2026</w:t>
      </w:r>
      <w:r>
        <w:rPr>
          <w:rFonts w:ascii="仿宋_GB2312" w:eastAsia="仿宋_GB2312"/>
          <w:sz w:val="32"/>
          <w:u w:color="auto"/>
        </w:rPr>
        <w:t>年全市实现增值收益0亿元，同比下降0%，较去年同期减少0万元，同比月下降金额约0.0万元；业务收入3.86亿元，同比下降28.09%；业务支出2.67亿元，同比增长-13.08%。请人工补充分析。</w:t>
      </w:r>
    </w:p>
    <w:p w14:paraId="5E13AB7F">
      <w:pPr>
        <w:spacing w:line="560" w:lineRule="exact"/>
        <w:jc w:val="center"/>
        <w:rPr>
          <w:rFonts w:ascii="宋体" w:hAnsi="宋体" w:eastAsia="宋体"/>
          <w:b/>
          <w:bCs/>
          <w:sz w:val="28"/>
          <w:szCs w:val="28"/>
        </w:rPr>
      </w:pPr>
      <w:r>
        <w:t>2026年增值收益变动情况表（单位：万元）</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2130"/>
        <w:gridCol w:w="2130"/>
        <w:gridCol w:w="2130"/>
        <w:gridCol w:w="2130"/>
      </w:tblGrid>
      <w:tr w14:paraId="314D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08950666">
            <w:r>
              <w:rPr>
                <w:rFonts w:ascii="仿宋_GB2312" w:hAnsi="仿宋_GB2312" w:eastAsia="仿宋_GB2312" w:cs="仿宋_GB2312"/>
                <w:sz w:val="32"/>
                <w:u w:color="auto"/>
              </w:rPr>
              <w:t>项 目</w:t>
            </w:r>
          </w:p>
        </w:tc>
        <w:tc>
          <w:tcPr>
            <w:tcW w:w="1250" w:type="pct"/>
          </w:tcPr>
          <w:p w14:paraId="3A247C89">
            <w:r>
              <w:rPr>
                <w:rFonts w:ascii="仿宋_GB2312" w:hAnsi="仿宋_GB2312" w:eastAsia="仿宋_GB2312" w:cs="仿宋_GB2312"/>
                <w:sz w:val="32"/>
                <w:u w:color="auto"/>
              </w:rPr>
              <w:t>年度数字</w:t>
            </w:r>
          </w:p>
        </w:tc>
        <w:tc>
          <w:tcPr>
            <w:tcW w:w="1250" w:type="pct"/>
          </w:tcPr>
          <w:p w14:paraId="3056CDF9">
            <w:r>
              <w:rPr>
                <w:rFonts w:ascii="仿宋_GB2312" w:hAnsi="仿宋_GB2312" w:eastAsia="仿宋_GB2312" w:cs="仿宋_GB2312"/>
                <w:sz w:val="32"/>
                <w:u w:color="auto"/>
              </w:rPr>
              <w:t>同比变动额</w:t>
            </w:r>
          </w:p>
        </w:tc>
        <w:tc>
          <w:tcPr>
            <w:tcW w:w="1250" w:type="pct"/>
          </w:tcPr>
          <w:p w14:paraId="72B2151E">
            <w:r>
              <w:rPr>
                <w:rFonts w:ascii="仿宋_GB2312" w:hAnsi="仿宋_GB2312" w:eastAsia="仿宋_GB2312" w:cs="仿宋_GB2312"/>
                <w:sz w:val="32"/>
                <w:u w:color="auto"/>
              </w:rPr>
              <w:t>同比变动率</w:t>
            </w:r>
          </w:p>
        </w:tc>
      </w:tr>
      <w:tr w14:paraId="5D70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5FDD0D4A">
            <w:r>
              <w:rPr>
                <w:rFonts w:ascii="仿宋_GB2312" w:hAnsi="仿宋_GB2312" w:eastAsia="仿宋_GB2312" w:cs="仿宋_GB2312"/>
                <w:sz w:val="32"/>
                <w:u w:color="auto"/>
              </w:rPr>
              <w:t>一、业务收入</w:t>
            </w:r>
          </w:p>
        </w:tc>
        <w:tc>
          <w:tcPr>
            <w:tcW w:w="1250" w:type="pct"/>
          </w:tcPr>
          <w:p w14:paraId="0F87292B"/>
        </w:tc>
        <w:tc>
          <w:tcPr>
            <w:tcW w:w="1250" w:type="pct"/>
          </w:tcPr>
          <w:p w14:paraId="174CD553">
            <w:r>
              <w:rPr>
                <w:rFonts w:ascii="仿宋_GB2312" w:hAnsi="仿宋_GB2312" w:eastAsia="仿宋_GB2312" w:cs="仿宋_GB2312"/>
                <w:sz w:val="32"/>
                <w:u w:color="auto"/>
              </w:rPr>
              <w:t>-15065.84</w:t>
            </w:r>
          </w:p>
        </w:tc>
        <w:tc>
          <w:tcPr>
            <w:tcW w:w="1250" w:type="pct"/>
          </w:tcPr>
          <w:p w14:paraId="0D40D1A6">
            <w:r>
              <w:rPr>
                <w:rFonts w:ascii="仿宋_GB2312" w:hAnsi="仿宋_GB2312" w:eastAsia="仿宋_GB2312" w:cs="仿宋_GB2312"/>
                <w:sz w:val="32"/>
                <w:u w:color="auto"/>
              </w:rPr>
              <w:t>-28.09%</w:t>
            </w:r>
          </w:p>
        </w:tc>
      </w:tr>
      <w:tr w14:paraId="06C3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549F6975">
            <w:r>
              <w:rPr>
                <w:rFonts w:ascii="仿宋_GB2312" w:hAnsi="仿宋_GB2312" w:eastAsia="仿宋_GB2312" w:cs="仿宋_GB2312"/>
                <w:sz w:val="32"/>
                <w:u w:color="auto"/>
              </w:rPr>
              <w:t>1.住房公积金利息收入</w:t>
            </w:r>
          </w:p>
        </w:tc>
        <w:tc>
          <w:tcPr>
            <w:tcW w:w="1250" w:type="pct"/>
          </w:tcPr>
          <w:p w14:paraId="7BB56AB3"/>
        </w:tc>
        <w:tc>
          <w:tcPr>
            <w:tcW w:w="1250" w:type="pct"/>
          </w:tcPr>
          <w:p w14:paraId="662B7CCA">
            <w:r>
              <w:rPr>
                <w:rFonts w:ascii="仿宋_GB2312" w:hAnsi="仿宋_GB2312" w:eastAsia="仿宋_GB2312" w:cs="仿宋_GB2312"/>
                <w:sz w:val="32"/>
                <w:u w:color="auto"/>
              </w:rPr>
              <w:t>-883.19</w:t>
            </w:r>
          </w:p>
        </w:tc>
        <w:tc>
          <w:tcPr>
            <w:tcW w:w="1250" w:type="pct"/>
          </w:tcPr>
          <w:p w14:paraId="5449E6BB">
            <w:r>
              <w:rPr>
                <w:rFonts w:ascii="仿宋_GB2312" w:hAnsi="仿宋_GB2312" w:eastAsia="仿宋_GB2312" w:cs="仿宋_GB2312"/>
                <w:sz w:val="32"/>
                <w:u w:color="auto"/>
              </w:rPr>
              <w:t>-8.01%</w:t>
            </w:r>
          </w:p>
        </w:tc>
      </w:tr>
      <w:tr w14:paraId="5B4E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10A9A03C">
            <w:r>
              <w:rPr>
                <w:rFonts w:ascii="仿宋_GB2312" w:hAnsi="仿宋_GB2312" w:eastAsia="仿宋_GB2312" w:cs="仿宋_GB2312"/>
                <w:sz w:val="32"/>
                <w:u w:color="auto"/>
              </w:rPr>
              <w:t>2.增值收益利息收入</w:t>
            </w:r>
          </w:p>
        </w:tc>
        <w:tc>
          <w:tcPr>
            <w:tcW w:w="1250" w:type="pct"/>
          </w:tcPr>
          <w:p w14:paraId="7CCB497A"/>
        </w:tc>
        <w:tc>
          <w:tcPr>
            <w:tcW w:w="1250" w:type="pct"/>
          </w:tcPr>
          <w:p w14:paraId="3D88EE63">
            <w:r>
              <w:rPr>
                <w:rFonts w:ascii="仿宋_GB2312" w:hAnsi="仿宋_GB2312" w:eastAsia="仿宋_GB2312" w:cs="仿宋_GB2312"/>
                <w:sz w:val="32"/>
                <w:u w:color="auto"/>
              </w:rPr>
              <w:t>-86.1</w:t>
            </w:r>
          </w:p>
        </w:tc>
        <w:tc>
          <w:tcPr>
            <w:tcW w:w="1250" w:type="pct"/>
          </w:tcPr>
          <w:p w14:paraId="1EB5BC47">
            <w:r>
              <w:rPr>
                <w:rFonts w:ascii="仿宋_GB2312" w:hAnsi="仿宋_GB2312" w:eastAsia="仿宋_GB2312" w:cs="仿宋_GB2312"/>
                <w:sz w:val="32"/>
                <w:u w:color="auto"/>
              </w:rPr>
              <w:t>-14.06%</w:t>
            </w:r>
          </w:p>
        </w:tc>
      </w:tr>
      <w:tr w14:paraId="7984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46939966">
            <w:r>
              <w:rPr>
                <w:rFonts w:ascii="仿宋_GB2312" w:hAnsi="仿宋_GB2312" w:eastAsia="仿宋_GB2312" w:cs="仿宋_GB2312"/>
                <w:sz w:val="32"/>
                <w:u w:color="auto"/>
              </w:rPr>
              <w:t>3.委托贷款利息收入</w:t>
            </w:r>
          </w:p>
        </w:tc>
        <w:tc>
          <w:tcPr>
            <w:tcW w:w="1250" w:type="pct"/>
          </w:tcPr>
          <w:p w14:paraId="00C40AA3"/>
        </w:tc>
        <w:tc>
          <w:tcPr>
            <w:tcW w:w="1250" w:type="pct"/>
          </w:tcPr>
          <w:p w14:paraId="34EF9905">
            <w:r>
              <w:rPr>
                <w:rFonts w:ascii="仿宋_GB2312" w:hAnsi="仿宋_GB2312" w:eastAsia="仿宋_GB2312" w:cs="仿宋_GB2312"/>
                <w:sz w:val="32"/>
                <w:u w:color="auto"/>
              </w:rPr>
              <w:t>-14093.63</w:t>
            </w:r>
          </w:p>
        </w:tc>
        <w:tc>
          <w:tcPr>
            <w:tcW w:w="1250" w:type="pct"/>
          </w:tcPr>
          <w:p w14:paraId="23878908">
            <w:r>
              <w:rPr>
                <w:rFonts w:ascii="仿宋_GB2312" w:hAnsi="仿宋_GB2312" w:eastAsia="仿宋_GB2312" w:cs="仿宋_GB2312"/>
                <w:sz w:val="32"/>
                <w:u w:color="auto"/>
              </w:rPr>
              <w:t>-33.56%</w:t>
            </w:r>
          </w:p>
        </w:tc>
      </w:tr>
      <w:tr w14:paraId="6AA1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2AC812AE">
            <w:r>
              <w:rPr>
                <w:rFonts w:ascii="仿宋_GB2312" w:hAnsi="仿宋_GB2312" w:eastAsia="仿宋_GB2312" w:cs="仿宋_GB2312"/>
                <w:sz w:val="32"/>
                <w:u w:color="auto"/>
              </w:rPr>
              <w:t>4.国家债券利息收入</w:t>
            </w:r>
          </w:p>
        </w:tc>
        <w:tc>
          <w:tcPr>
            <w:tcW w:w="1250" w:type="pct"/>
          </w:tcPr>
          <w:p w14:paraId="35CF3AD3"/>
        </w:tc>
        <w:tc>
          <w:tcPr>
            <w:tcW w:w="1250" w:type="pct"/>
          </w:tcPr>
          <w:p w14:paraId="612061E1">
            <w:r>
              <w:rPr>
                <w:rFonts w:ascii="仿宋_GB2312" w:hAnsi="仿宋_GB2312" w:eastAsia="仿宋_GB2312" w:cs="仿宋_GB2312"/>
                <w:sz w:val="32"/>
                <w:u w:color="auto"/>
              </w:rPr>
              <w:t>0</w:t>
            </w:r>
          </w:p>
        </w:tc>
        <w:tc>
          <w:tcPr>
            <w:tcW w:w="1250" w:type="pct"/>
          </w:tcPr>
          <w:p w14:paraId="44053AA2">
            <w:r>
              <w:rPr>
                <w:rFonts w:ascii="仿宋_GB2312" w:hAnsi="仿宋_GB2312" w:eastAsia="仿宋_GB2312" w:cs="仿宋_GB2312"/>
                <w:sz w:val="32"/>
                <w:u w:color="auto"/>
              </w:rPr>
              <w:t>0%</w:t>
            </w:r>
          </w:p>
        </w:tc>
      </w:tr>
      <w:tr w14:paraId="1B81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096BE8F5">
            <w:r>
              <w:rPr>
                <w:rFonts w:ascii="仿宋_GB2312" w:hAnsi="仿宋_GB2312" w:eastAsia="仿宋_GB2312" w:cs="仿宋_GB2312"/>
                <w:sz w:val="32"/>
                <w:u w:color="auto"/>
              </w:rPr>
              <w:t>5.其他收入</w:t>
            </w:r>
          </w:p>
        </w:tc>
        <w:tc>
          <w:tcPr>
            <w:tcW w:w="1250" w:type="pct"/>
          </w:tcPr>
          <w:p w14:paraId="0D4C6F97"/>
        </w:tc>
        <w:tc>
          <w:tcPr>
            <w:tcW w:w="1250" w:type="pct"/>
          </w:tcPr>
          <w:p w14:paraId="5C22388A">
            <w:r>
              <w:rPr>
                <w:rFonts w:ascii="仿宋_GB2312" w:hAnsi="仿宋_GB2312" w:eastAsia="仿宋_GB2312" w:cs="仿宋_GB2312"/>
                <w:sz w:val="32"/>
                <w:u w:color="auto"/>
              </w:rPr>
              <w:t>-2.93</w:t>
            </w:r>
          </w:p>
        </w:tc>
        <w:tc>
          <w:tcPr>
            <w:tcW w:w="1250" w:type="pct"/>
          </w:tcPr>
          <w:p w14:paraId="63C45F3D">
            <w:r>
              <w:rPr>
                <w:rFonts w:ascii="仿宋_GB2312" w:hAnsi="仿宋_GB2312" w:eastAsia="仿宋_GB2312" w:cs="仿宋_GB2312"/>
                <w:sz w:val="32"/>
                <w:u w:color="auto"/>
              </w:rPr>
              <w:t>-60.95%</w:t>
            </w:r>
          </w:p>
        </w:tc>
      </w:tr>
      <w:tr w14:paraId="28BF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689CF3DF">
            <w:r>
              <w:rPr>
                <w:rFonts w:ascii="仿宋_GB2312" w:hAnsi="仿宋_GB2312" w:eastAsia="仿宋_GB2312" w:cs="仿宋_GB2312"/>
                <w:sz w:val="32"/>
                <w:u w:color="auto"/>
              </w:rPr>
              <w:t>二、业务支出</w:t>
            </w:r>
          </w:p>
        </w:tc>
        <w:tc>
          <w:tcPr>
            <w:tcW w:w="1250" w:type="pct"/>
          </w:tcPr>
          <w:p w14:paraId="40995D73"/>
        </w:tc>
        <w:tc>
          <w:tcPr>
            <w:tcW w:w="1250" w:type="pct"/>
          </w:tcPr>
          <w:p w14:paraId="7B95CFEA">
            <w:r>
              <w:rPr>
                <w:rFonts w:ascii="仿宋_GB2312" w:hAnsi="仿宋_GB2312" w:eastAsia="仿宋_GB2312" w:cs="仿宋_GB2312"/>
                <w:sz w:val="32"/>
                <w:u w:color="auto"/>
              </w:rPr>
              <w:t>-5998.88</w:t>
            </w:r>
          </w:p>
        </w:tc>
        <w:tc>
          <w:tcPr>
            <w:tcW w:w="1250" w:type="pct"/>
          </w:tcPr>
          <w:p w14:paraId="1148D8B9">
            <w:r>
              <w:rPr>
                <w:rFonts w:ascii="仿宋_GB2312" w:hAnsi="仿宋_GB2312" w:eastAsia="仿宋_GB2312" w:cs="仿宋_GB2312"/>
                <w:sz w:val="32"/>
                <w:u w:color="auto"/>
              </w:rPr>
              <w:t>-18.33%</w:t>
            </w:r>
          </w:p>
        </w:tc>
      </w:tr>
      <w:tr w14:paraId="1AFC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5FF7827D">
            <w:r>
              <w:rPr>
                <w:rFonts w:ascii="仿宋_GB2312" w:hAnsi="仿宋_GB2312" w:eastAsia="仿宋_GB2312" w:cs="仿宋_GB2312"/>
                <w:sz w:val="32"/>
                <w:u w:color="auto"/>
              </w:rPr>
              <w:t>1.住房公积金归集手续费支出</w:t>
            </w:r>
          </w:p>
        </w:tc>
        <w:tc>
          <w:tcPr>
            <w:tcW w:w="1250" w:type="pct"/>
          </w:tcPr>
          <w:p w14:paraId="3D95089B"/>
        </w:tc>
        <w:tc>
          <w:tcPr>
            <w:tcW w:w="1250" w:type="pct"/>
          </w:tcPr>
          <w:p w14:paraId="6540BE41">
            <w:r>
              <w:rPr>
                <w:rFonts w:ascii="仿宋_GB2312" w:hAnsi="仿宋_GB2312" w:eastAsia="仿宋_GB2312" w:cs="仿宋_GB2312"/>
                <w:sz w:val="32"/>
                <w:u w:color="auto"/>
              </w:rPr>
              <w:t>-5841.14</w:t>
            </w:r>
          </w:p>
        </w:tc>
        <w:tc>
          <w:tcPr>
            <w:tcW w:w="1250" w:type="pct"/>
          </w:tcPr>
          <w:p w14:paraId="371628A3">
            <w:r>
              <w:rPr>
                <w:rFonts w:ascii="仿宋_GB2312" w:hAnsi="仿宋_GB2312" w:eastAsia="仿宋_GB2312" w:cs="仿宋_GB2312"/>
                <w:sz w:val="32"/>
                <w:u w:color="auto"/>
              </w:rPr>
              <w:t>-18.79%</w:t>
            </w:r>
          </w:p>
        </w:tc>
      </w:tr>
      <w:tr w14:paraId="1CB6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3E484422">
            <w:r>
              <w:rPr>
                <w:rFonts w:ascii="仿宋_GB2312" w:hAnsi="仿宋_GB2312" w:eastAsia="仿宋_GB2312" w:cs="仿宋_GB2312"/>
                <w:sz w:val="32"/>
                <w:u w:color="auto"/>
              </w:rPr>
              <w:t>2.委托贷款手续费支出</w:t>
            </w:r>
          </w:p>
        </w:tc>
        <w:tc>
          <w:tcPr>
            <w:tcW w:w="1250" w:type="pct"/>
          </w:tcPr>
          <w:p w14:paraId="607D697C"/>
        </w:tc>
        <w:tc>
          <w:tcPr>
            <w:tcW w:w="1250" w:type="pct"/>
          </w:tcPr>
          <w:p w14:paraId="639F50A9">
            <w:r>
              <w:rPr>
                <w:rFonts w:ascii="仿宋_GB2312" w:hAnsi="仿宋_GB2312" w:eastAsia="仿宋_GB2312" w:cs="仿宋_GB2312"/>
                <w:sz w:val="32"/>
                <w:u w:color="auto"/>
              </w:rPr>
              <w:t>-325.98</w:t>
            </w:r>
          </w:p>
        </w:tc>
        <w:tc>
          <w:tcPr>
            <w:tcW w:w="1250" w:type="pct"/>
          </w:tcPr>
          <w:p w14:paraId="2222E65E">
            <w:r>
              <w:rPr>
                <w:rFonts w:ascii="仿宋_GB2312" w:hAnsi="仿宋_GB2312" w:eastAsia="仿宋_GB2312" w:cs="仿宋_GB2312"/>
                <w:sz w:val="32"/>
                <w:u w:color="auto"/>
              </w:rPr>
              <w:t>-20.85%</w:t>
            </w:r>
          </w:p>
        </w:tc>
      </w:tr>
      <w:tr w14:paraId="58D2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4B5CBFC9">
            <w:r>
              <w:rPr>
                <w:rFonts w:ascii="仿宋_GB2312" w:hAnsi="仿宋_GB2312" w:eastAsia="仿宋_GB2312" w:cs="仿宋_GB2312"/>
                <w:sz w:val="32"/>
                <w:u w:color="auto"/>
              </w:rPr>
              <w:t>3.其他支出</w:t>
            </w:r>
          </w:p>
        </w:tc>
        <w:tc>
          <w:tcPr>
            <w:tcW w:w="1250" w:type="pct"/>
          </w:tcPr>
          <w:p w14:paraId="46D7E16A"/>
        </w:tc>
        <w:tc>
          <w:tcPr>
            <w:tcW w:w="1250" w:type="pct"/>
          </w:tcPr>
          <w:p w14:paraId="4DDF4AB2">
            <w:r>
              <w:rPr>
                <w:rFonts w:ascii="仿宋_GB2312" w:hAnsi="仿宋_GB2312" w:eastAsia="仿宋_GB2312" w:cs="仿宋_GB2312"/>
                <w:sz w:val="32"/>
                <w:u w:color="auto"/>
              </w:rPr>
              <w:t>168.24</w:t>
            </w:r>
          </w:p>
        </w:tc>
        <w:tc>
          <w:tcPr>
            <w:tcW w:w="1250" w:type="pct"/>
          </w:tcPr>
          <w:p w14:paraId="4E8F4BFE">
            <w:r>
              <w:rPr>
                <w:rFonts w:ascii="仿宋_GB2312" w:hAnsi="仿宋_GB2312" w:eastAsia="仿宋_GB2312" w:cs="仿宋_GB2312"/>
                <w:sz w:val="32"/>
                <w:u w:color="auto"/>
              </w:rPr>
              <w:t>242.39%</w:t>
            </w:r>
          </w:p>
        </w:tc>
      </w:tr>
      <w:tr w14:paraId="0D44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250" w:type="pct"/>
          </w:tcPr>
          <w:p w14:paraId="09D48F22">
            <w:r>
              <w:rPr>
                <w:rFonts w:ascii="仿宋_GB2312" w:hAnsi="仿宋_GB2312" w:eastAsia="仿宋_GB2312" w:cs="仿宋_GB2312"/>
                <w:sz w:val="32"/>
                <w:u w:color="auto"/>
              </w:rPr>
              <w:t>三、增值收益</w:t>
            </w:r>
          </w:p>
        </w:tc>
        <w:tc>
          <w:tcPr>
            <w:tcW w:w="1250" w:type="pct"/>
          </w:tcPr>
          <w:p w14:paraId="54B199F3"/>
        </w:tc>
        <w:tc>
          <w:tcPr>
            <w:tcW w:w="1250" w:type="pct"/>
          </w:tcPr>
          <w:p w14:paraId="37AA25D4">
            <w:r>
              <w:rPr>
                <w:rFonts w:ascii="仿宋_GB2312" w:hAnsi="仿宋_GB2312" w:eastAsia="仿宋_GB2312" w:cs="仿宋_GB2312"/>
                <w:sz w:val="32"/>
                <w:u w:color="auto"/>
              </w:rPr>
              <w:t>-9066.96</w:t>
            </w:r>
          </w:p>
        </w:tc>
        <w:tc>
          <w:tcPr>
            <w:tcW w:w="1250" w:type="pct"/>
          </w:tcPr>
          <w:p w14:paraId="72DB5A4F">
            <w:r>
              <w:rPr>
                <w:rFonts w:ascii="仿宋_GB2312" w:hAnsi="仿宋_GB2312" w:eastAsia="仿宋_GB2312" w:cs="仿宋_GB2312"/>
                <w:sz w:val="32"/>
                <w:u w:color="auto"/>
              </w:rPr>
              <w:t>-43.34%</w:t>
            </w:r>
          </w:p>
        </w:tc>
      </w:tr>
    </w:tbl>
    <w:p w14:paraId="2C4CE0EC">
      <w:pPr>
        <w:spacing w:line="560" w:lineRule="exact"/>
        <w:ind w:firstLine="420" w:firstLineChars="200"/>
        <w:rPr>
          <w:rFonts w:ascii="仿宋_GB2312" w:eastAsia="仿宋_GB2312"/>
          <w:sz w:val="32"/>
          <w:szCs w:val="32"/>
        </w:rPr>
      </w:pPr>
      <w:r>
        <w:t>（八）资金竞争性存放工作回评情况</w:t>
      </w:r>
    </w:p>
    <w:p w14:paraId="1C5D75B5">
      <w:pPr>
        <w:spacing w:line="560" w:lineRule="exact"/>
        <w:ind w:firstLine="640" w:firstLineChars="200"/>
        <w:rPr>
          <w:rFonts w:ascii="仿宋_GB2312" w:eastAsia="仿宋_GB2312"/>
          <w:i/>
          <w:iCs/>
          <w:color w:val="FF0000"/>
          <w:sz w:val="32"/>
          <w:szCs w:val="32"/>
        </w:rPr>
      </w:pPr>
      <w:r>
        <w:rPr>
          <w:rFonts w:ascii="仿宋_GB2312" w:eastAsia="仿宋_GB2312"/>
          <w:i/>
          <w:iCs/>
          <w:color w:val="FF0000"/>
          <w:sz w:val="32"/>
          <w:szCs w:val="32"/>
        </w:rPr>
        <w:t>请人工补充分析</w:t>
      </w:r>
    </w:p>
    <w:p w14:paraId="48796E87">
      <w:pPr>
        <w:spacing w:line="560" w:lineRule="exact"/>
        <w:ind w:firstLine="643" w:firstLineChars="200"/>
        <w:rPr>
          <w:rFonts w:ascii="仿宋_GB2312" w:eastAsia="仿宋_GB2312"/>
          <w:sz w:val="32"/>
          <w:szCs w:val="32"/>
        </w:rPr>
      </w:pPr>
      <w:r>
        <w:rPr>
          <w:rFonts w:hint="eastAsia" w:ascii="楷体_GB2312" w:eastAsia="楷体_GB2312"/>
          <w:b/>
          <w:sz w:val="32"/>
          <w:szCs w:val="32"/>
        </w:rPr>
        <w:t>（九）</w:t>
      </w:r>
      <w:r>
        <w:rPr>
          <w:rFonts w:hint="eastAsia" w:ascii="楷体" w:hAnsi="楷体" w:eastAsia="楷体"/>
          <w:b/>
          <w:sz w:val="32"/>
          <w:szCs w:val="32"/>
        </w:rPr>
        <w:t>各委托银行存款余额情况。</w:t>
      </w:r>
      <w:r>
        <w:rPr>
          <w:rFonts w:ascii="仿宋_GB2312" w:eastAsia="仿宋_GB2312"/>
          <w:sz w:val="32"/>
          <w:szCs w:val="32"/>
        </w:rPr>
        <w:t>12月末全市存款</w:t>
      </w:r>
      <w:r>
        <w:rPr>
          <w:rFonts w:ascii="仿宋_GB2312" w:eastAsia="仿宋_GB2312"/>
          <w:sz w:val="32"/>
          <w:u w:color="auto"/>
        </w:rPr>
        <w:t>0亿元，其中住房公积金存款0亿元，增值收益存款0亿元。年末全市存款较年初增加0亿元，其中住房公积金存款增加0亿元，增值收益存款减少0亿元。</w:t>
      </w:r>
    </w:p>
    <w:p w14:paraId="75921FB6">
      <w:pPr>
        <w:rPr>
          <w:rFonts w:ascii="仿宋_GB2312" w:eastAsia="仿宋_GB2312"/>
          <w:sz w:val="32"/>
          <w:szCs w:val="32"/>
        </w:rPr>
      </w:pPr>
      <w:r>
        <w:rPr>
          <w:rFonts w:hint="eastAsia" w:ascii="仿宋_GB2312" w:eastAsia="仿宋_GB2312"/>
          <w:sz w:val="32"/>
          <w:szCs w:val="32"/>
        </w:rPr>
        <w:drawing>
          <wp:inline distT="0" distB="0" distL="0" distR="0">
            <wp:extent cx="5274310" cy="3076575"/>
            <wp:effectExtent l="5080" t="4445" r="16510" b="5080"/>
            <wp:docPr id="19" name="图表 19" descr="{{jynyhckyebdqk}}"/>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1D76DD3">
      <w:pPr>
        <w:spacing w:line="560" w:lineRule="exact"/>
        <w:ind w:firstLine="640" w:firstLineChars="200"/>
        <w:rPr>
          <w:rFonts w:ascii="仿宋_GB2312" w:eastAsia="仿宋_GB2312"/>
          <w:sz w:val="32"/>
          <w:szCs w:val="32"/>
        </w:rPr>
      </w:pPr>
      <w:r>
        <w:rPr>
          <w:rFonts w:ascii="仿宋_GB2312" w:eastAsia="仿宋_GB2312"/>
          <w:sz w:val="32"/>
          <w:szCs w:val="32"/>
        </w:rPr>
        <w:t>2026</w:t>
      </w:r>
      <w:r>
        <w:rPr>
          <w:rFonts w:ascii="仿宋_GB2312" w:eastAsia="仿宋_GB2312"/>
          <w:sz w:val="32"/>
          <w:u w:color="auto"/>
        </w:rPr>
        <w:t>年共有0家银行存款金额增加，银行存款增加最多的为亿元，其次为中国建设银行49.48亿元、中国农业银行14.05亿元、中国工商银行12.9亿元、中国邮政储蓄银行10.93亿元、中国银行2.76亿元、恒丰银行2.08亿元、交通银行1.53亿元、山东省农村信用社联合社0.56亿元、枣庄银行0.52亿元、青岛银行0亿元、滕州农商行0亿元、日照银行0亿元；共有0家银行存款金额减少，</w:t>
      </w:r>
      <w:r>
        <w:rPr>
          <w:rFonts w:ascii="仿宋_GB2312" w:eastAsia="仿宋_GB2312"/>
          <w:i/>
          <w:iCs/>
          <w:color w:val="FF0000"/>
          <w:sz w:val="32"/>
          <w:szCs w:val="32"/>
        </w:rPr>
        <w:t>请人工补充分析</w:t>
      </w:r>
      <w:r>
        <w:rPr>
          <w:rFonts w:ascii="仿宋_GB2312" w:eastAsia="仿宋_GB2312"/>
          <w:sz w:val="32"/>
          <w:szCs w:val="32"/>
        </w:rPr>
        <w:t>。银行存款变化情况主要是受住房公积金资金存款变化及定期存款的因素影响。具体银行存款变化情况如下表所示：</w:t>
      </w:r>
    </w:p>
    <w:p w14:paraId="409CEFEC">
      <w:pPr>
        <w:spacing w:line="560" w:lineRule="exact"/>
        <w:jc w:val="center"/>
        <w:rPr>
          <w:rFonts w:ascii="宋体" w:hAnsi="宋体" w:eastAsia="宋体"/>
          <w:b/>
          <w:bCs/>
          <w:sz w:val="28"/>
          <w:szCs w:val="28"/>
        </w:rPr>
      </w:pPr>
      <w:r>
        <w:rPr>
          <w:rFonts w:hint="eastAsia" w:ascii="宋体" w:hAnsi="宋体" w:eastAsia="宋体"/>
          <w:b/>
          <w:bCs/>
          <w:sz w:val="28"/>
          <w:szCs w:val="28"/>
        </w:rPr>
        <w:t>银行存款变化情况表（单位：亿元）</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7" w:type="dxa"/>
          <w:bottom w:w="0" w:type="dxa"/>
          <w:right w:w="107" w:type="dxa"/>
        </w:tblCellMar>
      </w:tblPr>
      <w:tblGrid>
        <w:gridCol w:w="1704"/>
        <w:gridCol w:w="1704"/>
        <w:gridCol w:w="1704"/>
        <w:gridCol w:w="1704"/>
        <w:gridCol w:w="1704"/>
      </w:tblGrid>
      <w:tr w14:paraId="2741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3C8B1E99">
            <w:r>
              <w:rPr>
                <w:rFonts w:ascii="仿宋_GB2312" w:hAnsi="仿宋_GB2312" w:eastAsia="仿宋_GB2312" w:cs="仿宋_GB2312"/>
                <w:sz w:val="32"/>
                <w:u w:color="auto"/>
              </w:rPr>
              <w:t>委托银行</w:t>
            </w:r>
          </w:p>
        </w:tc>
        <w:tc>
          <w:tcPr>
            <w:tcW w:w="1000" w:type="pct"/>
          </w:tcPr>
          <w:p w14:paraId="49018E2E">
            <w:r>
              <w:rPr>
                <w:rFonts w:ascii="仿宋_GB2312" w:hAnsi="仿宋_GB2312" w:eastAsia="仿宋_GB2312" w:cs="仿宋_GB2312"/>
                <w:sz w:val="32"/>
                <w:u w:color="auto"/>
              </w:rPr>
              <w:t>年末存款总额</w:t>
            </w:r>
          </w:p>
        </w:tc>
        <w:tc>
          <w:tcPr>
            <w:tcW w:w="1000" w:type="pct"/>
          </w:tcPr>
          <w:p w14:paraId="3CC73F06">
            <w:r>
              <w:rPr>
                <w:rFonts w:ascii="仿宋_GB2312" w:hAnsi="仿宋_GB2312" w:eastAsia="仿宋_GB2312" w:cs="仿宋_GB2312"/>
                <w:sz w:val="32"/>
                <w:u w:color="auto"/>
              </w:rPr>
              <w:t>较年初变动金额</w:t>
            </w:r>
          </w:p>
        </w:tc>
        <w:tc>
          <w:tcPr>
            <w:tcW w:w="1000" w:type="pct"/>
          </w:tcPr>
          <w:p w14:paraId="3DECD4F0">
            <w:r>
              <w:rPr>
                <w:rFonts w:ascii="仿宋_GB2312" w:hAnsi="仿宋_GB2312" w:eastAsia="仿宋_GB2312" w:cs="仿宋_GB2312"/>
                <w:sz w:val="32"/>
                <w:u w:color="auto"/>
              </w:rPr>
              <w:t>变动百分比</w:t>
            </w:r>
          </w:p>
        </w:tc>
        <w:tc>
          <w:tcPr>
            <w:tcW w:w="1000" w:type="pct"/>
          </w:tcPr>
          <w:p w14:paraId="3EA098B2">
            <w:r>
              <w:rPr>
                <w:rFonts w:ascii="仿宋_GB2312" w:hAnsi="仿宋_GB2312" w:eastAsia="仿宋_GB2312" w:cs="仿宋_GB2312"/>
                <w:sz w:val="32"/>
                <w:u w:color="auto"/>
              </w:rPr>
              <w:t>环比变动金额</w:t>
            </w:r>
          </w:p>
        </w:tc>
      </w:tr>
      <w:tr w14:paraId="4BD7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c>
          <w:tcPr>
            <w:tcW w:w="1000" w:type="pct"/>
          </w:tcPr>
          <w:p w14:paraId="2B322826">
            <w:r>
              <w:rPr>
                <w:rFonts w:ascii="仿宋_GB2312" w:hAnsi="仿宋_GB2312" w:eastAsia="仿宋_GB2312" w:cs="仿宋_GB2312"/>
                <w:sz w:val="32"/>
                <w:u w:color="auto"/>
              </w:rPr>
              <w:t>无数据</w:t>
            </w:r>
          </w:p>
        </w:tc>
        <w:tc>
          <w:tcPr>
            <w:tcW w:w="1000" w:type="pct"/>
          </w:tcPr>
          <w:p w14:paraId="0B04FEFB">
            <w:r>
              <w:rPr>
                <w:rFonts w:ascii="仿宋_GB2312" w:hAnsi="仿宋_GB2312" w:eastAsia="仿宋_GB2312" w:cs="仿宋_GB2312"/>
                <w:sz w:val="32"/>
                <w:u w:color="auto"/>
              </w:rPr>
              <w:t>0</w:t>
            </w:r>
          </w:p>
        </w:tc>
        <w:tc>
          <w:tcPr>
            <w:tcW w:w="1000" w:type="pct"/>
          </w:tcPr>
          <w:p w14:paraId="5875BCF6">
            <w:r>
              <w:rPr>
                <w:rFonts w:ascii="仿宋_GB2312" w:hAnsi="仿宋_GB2312" w:eastAsia="仿宋_GB2312" w:cs="仿宋_GB2312"/>
                <w:sz w:val="32"/>
                <w:u w:color="auto"/>
              </w:rPr>
              <w:t>0</w:t>
            </w:r>
          </w:p>
        </w:tc>
        <w:tc>
          <w:tcPr>
            <w:tcW w:w="1000" w:type="pct"/>
          </w:tcPr>
          <w:p w14:paraId="04002AA4">
            <w:r>
              <w:rPr>
                <w:rFonts w:ascii="仿宋_GB2312" w:hAnsi="仿宋_GB2312" w:eastAsia="仿宋_GB2312" w:cs="仿宋_GB2312"/>
                <w:sz w:val="32"/>
                <w:u w:color="auto"/>
              </w:rPr>
              <w:t>0</w:t>
            </w:r>
          </w:p>
        </w:tc>
        <w:tc>
          <w:tcPr>
            <w:tcW w:w="1000" w:type="pct"/>
          </w:tcPr>
          <w:p w14:paraId="5237DC6E">
            <w:r>
              <w:rPr>
                <w:rFonts w:ascii="仿宋_GB2312" w:hAnsi="仿宋_GB2312" w:eastAsia="仿宋_GB2312" w:cs="仿宋_GB2312"/>
                <w:sz w:val="32"/>
                <w:u w:color="auto"/>
              </w:rPr>
              <w:t>0</w:t>
            </w:r>
          </w:p>
        </w:tc>
      </w:tr>
    </w:tbl>
    <w:p w14:paraId="0EDA16CB">
      <w:pPr>
        <w:spacing w:line="560" w:lineRule="exact"/>
        <w:ind w:firstLine="420" w:firstLineChars="200"/>
        <w:rPr>
          <w:rFonts w:ascii="仿宋_GB2312" w:eastAsia="仿宋_GB2312"/>
          <w:sz w:val="32"/>
          <w:szCs w:val="32"/>
        </w:rPr>
      </w:pPr>
      <w:r>
        <w:t>12月末银行存款余额占比在10%以上有无数据占比0%。无数据较年初下降0%，占比变动主要受支持住房消费额总体回落，说明枣庄住房消费需求仍处于恢复阶段，政策支持效应已从“扩大规模”逐步转向“稳定预期”和“改善结构”。提取和贷款两端对住房消费的支撑依然明显，但新增购房需求释放不足，使总量较去年同期有所下降。。</w:t>
      </w:r>
    </w:p>
    <w:p w14:paraId="5FA92084">
      <w:pPr>
        <w:rPr>
          <w:rFonts w:ascii="仿宋_GB2312" w:eastAsia="仿宋_GB2312"/>
          <w:sz w:val="32"/>
          <w:szCs w:val="32"/>
        </w:rPr>
      </w:pPr>
      <w:r>
        <w:rPr>
          <w:rFonts w:hint="eastAsia" w:ascii="黑体" w:eastAsia="黑体"/>
          <w:sz w:val="32"/>
          <w:szCs w:val="32"/>
        </w:rPr>
        <w:drawing>
          <wp:inline distT="0" distB="0" distL="0" distR="0">
            <wp:extent cx="5274310" cy="3076575"/>
            <wp:effectExtent l="5080" t="4445" r="16510" b="5080"/>
            <wp:docPr id="21" name="图表 21" descr="{{yhckyezbqk}}"/>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6515FAF">
      <w:pPr>
        <w:spacing w:line="560" w:lineRule="exact"/>
        <w:ind w:firstLine="420" w:firstLineChars="200"/>
        <w:rPr>
          <w:rFonts w:ascii="黑体" w:eastAsia="黑体"/>
          <w:sz w:val="32"/>
          <w:szCs w:val="32"/>
        </w:rPr>
      </w:pPr>
      <w:r>
        <w:t>三、2026年资金运行主要问题</w:t>
      </w:r>
    </w:p>
    <w:p w14:paraId="2AD0C6D2">
      <w:pPr>
        <w:spacing w:line="560" w:lineRule="exact"/>
        <w:ind w:firstLine="640" w:firstLineChars="200"/>
        <w:rPr>
          <w:rFonts w:ascii="仿宋_GB2312" w:eastAsia="仿宋_GB2312"/>
          <w:sz w:val="32"/>
          <w:szCs w:val="32"/>
        </w:rPr>
      </w:pPr>
      <w:r>
        <w:rPr>
          <w:rFonts w:hint="eastAsia" w:ascii="仿宋_GB2312" w:eastAsia="仿宋_GB2312"/>
          <w:sz w:val="32"/>
          <w:szCs w:val="32"/>
        </w:rPr>
        <w:t>通过分析全年资金运行情况，主要存在以下问题：</w:t>
      </w:r>
    </w:p>
    <w:p w14:paraId="26681EB6">
      <w:pPr>
        <w:spacing w:line="560" w:lineRule="exact"/>
        <w:ind w:firstLine="640" w:firstLineChars="200"/>
        <w:rPr>
          <w:rFonts w:ascii="仿宋_GB2312" w:eastAsia="仿宋_GB2312"/>
          <w:sz w:val="32"/>
          <w:szCs w:val="32"/>
        </w:rPr>
      </w:pP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36EFD58">
      <w:pPr>
        <w:spacing w:line="560" w:lineRule="exact"/>
        <w:ind w:firstLine="640" w:firstLineChars="200"/>
        <w:rPr>
          <w:rFonts w:ascii="黑体" w:eastAsia="黑体"/>
          <w:sz w:val="32"/>
          <w:szCs w:val="32"/>
        </w:rPr>
      </w:pPr>
      <w:r>
        <w:rPr>
          <w:rFonts w:hint="eastAsia" w:ascii="黑体" w:eastAsia="黑体"/>
          <w:sz w:val="32"/>
          <w:szCs w:val="32"/>
        </w:rPr>
        <w:t>四、</w:t>
      </w:r>
      <w:r>
        <w:rPr>
          <w:rFonts w:ascii="黑体" w:eastAsia="黑体"/>
          <w:sz w:val="32"/>
          <w:szCs w:val="32"/>
        </w:rPr>
        <w:t>2027</w:t>
      </w:r>
      <w:r>
        <w:rPr>
          <w:rFonts w:hint="eastAsia" w:ascii="黑体" w:eastAsia="黑体"/>
          <w:sz w:val="32"/>
          <w:szCs w:val="32"/>
        </w:rPr>
        <w:t>年资金运行建议</w:t>
      </w:r>
    </w:p>
    <w:p w14:paraId="53F9C88C">
      <w:pPr>
        <w:spacing w:line="560" w:lineRule="exact"/>
        <w:ind w:firstLine="420" w:firstLineChars="200"/>
        <w:rPr>
          <w:rFonts w:ascii="仿宋_GB2312" w:eastAsia="仿宋_GB2312"/>
          <w:sz w:val="32"/>
          <w:szCs w:val="32"/>
        </w:rPr>
      </w:pPr>
      <w:r>
        <w:t>为保障住房公积金资金运行更平稳、更高效，推动资金管理取得更大效益，建议2027年资金运行着重要抓好以下四方面：</w:t>
      </w:r>
    </w:p>
    <w:p w14:paraId="308F89D0">
      <w:pPr>
        <w:spacing w:line="560" w:lineRule="exact"/>
        <w:ind w:firstLine="640" w:firstLineChars="200"/>
        <w:rPr>
          <w:rFonts w:ascii="仿宋_GB2312" w:eastAsia="仿宋_GB2312"/>
          <w:sz w:val="32"/>
          <w:szCs w:val="32"/>
        </w:rPr>
      </w:pPr>
      <w:r>
        <w:rPr>
          <w:rFonts w:hint="eastAsia" w:ascii="仿宋_GB2312" w:eastAsia="仿宋_GB2312"/>
          <w:sz w:val="32"/>
          <w:szCs w:val="32"/>
        </w:rPr>
        <w:t>（一）</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0DA6BA12">
      <w:pPr>
        <w:spacing w:line="560" w:lineRule="exact"/>
        <w:ind w:firstLine="640" w:firstLineChars="200"/>
        <w:rPr>
          <w:rFonts w:ascii="仿宋_GB2312" w:eastAsia="仿宋_GB2312"/>
          <w:sz w:val="32"/>
          <w:szCs w:val="32"/>
        </w:rPr>
      </w:pPr>
      <w:r>
        <w:rPr>
          <w:rFonts w:hint="eastAsia" w:ascii="仿宋_GB2312" w:eastAsia="仿宋_GB2312"/>
          <w:sz w:val="32"/>
          <w:szCs w:val="32"/>
        </w:rPr>
        <w:t>（二）</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503CFF48">
      <w:pPr>
        <w:spacing w:line="560" w:lineRule="exact"/>
        <w:ind w:firstLine="420" w:firstLineChars="200"/>
        <w:rPr>
          <w:rFonts w:ascii="仿宋_GB2312" w:eastAsia="仿宋_GB2312"/>
          <w:sz w:val="32"/>
          <w:szCs w:val="32"/>
        </w:rPr>
      </w:pPr>
      <w:r>
        <w:t>（三）受人口集聚、房地产市场热度和贷款政策执行节奏影响明显。</w:t>
      </w:r>
    </w:p>
    <w:p w14:paraId="4F1A5694">
      <w:pPr>
        <w:spacing w:line="560" w:lineRule="exact"/>
        <w:ind w:firstLine="640" w:firstLineChars="200"/>
        <w:rPr>
          <w:rFonts w:ascii="仿宋_GB2312" w:eastAsia="仿宋_GB2312"/>
          <w:sz w:val="32"/>
          <w:szCs w:val="32"/>
        </w:rPr>
      </w:pPr>
      <w:r>
        <w:rPr>
          <w:rFonts w:hint="eastAsia" w:ascii="仿宋_GB2312" w:eastAsia="仿宋_GB2312"/>
          <w:sz w:val="32"/>
          <w:szCs w:val="32"/>
        </w:rPr>
        <w:t>（四）</w:t>
      </w:r>
      <w:r>
        <w:rPr>
          <w:rFonts w:hint="eastAsia" w:ascii="仿宋_GB2312" w:eastAsia="仿宋_GB2312"/>
          <w:i/>
          <w:iCs/>
          <w:color w:val="FF0000"/>
          <w:sz w:val="32"/>
          <w:szCs w:val="32"/>
        </w:rPr>
        <w:t>请人工补充分析</w:t>
      </w:r>
      <w:r>
        <w:rPr>
          <w:rFonts w:hint="eastAsia" w:ascii="仿宋_GB2312" w:eastAsia="仿宋_GB2312"/>
          <w:sz w:val="32"/>
          <w:szCs w:val="32"/>
        </w:rPr>
        <w:t>。</w:t>
      </w:r>
    </w:p>
    <w:p w14:paraId="40785B69">
      <w:pPr>
        <w:spacing w:line="560" w:lineRule="exact"/>
        <w:ind w:firstLine="640" w:firstLineChars="200"/>
        <w:rPr>
          <w:rFonts w:ascii="仿宋_GB2312" w:eastAsia="仿宋_GB2312"/>
          <w:sz w:val="32"/>
          <w:szCs w:val="32"/>
        </w:rPr>
      </w:pPr>
    </w:p>
    <w:p w14:paraId="64579758">
      <w:pPr>
        <w:spacing w:line="560" w:lineRule="exact"/>
        <w:ind w:firstLine="640" w:firstLineChars="200"/>
        <w:rPr>
          <w:rFonts w:ascii="仿宋_GB2312" w:eastAsia="仿宋_GB2312"/>
          <w:sz w:val="32"/>
          <w:szCs w:val="32"/>
        </w:rPr>
      </w:pPr>
    </w:p>
    <w:p w14:paraId="0F5600C2">
      <w:pPr>
        <w:spacing w:line="560" w:lineRule="exact"/>
        <w:ind w:firstLine="640" w:firstLineChars="200"/>
        <w:rPr>
          <w:rFonts w:ascii="仿宋_GB2312" w:eastAsia="仿宋_GB2312"/>
          <w:sz w:val="32"/>
          <w:szCs w:val="32"/>
        </w:rPr>
      </w:pPr>
    </w:p>
    <w:p w14:paraId="7167DAA1">
      <w:pPr>
        <w:spacing w:line="560" w:lineRule="exact"/>
        <w:ind w:firstLine="6400" w:firstLineChars="2000"/>
        <w:jc w:val="right"/>
        <w:rPr>
          <w:rFonts w:ascii="仿宋_GB2312" w:eastAsia="仿宋_GB2312"/>
          <w:sz w:val="32"/>
          <w:szCs w:val="32"/>
        </w:rPr>
      </w:pPr>
      <w:r>
        <w:rPr>
          <w:rFonts w:hint="eastAsia" w:ascii="仿宋_GB2312" w:eastAsia="仿宋_GB2312"/>
          <w:sz w:val="32"/>
          <w:szCs w:val="32"/>
        </w:rPr>
        <w:t>计划财务处</w:t>
      </w:r>
    </w:p>
    <w:p w14:paraId="383B4F9F">
      <w:pPr>
        <w:spacing w:line="560" w:lineRule="exact"/>
        <w:jc w:val="right"/>
        <w:rPr>
          <w:rFonts w:ascii="仿宋_GB2312" w:eastAsia="仿宋_GB2312"/>
          <w:sz w:val="32"/>
          <w:szCs w:val="32"/>
        </w:rPr>
      </w:pPr>
      <w:r>
        <w:t>2026年10月20日</w:t>
      </w:r>
    </w:p>
    <w:p w14:paraId="566A476C">
      <w:pPr>
        <w:spacing w:line="560" w:lineRule="exact"/>
        <w:ind w:firstLine="640" w:firstLineChars="200"/>
        <w:rPr>
          <w:rFonts w:ascii="仿宋_GB2312" w:eastAsia="仿宋_GB2312"/>
          <w:sz w:val="32"/>
          <w:szCs w:val="32"/>
        </w:rPr>
      </w:pPr>
    </w:p>
    <w:p w14:paraId="4642F112">
      <w:pPr>
        <w:spacing w:line="560" w:lineRule="exact"/>
        <w:ind w:firstLine="640" w:firstLineChars="200"/>
        <w:rPr>
          <w:rFonts w:ascii="仿宋_GB2312" w:eastAsia="仿宋_GB2312"/>
          <w:sz w:val="32"/>
          <w:szCs w:val="32"/>
        </w:rPr>
      </w:pPr>
    </w:p>
    <w:p w14:paraId="11271C87">
      <w:pPr>
        <w:spacing w:line="560" w:lineRule="exact"/>
        <w:rPr>
          <w:rFonts w:ascii="仿宋_GB2312" w:eastAsia="仿宋_GB2312"/>
          <w:sz w:val="32"/>
          <w:szCs w:val="32"/>
        </w:rPr>
      </w:pPr>
    </w:p>
    <w:p w14:paraId="247E2A7B">
      <w:pPr>
        <w:spacing w:line="560" w:lineRule="exact"/>
        <w:rPr>
          <w:rFonts w:ascii="仿宋_GB2312" w:eastAsia="仿宋_GB2312"/>
          <w:sz w:val="32"/>
          <w:szCs w:val="32"/>
        </w:rPr>
      </w:pPr>
    </w:p>
    <w:p w14:paraId="17307672">
      <w:pPr>
        <w:spacing w:line="560" w:lineRule="exact"/>
        <w:ind w:firstLine="640" w:firstLineChars="200"/>
        <w:rPr>
          <w:rFonts w:ascii="仿宋_GB2312" w:eastAsia="仿宋_GB2312"/>
          <w:sz w:val="32"/>
          <w:szCs w:val="32"/>
        </w:rPr>
      </w:pPr>
    </w:p>
    <w:p w14:paraId="393CAB03">
      <w:pPr>
        <w:rPr>
          <w:rFonts w:ascii="仿宋_GB2312" w:eastAsia="仿宋_GB2312"/>
          <w:sz w:val="32"/>
          <w:szCs w:val="32"/>
        </w:rPr>
      </w:pPr>
    </w:p>
    <w:p w14:paraId="67796363">
      <w:pPr>
        <w:spacing w:line="560" w:lineRule="exact"/>
        <w:ind w:firstLine="640" w:firstLineChars="200"/>
        <w:rPr>
          <w:rFonts w:ascii="仿宋_GB2312" w:eastAsia="仿宋_GB2312"/>
          <w:sz w:val="32"/>
          <w:szCs w:val="32"/>
        </w:rPr>
      </w:pPr>
    </w:p>
    <w:p w14:paraId="36E6A9E0">
      <w:pPr>
        <w:spacing w:line="560" w:lineRule="exact"/>
        <w:ind w:firstLine="640" w:firstLineChars="200"/>
        <w:rPr>
          <w:rFonts w:ascii="仿宋_GB2312" w:eastAsia="仿宋_GB2312"/>
          <w:sz w:val="32"/>
          <w:szCs w:val="32"/>
        </w:rPr>
      </w:pPr>
    </w:p>
    <w:p w14:paraId="4A0FD935">
      <w:pPr>
        <w:spacing w:line="560" w:lineRule="exact"/>
        <w:ind w:firstLine="640" w:firstLineChars="200"/>
        <w:rPr>
          <w:rFonts w:ascii="仿宋_GB2312" w:eastAsia="仿宋_GB2312"/>
          <w:sz w:val="32"/>
          <w:szCs w:val="32"/>
        </w:rPr>
      </w:pPr>
    </w:p>
    <w:p w14:paraId="5D0C9022">
      <w:pPr>
        <w:spacing w:line="560" w:lineRule="exact"/>
        <w:ind w:firstLine="643" w:firstLineChars="200"/>
        <w:rPr>
          <w:rFonts w:ascii="楷体" w:hAnsi="楷体" w:eastAsia="楷体"/>
          <w:b/>
          <w:sz w:val="32"/>
          <w:szCs w:val="32"/>
        </w:rPr>
      </w:pPr>
    </w:p>
    <w:p w14:paraId="460245F0">
      <w:pPr>
        <w:spacing w:line="560" w:lineRule="exact"/>
        <w:ind w:firstLine="640" w:firstLineChars="200"/>
        <w:rPr>
          <w:rFonts w:ascii="仿宋_GB2312" w:eastAsia="仿宋_GB2312"/>
          <w:sz w:val="32"/>
          <w:szCs w:val="32"/>
        </w:rPr>
      </w:pPr>
    </w:p>
    <w:p w14:paraId="6041DD01">
      <w:pPr>
        <w:spacing w:line="560" w:lineRule="exact"/>
        <w:ind w:firstLine="640" w:firstLineChars="200"/>
        <w:rPr>
          <w:rFonts w:ascii="仿宋_GB2312" w:eastAsia="仿宋_GB2312"/>
          <w:sz w:val="32"/>
          <w:szCs w:val="32"/>
        </w:rPr>
      </w:pPr>
    </w:p>
    <w:p w14:paraId="59C860E1">
      <w:pPr>
        <w:spacing w:line="560" w:lineRule="exact"/>
        <w:ind w:firstLine="640" w:firstLineChars="200"/>
        <w:rPr>
          <w:rFonts w:ascii="仿宋_GB2312" w:eastAsia="仿宋_GB2312"/>
          <w:sz w:val="32"/>
          <w:szCs w:val="32"/>
        </w:rPr>
      </w:pPr>
    </w:p>
    <w:p w14:paraId="773978B1">
      <w:pPr>
        <w:spacing w:line="560" w:lineRule="exact"/>
        <w:ind w:firstLine="643" w:firstLineChars="200"/>
        <w:rPr>
          <w:rFonts w:ascii="仿宋_GB2312" w:eastAsia="仿宋_GB2312"/>
          <w:b/>
          <w:sz w:val="32"/>
          <w:szCs w:val="32"/>
        </w:rPr>
      </w:pPr>
    </w:p>
    <w:p w14:paraId="72D82026">
      <w:pPr>
        <w:spacing w:line="560" w:lineRule="exact"/>
        <w:ind w:firstLine="640" w:firstLineChars="200"/>
        <w:rPr>
          <w:rFonts w:ascii="仿宋_GB2312" w:eastAsia="仿宋_GB2312"/>
          <w:sz w:val="32"/>
          <w:szCs w:val="32"/>
        </w:rPr>
      </w:pPr>
    </w:p>
    <w:p w14:paraId="685649C3">
      <w:pPr>
        <w:spacing w:line="560" w:lineRule="exact"/>
        <w:ind w:firstLine="640" w:firstLineChars="200"/>
        <w:rPr>
          <w:rFonts w:ascii="仿宋_GB2312" w:eastAsia="仿宋_GB2312"/>
          <w:sz w:val="32"/>
          <w:szCs w:val="32"/>
        </w:rPr>
      </w:pPr>
    </w:p>
    <w:p w14:paraId="5158B6B3">
      <w:pPr>
        <w:spacing w:line="560" w:lineRule="exact"/>
        <w:ind w:firstLine="640" w:firstLineChars="200"/>
        <w:rPr>
          <w:rFonts w:ascii="仿宋_GB2312" w:eastAsia="仿宋_GB2312"/>
          <w:sz w:val="32"/>
          <w:szCs w:val="32"/>
        </w:rPr>
      </w:pPr>
    </w:p>
    <w:p w14:paraId="5365CA57">
      <w:pPr>
        <w:spacing w:line="560" w:lineRule="exact"/>
        <w:ind w:firstLine="640" w:firstLineChars="200"/>
        <w:rPr>
          <w:rFonts w:ascii="仿宋_GB2312" w:eastAsia="仿宋_GB2312"/>
          <w:sz w:val="32"/>
          <w:szCs w:val="32"/>
        </w:rPr>
      </w:pPr>
    </w:p>
    <w:p w14:paraId="0310593B">
      <w:pPr>
        <w:spacing w:line="560" w:lineRule="exact"/>
        <w:ind w:firstLine="640" w:firstLineChars="200"/>
        <w:rPr>
          <w:rFonts w:ascii="仿宋_GB2312" w:eastAsia="仿宋_GB2312"/>
          <w:sz w:val="32"/>
          <w:szCs w:val="32"/>
        </w:rPr>
      </w:pPr>
    </w:p>
    <w:p w14:paraId="253BD5F2">
      <w:pPr>
        <w:spacing w:line="560" w:lineRule="exact"/>
        <w:ind w:firstLine="640" w:firstLineChars="200"/>
        <w:rPr>
          <w:rFonts w:ascii="仿宋_GB2312" w:eastAsia="仿宋_GB2312"/>
          <w:sz w:val="32"/>
          <w:szCs w:val="32"/>
        </w:rPr>
      </w:pPr>
    </w:p>
    <w:p w14:paraId="038B7086">
      <w:pPr>
        <w:spacing w:line="560" w:lineRule="exact"/>
        <w:ind w:firstLine="640" w:firstLineChars="200"/>
        <w:rPr>
          <w:rFonts w:ascii="仿宋_GB2312" w:eastAsia="仿宋_GB2312"/>
          <w:sz w:val="32"/>
          <w:szCs w:val="32"/>
        </w:rPr>
      </w:pPr>
    </w:p>
    <w:p w14:paraId="1768735D">
      <w:pPr>
        <w:spacing w:line="560" w:lineRule="exact"/>
        <w:ind w:firstLine="640" w:firstLineChars="200"/>
        <w:rPr>
          <w:rFonts w:ascii="仿宋_GB2312" w:eastAsia="仿宋_GB2312"/>
          <w:sz w:val="32"/>
          <w:szCs w:val="32"/>
        </w:rPr>
      </w:pPr>
    </w:p>
    <w:p w14:paraId="1D1E707B">
      <w:pPr>
        <w:spacing w:line="560" w:lineRule="exact"/>
        <w:rPr>
          <w:rFonts w:ascii="仿宋_GB2312" w:eastAsia="仿宋_GB2312"/>
          <w:sz w:val="32"/>
          <w:szCs w:val="32"/>
        </w:rPr>
      </w:pPr>
    </w:p>
    <w:p w14:paraId="33CDF347">
      <w:pPr>
        <w:spacing w:line="560" w:lineRule="exact"/>
        <w:ind w:firstLine="640" w:firstLineChars="200"/>
        <w:rPr>
          <w:rFonts w:ascii="仿宋_GB2312" w:eastAsia="仿宋_GB2312"/>
          <w:sz w:val="32"/>
          <w:szCs w:val="32"/>
        </w:rPr>
      </w:pPr>
    </w:p>
    <w:p w14:paraId="7EFAC767">
      <w:pPr>
        <w:spacing w:line="560" w:lineRule="exact"/>
        <w:ind w:firstLine="640" w:firstLineChars="200"/>
        <w:rPr>
          <w:rFonts w:ascii="仿宋_GB2312" w:eastAsia="仿宋_GB2312"/>
          <w:sz w:val="32"/>
          <w:szCs w:val="32"/>
        </w:rPr>
      </w:pPr>
    </w:p>
    <w:p w14:paraId="75C0A7BC">
      <w:pPr>
        <w:spacing w:line="560" w:lineRule="exact"/>
        <w:rPr>
          <w:rFonts w:ascii="仿宋_GB2312" w:eastAsia="仿宋_GB2312"/>
          <w:sz w:val="32"/>
          <w:szCs w:val="32"/>
        </w:rPr>
      </w:pPr>
    </w:p>
    <w:p w14:paraId="7AEFD818">
      <w:pPr>
        <w:spacing w:line="560" w:lineRule="exact"/>
        <w:jc w:val="center"/>
        <w:rPr>
          <w:rFonts w:ascii="宋体" w:hAnsi="宋体" w:eastAsia="宋体"/>
          <w:b/>
          <w:bCs/>
          <w:sz w:val="28"/>
          <w:szCs w:val="28"/>
        </w:rPr>
      </w:pPr>
    </w:p>
    <w:p w14:paraId="5E421A36">
      <w:pPr>
        <w:spacing w:line="560" w:lineRule="exact"/>
        <w:ind w:firstLine="640" w:firstLineChars="200"/>
        <w:rPr>
          <w:rFonts w:ascii="仿宋_GB2312" w:eastAsia="仿宋_GB2312"/>
          <w:sz w:val="32"/>
          <w:szCs w:val="32"/>
        </w:rPr>
      </w:pPr>
    </w:p>
    <w:p w14:paraId="28F46F72">
      <w:pPr>
        <w:spacing w:line="560" w:lineRule="exact"/>
        <w:rPr>
          <w:rFonts w:ascii="仿宋_GB2312" w:eastAsia="仿宋_GB2312"/>
          <w:sz w:val="32"/>
          <w:szCs w:val="32"/>
        </w:rPr>
      </w:pPr>
    </w:p>
    <w:p w14:paraId="44643C7C">
      <w:pPr>
        <w:spacing w:line="560" w:lineRule="exact"/>
        <w:ind w:firstLine="640" w:firstLineChars="200"/>
        <w:rPr>
          <w:rFonts w:ascii="仿宋_GB2312" w:eastAsia="仿宋_GB2312"/>
          <w:sz w:val="32"/>
          <w:szCs w:val="32"/>
        </w:rPr>
      </w:pPr>
    </w:p>
    <w:p w14:paraId="5471333E">
      <w:pPr>
        <w:spacing w:line="560" w:lineRule="exact"/>
        <w:ind w:firstLine="640" w:firstLineChars="200"/>
        <w:rPr>
          <w:rFonts w:ascii="仿宋_GB2312" w:eastAsia="仿宋_GB2312"/>
          <w:sz w:val="32"/>
          <w:szCs w:val="32"/>
        </w:rPr>
      </w:pPr>
    </w:p>
    <w:p w14:paraId="15C7B555">
      <w:pPr>
        <w:spacing w:line="560" w:lineRule="exact"/>
        <w:ind w:firstLine="640" w:firstLineChars="200"/>
        <w:rPr>
          <w:rFonts w:ascii="仿宋_GB2312" w:eastAsia="仿宋_GB2312"/>
          <w:sz w:val="32"/>
          <w:szCs w:val="32"/>
        </w:rPr>
      </w:pPr>
    </w:p>
    <w:p w14:paraId="29842F42">
      <w:pPr>
        <w:spacing w:line="560" w:lineRule="exact"/>
        <w:ind w:firstLine="640" w:firstLineChars="200"/>
        <w:rPr>
          <w:rFonts w:ascii="仿宋_GB2312" w:eastAsia="仿宋_GB2312"/>
          <w:sz w:val="32"/>
          <w:szCs w:val="32"/>
        </w:rPr>
      </w:pPr>
    </w:p>
    <w:p w14:paraId="4F15C55A">
      <w:pPr>
        <w:spacing w:line="560" w:lineRule="exact"/>
        <w:ind w:firstLine="640" w:firstLineChars="200"/>
        <w:rPr>
          <w:rFonts w:ascii="黑体" w:hAnsi="黑体" w:eastAsia="黑体" w:cs="黑体"/>
          <w:bCs/>
          <w:sz w:val="32"/>
          <w:szCs w:val="32"/>
        </w:rPr>
      </w:pPr>
    </w:p>
    <w:p w14:paraId="1140E763">
      <w:pPr>
        <w:spacing w:line="560" w:lineRule="exact"/>
        <w:ind w:firstLine="640" w:firstLineChars="200"/>
        <w:rPr>
          <w:rFonts w:ascii="仿宋_GB2312" w:eastAsia="仿宋_GB2312"/>
          <w:sz w:val="32"/>
          <w:szCs w:val="32"/>
        </w:rPr>
      </w:pPr>
    </w:p>
    <w:p w14:paraId="01F984B4">
      <w:pPr>
        <w:spacing w:line="560" w:lineRule="exact"/>
        <w:ind w:firstLine="640" w:firstLineChars="200"/>
        <w:rPr>
          <w:rFonts w:ascii="仿宋_GB2312" w:eastAsia="仿宋_GB2312"/>
          <w:sz w:val="32"/>
          <w:szCs w:val="32"/>
        </w:rPr>
      </w:pPr>
    </w:p>
    <w:p w14:paraId="5C64A8A8">
      <w:pPr>
        <w:spacing w:line="560" w:lineRule="exact"/>
        <w:ind w:firstLine="640" w:firstLineChars="200"/>
        <w:rPr>
          <w:rFonts w:ascii="仿宋_GB2312" w:eastAsia="仿宋_GB2312"/>
          <w:sz w:val="32"/>
          <w:szCs w:val="32"/>
        </w:rPr>
      </w:pPr>
    </w:p>
    <w:p w14:paraId="1CA728E0">
      <w:pPr>
        <w:spacing w:line="560" w:lineRule="exact"/>
        <w:ind w:firstLine="640" w:firstLineChars="200"/>
        <w:rPr>
          <w:rFonts w:ascii="仿宋_GB2312" w:eastAsia="仿宋_GB2312"/>
          <w:sz w:val="32"/>
          <w:szCs w:val="32"/>
        </w:rPr>
      </w:pPr>
    </w:p>
    <w:p w14:paraId="53D7DCCF">
      <w:pPr>
        <w:spacing w:line="560" w:lineRule="exact"/>
        <w:ind w:firstLine="643" w:firstLineChars="200"/>
        <w:rPr>
          <w:rFonts w:ascii="楷体_GB2312" w:eastAsia="楷体_GB2312"/>
          <w:b/>
          <w:sz w:val="32"/>
          <w:szCs w:val="32"/>
        </w:rPr>
      </w:pPr>
    </w:p>
    <w:p w14:paraId="1B3EDD53">
      <w:pPr>
        <w:spacing w:line="560" w:lineRule="exact"/>
        <w:ind w:firstLine="640" w:firstLineChars="200"/>
        <w:rPr>
          <w:rFonts w:ascii="仿宋_GB2312" w:eastAsia="仿宋_GB2312"/>
          <w:sz w:val="32"/>
          <w:szCs w:val="32"/>
        </w:rPr>
      </w:pPr>
    </w:p>
    <w:p w14:paraId="55BD70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Arial Unicode MS"/>
    <w:panose1 w:val="02010601030101010101"/>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4B1AA1F4">
    <w:panose1 w:val="020B0604020202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537"/>
    <w:rsid w:val="000745FD"/>
    <w:rsid w:val="001B5056"/>
    <w:rsid w:val="001C7537"/>
    <w:rsid w:val="0029092A"/>
    <w:rsid w:val="00332573"/>
    <w:rsid w:val="00373D09"/>
    <w:rsid w:val="0040440F"/>
    <w:rsid w:val="004104CF"/>
    <w:rsid w:val="004C1C23"/>
    <w:rsid w:val="005E4BEE"/>
    <w:rsid w:val="00612BD6"/>
    <w:rsid w:val="007B49A5"/>
    <w:rsid w:val="00976664"/>
    <w:rsid w:val="00A50DED"/>
    <w:rsid w:val="00D15483"/>
    <w:rsid w:val="00D70CC7"/>
    <w:rsid w:val="01626D55"/>
    <w:rsid w:val="0203305B"/>
    <w:rsid w:val="020E7601"/>
    <w:rsid w:val="02EE63A2"/>
    <w:rsid w:val="03F433D4"/>
    <w:rsid w:val="043B6D59"/>
    <w:rsid w:val="0452626D"/>
    <w:rsid w:val="04DA27D5"/>
    <w:rsid w:val="04DE473A"/>
    <w:rsid w:val="077E2A50"/>
    <w:rsid w:val="0843361F"/>
    <w:rsid w:val="08841A26"/>
    <w:rsid w:val="09A66A4D"/>
    <w:rsid w:val="0B6D2F18"/>
    <w:rsid w:val="0B703D68"/>
    <w:rsid w:val="0B8326C5"/>
    <w:rsid w:val="0B9F0276"/>
    <w:rsid w:val="0C675364"/>
    <w:rsid w:val="0C9101F8"/>
    <w:rsid w:val="0CF254F0"/>
    <w:rsid w:val="0D3179FC"/>
    <w:rsid w:val="0D5F76AA"/>
    <w:rsid w:val="0DFF4363"/>
    <w:rsid w:val="0EC33FAC"/>
    <w:rsid w:val="0F6812D4"/>
    <w:rsid w:val="116978DE"/>
    <w:rsid w:val="11E727A8"/>
    <w:rsid w:val="12010F98"/>
    <w:rsid w:val="12383DC0"/>
    <w:rsid w:val="137F3D2B"/>
    <w:rsid w:val="142602DA"/>
    <w:rsid w:val="143A4F2F"/>
    <w:rsid w:val="14F142F7"/>
    <w:rsid w:val="15507067"/>
    <w:rsid w:val="15DE2942"/>
    <w:rsid w:val="16171651"/>
    <w:rsid w:val="16424916"/>
    <w:rsid w:val="174A053B"/>
    <w:rsid w:val="174E310F"/>
    <w:rsid w:val="17751D29"/>
    <w:rsid w:val="17B03166"/>
    <w:rsid w:val="17C13424"/>
    <w:rsid w:val="17FA3BAC"/>
    <w:rsid w:val="18097EA1"/>
    <w:rsid w:val="18ED17C1"/>
    <w:rsid w:val="19717394"/>
    <w:rsid w:val="1A647454"/>
    <w:rsid w:val="1AAA0B4C"/>
    <w:rsid w:val="1AB31597"/>
    <w:rsid w:val="1B3316AB"/>
    <w:rsid w:val="1E504D37"/>
    <w:rsid w:val="1FA04F07"/>
    <w:rsid w:val="1FC46FC2"/>
    <w:rsid w:val="20FD027C"/>
    <w:rsid w:val="210616E8"/>
    <w:rsid w:val="21AD2B44"/>
    <w:rsid w:val="23B4490B"/>
    <w:rsid w:val="245D65DB"/>
    <w:rsid w:val="25694306"/>
    <w:rsid w:val="25E95241"/>
    <w:rsid w:val="26187430"/>
    <w:rsid w:val="2819735F"/>
    <w:rsid w:val="28450E6E"/>
    <w:rsid w:val="28810E8B"/>
    <w:rsid w:val="28C3176B"/>
    <w:rsid w:val="28CD4324"/>
    <w:rsid w:val="28E833BE"/>
    <w:rsid w:val="2908077C"/>
    <w:rsid w:val="2A255E2E"/>
    <w:rsid w:val="2BE85D96"/>
    <w:rsid w:val="2BFD2D95"/>
    <w:rsid w:val="2C1047A5"/>
    <w:rsid w:val="2C362D2F"/>
    <w:rsid w:val="2CB06C5C"/>
    <w:rsid w:val="2D486C85"/>
    <w:rsid w:val="2E6E7857"/>
    <w:rsid w:val="2EC16E17"/>
    <w:rsid w:val="2F6479AC"/>
    <w:rsid w:val="303802E4"/>
    <w:rsid w:val="30902D65"/>
    <w:rsid w:val="30AC0CDF"/>
    <w:rsid w:val="314C4BC7"/>
    <w:rsid w:val="32E809E2"/>
    <w:rsid w:val="3474189E"/>
    <w:rsid w:val="34D0484E"/>
    <w:rsid w:val="34EF4921"/>
    <w:rsid w:val="35297DB5"/>
    <w:rsid w:val="356C4F0A"/>
    <w:rsid w:val="371859A5"/>
    <w:rsid w:val="371F7F7B"/>
    <w:rsid w:val="373A1D42"/>
    <w:rsid w:val="374A76A3"/>
    <w:rsid w:val="37651532"/>
    <w:rsid w:val="37746865"/>
    <w:rsid w:val="38783DD2"/>
    <w:rsid w:val="3AD60D98"/>
    <w:rsid w:val="3AD800D2"/>
    <w:rsid w:val="3B861358"/>
    <w:rsid w:val="3B984E35"/>
    <w:rsid w:val="3BC73F7D"/>
    <w:rsid w:val="3C73623A"/>
    <w:rsid w:val="3DBB4AF7"/>
    <w:rsid w:val="3DF741DA"/>
    <w:rsid w:val="3FB5178A"/>
    <w:rsid w:val="403D4E29"/>
    <w:rsid w:val="40631DE6"/>
    <w:rsid w:val="407D4AB2"/>
    <w:rsid w:val="40C1176A"/>
    <w:rsid w:val="40CC66D4"/>
    <w:rsid w:val="40F9541F"/>
    <w:rsid w:val="414F062A"/>
    <w:rsid w:val="41655B48"/>
    <w:rsid w:val="42445121"/>
    <w:rsid w:val="427A6373"/>
    <w:rsid w:val="42DB13DB"/>
    <w:rsid w:val="43F839F3"/>
    <w:rsid w:val="43FE5699"/>
    <w:rsid w:val="44961E2D"/>
    <w:rsid w:val="449B1BDC"/>
    <w:rsid w:val="45292470"/>
    <w:rsid w:val="452F6364"/>
    <w:rsid w:val="4576602A"/>
    <w:rsid w:val="45BF7EC7"/>
    <w:rsid w:val="45C3350E"/>
    <w:rsid w:val="45C44037"/>
    <w:rsid w:val="46154635"/>
    <w:rsid w:val="46727C9A"/>
    <w:rsid w:val="4687071F"/>
    <w:rsid w:val="46CC6064"/>
    <w:rsid w:val="48224DC1"/>
    <w:rsid w:val="486A45E1"/>
    <w:rsid w:val="487A5265"/>
    <w:rsid w:val="498C5F32"/>
    <w:rsid w:val="49B71D80"/>
    <w:rsid w:val="4ABC5DAA"/>
    <w:rsid w:val="4BB83B6F"/>
    <w:rsid w:val="4C796748"/>
    <w:rsid w:val="4CD17A02"/>
    <w:rsid w:val="4D071DBD"/>
    <w:rsid w:val="4D777D53"/>
    <w:rsid w:val="4E6C395B"/>
    <w:rsid w:val="4EAD76B0"/>
    <w:rsid w:val="4F9D2291"/>
    <w:rsid w:val="50B96100"/>
    <w:rsid w:val="51AB6F05"/>
    <w:rsid w:val="52655DBB"/>
    <w:rsid w:val="5276374E"/>
    <w:rsid w:val="52BD1649"/>
    <w:rsid w:val="53E30A7C"/>
    <w:rsid w:val="54034B21"/>
    <w:rsid w:val="54BB6BF7"/>
    <w:rsid w:val="55323A38"/>
    <w:rsid w:val="5580268B"/>
    <w:rsid w:val="55FD782D"/>
    <w:rsid w:val="560228B7"/>
    <w:rsid w:val="56CD0D79"/>
    <w:rsid w:val="56DA3DE8"/>
    <w:rsid w:val="5733219C"/>
    <w:rsid w:val="57536479"/>
    <w:rsid w:val="57641B13"/>
    <w:rsid w:val="590C77F0"/>
    <w:rsid w:val="5A047A3B"/>
    <w:rsid w:val="5A8B1B68"/>
    <w:rsid w:val="5B266C19"/>
    <w:rsid w:val="5B3247EB"/>
    <w:rsid w:val="5BBC4299"/>
    <w:rsid w:val="5BFD57A4"/>
    <w:rsid w:val="5C555BBD"/>
    <w:rsid w:val="5CEC526F"/>
    <w:rsid w:val="5D210A69"/>
    <w:rsid w:val="5D744772"/>
    <w:rsid w:val="5D82040F"/>
    <w:rsid w:val="5EB70DDD"/>
    <w:rsid w:val="5F0E08A5"/>
    <w:rsid w:val="602D5E8C"/>
    <w:rsid w:val="604C53C3"/>
    <w:rsid w:val="611F2767"/>
    <w:rsid w:val="617C2AE5"/>
    <w:rsid w:val="62333DBE"/>
    <w:rsid w:val="64147CAE"/>
    <w:rsid w:val="648171A5"/>
    <w:rsid w:val="648367CD"/>
    <w:rsid w:val="64EC299B"/>
    <w:rsid w:val="660D7179"/>
    <w:rsid w:val="66DB19AF"/>
    <w:rsid w:val="67FC1D3A"/>
    <w:rsid w:val="67FD35A3"/>
    <w:rsid w:val="687D2CBF"/>
    <w:rsid w:val="68837A86"/>
    <w:rsid w:val="69023F0F"/>
    <w:rsid w:val="6A353D31"/>
    <w:rsid w:val="6A62078C"/>
    <w:rsid w:val="6A8831FD"/>
    <w:rsid w:val="6A971038"/>
    <w:rsid w:val="6ABE5E96"/>
    <w:rsid w:val="6B226480"/>
    <w:rsid w:val="6BBE5EF0"/>
    <w:rsid w:val="6BCE3B3B"/>
    <w:rsid w:val="6C0814A9"/>
    <w:rsid w:val="6DF44BB9"/>
    <w:rsid w:val="705F2C6D"/>
    <w:rsid w:val="707F35DF"/>
    <w:rsid w:val="70862203"/>
    <w:rsid w:val="7093593E"/>
    <w:rsid w:val="70CA74E6"/>
    <w:rsid w:val="71D41047"/>
    <w:rsid w:val="722E1887"/>
    <w:rsid w:val="72BF04A8"/>
    <w:rsid w:val="72D64AAB"/>
    <w:rsid w:val="73695863"/>
    <w:rsid w:val="739357F2"/>
    <w:rsid w:val="73F6152C"/>
    <w:rsid w:val="745B5F47"/>
    <w:rsid w:val="74BE052A"/>
    <w:rsid w:val="76427533"/>
    <w:rsid w:val="764F458E"/>
    <w:rsid w:val="76CF606F"/>
    <w:rsid w:val="7A750117"/>
    <w:rsid w:val="7A9557B4"/>
    <w:rsid w:val="7BD36A7B"/>
    <w:rsid w:val="7C786DF1"/>
    <w:rsid w:val="7D884C00"/>
    <w:rsid w:val="7ED5176D"/>
    <w:rsid w:val="7F744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rFonts w:asciiTheme="minorHAnsi" w:hAnsiTheme="minorHAnsi" w:eastAsiaTheme="minorEastAsia" w:cstheme="minorBidi"/>
      <w:kern w:val="2"/>
      <w:sz w:val="18"/>
      <w:szCs w:val="18"/>
    </w:rPr>
  </w:style>
  <w:style w:type="character" w:customStyle="1" w:styleId="7">
    <w:name w:val="页脚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hart" Target="charts/chart19.xml"/><Relationship Id="rId21" Type="http://schemas.openxmlformats.org/officeDocument/2006/relationships/chart" Target="charts/chart18.xml"/><Relationship Id="rId20" Type="http://schemas.openxmlformats.org/officeDocument/2006/relationships/chart" Target="charts/chart17.xml"/><Relationship Id="rId2" Type="http://schemas.openxmlformats.org/officeDocument/2006/relationships/settings" Target="settings.xml"/><Relationship Id="rId19" Type="http://schemas.openxmlformats.org/officeDocument/2006/relationships/chart" Target="charts/chart16.xml"/><Relationship Id="rId18" Type="http://schemas.openxmlformats.org/officeDocument/2006/relationships/chart" Target="charts/chart15.xml"/><Relationship Id="rId17" Type="http://schemas.openxmlformats.org/officeDocument/2006/relationships/chart" Target="charts/chart14.xml"/><Relationship Id="rId16" Type="http://schemas.openxmlformats.org/officeDocument/2006/relationships/chart" Target="charts/chart13.xml"/><Relationship Id="rId15" Type="http://schemas.openxmlformats.org/officeDocument/2006/relationships/chart" Target="charts/chart12.xml"/><Relationship Id="rId14" Type="http://schemas.openxmlformats.org/officeDocument/2006/relationships/chart" Target="charts/chart11.xml"/><Relationship Id="rId13" Type="http://schemas.openxmlformats.org/officeDocument/2006/relationships/chart" Target="charts/chart10.xml"/><Relationship Id="rId12" Type="http://schemas.openxmlformats.org/officeDocument/2006/relationships/chart" Target="charts/chart9.xml"/><Relationship Id="rId11" Type="http://schemas.openxmlformats.org/officeDocument/2006/relationships/chart" Target="charts/chart8.xml"/><Relationship Id="rId10" Type="http://schemas.openxmlformats.org/officeDocument/2006/relationships/chart" Target="charts/chart7.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9.xlsx"/></Relationships>
</file>

<file path=word/charts/_rels/chart2.xml.rels><?xml version="1.0" encoding="UTF-8" standalone="yes"?>
<Relationships xmlns="http://schemas.openxmlformats.org/package/2006/relationships"><Relationship Id="rId1" Type="http://schemas.openxmlformats.org/officeDocument/2006/relationships/package" Target="../embeddings/Workbook10.xlsx"/></Relationships>
</file>

<file path=word/charts/_rels/chart3.xml.rels><?xml version="1.0" encoding="UTF-8" standalone="yes"?>
<Relationships xmlns="http://schemas.openxmlformats.org/package/2006/relationships"><Relationship Id="rId1" Type="http://schemas.openxmlformats.org/officeDocument/2006/relationships/package" Target="../embeddings/Workbook1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12.xlsx"/></Relationships>
</file>

<file path=word/charts/_rels/chart5.xml.rels><?xml version="1.0" encoding="UTF-8" standalone="yes"?>
<Relationships xmlns="http://schemas.openxmlformats.org/package/2006/relationships"><Relationship Id="rId1" Type="http://schemas.openxmlformats.org/officeDocument/2006/relationships/package" Target="../embeddings/Workbook13.xlsx"/></Relationships>
</file>

<file path=word/charts/_rels/chart6.xml.rels><?xml version="1.0" encoding="UTF-8" standalone="yes"?>
<Relationships xmlns="http://schemas.openxmlformats.org/package/2006/relationships"><Relationship Id="rId1" Type="http://schemas.openxmlformats.org/officeDocument/2006/relationships/package" Target="../embeddings/Workbook7.xlsx"/></Relationships>
</file>

<file path=word/charts/_rels/chart7.xml.rels><?xml version="1.0" encoding="UTF-8" standalone="yes"?>
<Relationships xmlns="http://schemas.openxmlformats.org/package/2006/relationships"><Relationship Id="rId1" Type="http://schemas.openxmlformats.org/officeDocument/2006/relationships/package" Target="../embeddings/Workbook8.xlsx"/></Relationships>
</file>

<file path=word/charts/_rels/chart8.xml.rels><?xml version="1.0" encoding="UTF-8" standalone="yes"?>
<Relationships xmlns="http://schemas.openxmlformats.org/package/2006/relationships"><Relationship Id="rId1" Type="http://schemas.openxmlformats.org/officeDocument/2006/relationships/package" Target="../embeddings/Workbook6.xlsx"/></Relationships>
</file>

<file path=word/charts/_rels/chart9.xml.rels><?xml version="1.0" encoding="UTF-8" standalone="yes"?>
<Relationships xmlns="http://schemas.openxmlformats.org/package/2006/relationships"><Relationship Id="rId1" Type="http://schemas.openxmlformats.org/officeDocument/2006/relationships/package" Target="../embeddings/Workbook17.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Workbook14.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Workbook18.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Workbook15.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Workbook19.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Workbook16.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Workbook3.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Workbook2.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Workbook1.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Workbook5.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近12个月资金流量情况表（单位：亿元）</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资金流入</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Sheet1!$B$2:$B$13</c:f>
              <c:numCache>
                <c:formatCode>General</c:formatCode>
                <c:ptCount val="12"/>
                <c:pt idx="0">
                  <c:v>6.71</c:v>
                </c:pt>
                <c:pt idx="1">
                  <c:v>6.44</c:v>
                </c:pt>
                <c:pt idx="2">
                  <c:v>6.71</c:v>
                </c:pt>
                <c:pt idx="3">
                  <c:v>6.7</c:v>
                </c:pt>
                <c:pt idx="4">
                  <c:v>5.66</c:v>
                </c:pt>
                <c:pt idx="5">
                  <c:v>9.07</c:v>
                </c:pt>
                <c:pt idx="6">
                  <c:v>5.97</c:v>
                </c:pt>
                <c:pt idx="7">
                  <c:v>5.97</c:v>
                </c:pt>
                <c:pt idx="8">
                  <c:v>6.37</c:v>
                </c:pt>
                <c:pt idx="9">
                  <c:v>0</c:v>
                </c:pt>
                <c:pt idx="10">
                  <c:v>0</c:v>
                </c:pt>
                <c:pt idx="11">
                  <c:v>0</c:v>
                </c:pt>
              </c:numCache>
            </c:numRef>
          </c:val>
        </c:ser>
        <c:ser>
          <c:idx val="1"/>
          <c:order val="1"/>
          <c:tx>
            <c:strRef>
              <c:f>Sheet1!$C$1</c:f>
              <c:strCache>
                <c:ptCount val="1"/>
                <c:pt idx="0">
                  <c:v>资金流出</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Sheet1!$C$2:$C$13</c:f>
              <c:numCache>
                <c:formatCode>General</c:formatCode>
                <c:ptCount val="12"/>
                <c:pt idx="0">
                  <c:v>4.53</c:v>
                </c:pt>
                <c:pt idx="1">
                  <c:v>4.13</c:v>
                </c:pt>
                <c:pt idx="2">
                  <c:v>4.88</c:v>
                </c:pt>
                <c:pt idx="3">
                  <c:v>5.5</c:v>
                </c:pt>
                <c:pt idx="4">
                  <c:v>4.39</c:v>
                </c:pt>
                <c:pt idx="5">
                  <c:v>5.31</c:v>
                </c:pt>
                <c:pt idx="6">
                  <c:v>4.55</c:v>
                </c:pt>
                <c:pt idx="7">
                  <c:v>5.37</c:v>
                </c:pt>
                <c:pt idx="8">
                  <c:v>5.2</c:v>
                </c:pt>
                <c:pt idx="9">
                  <c:v>0</c:v>
                </c:pt>
                <c:pt idx="10">
                  <c:v>0</c:v>
                </c:pt>
                <c:pt idx="11">
                  <c:v>0</c:v>
                </c:pt>
              </c:numCache>
            </c:numRef>
          </c:val>
        </c:ser>
        <c:dLbls>
          <c:showLegendKey val="0"/>
          <c:showVal val="1"/>
          <c:showCatName val="0"/>
          <c:showSerName val="0"/>
          <c:showPercent val="0"/>
          <c:showBubbleSize val="0"/>
        </c:dLbls>
        <c:gapWidth val="219"/>
        <c:overlap val="-27"/>
        <c:axId val="114552944"/>
        <c:axId val="114557936"/>
      </c:barChart>
      <c:lineChart>
        <c:grouping val="standard"/>
        <c:varyColors val="0"/>
        <c:ser>
          <c:idx val="2"/>
          <c:order val="2"/>
          <c:tx>
            <c:strRef>
              <c:f>Sheet1!$D$1</c:f>
              <c:strCache>
                <c:ptCount val="1"/>
                <c:pt idx="0">
                  <c:v>资金净流量</c:v>
                </c:pt>
              </c:strCache>
            </c:strRef>
          </c:tx>
          <c:spPr>
            <a:ln w="28575" cap="rnd" cmpd="sng" algn="ctr">
              <a:solidFill>
                <a:schemeClr val="accent3"/>
              </a:solidFill>
              <a:prstDash val="solid"/>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Sheet1!$A$2:$A$13</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Sheet1!$D$2:$D$13</c:f>
              <c:numCache>
                <c:formatCode>General</c:formatCode>
                <c:ptCount val="12"/>
                <c:pt idx="0">
                  <c:v>2.17</c:v>
                </c:pt>
                <c:pt idx="1">
                  <c:v>2.31</c:v>
                </c:pt>
                <c:pt idx="2">
                  <c:v>1.83</c:v>
                </c:pt>
                <c:pt idx="3">
                  <c:v>1.2</c:v>
                </c:pt>
                <c:pt idx="4">
                  <c:v>1.27</c:v>
                </c:pt>
                <c:pt idx="5">
                  <c:v>3.76</c:v>
                </c:pt>
                <c:pt idx="6">
                  <c:v>1.42</c:v>
                </c:pt>
                <c:pt idx="7">
                  <c:v>0.6</c:v>
                </c:pt>
                <c:pt idx="8">
                  <c:v>1.17</c:v>
                </c:pt>
                <c:pt idx="9">
                  <c:v>0</c:v>
                </c:pt>
                <c:pt idx="10">
                  <c:v>0</c:v>
                </c:pt>
                <c:pt idx="11">
                  <c:v>0</c:v>
                </c:pt>
              </c:numCache>
            </c:numRef>
          </c:val>
          <c:smooth val="0"/>
        </c:ser>
        <c:dLbls>
          <c:showLegendKey val="0"/>
          <c:showVal val="1"/>
          <c:showCatName val="0"/>
          <c:showSerName val="0"/>
          <c:showPercent val="0"/>
          <c:showBubbleSize val="0"/>
        </c:dLbls>
        <c:marker val="0"/>
        <c:smooth val="0"/>
        <c:axId val="114552944"/>
        <c:axId val="114557936"/>
      </c:lineChart>
      <c:catAx>
        <c:axId val="11455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4557936"/>
        <c:crosses val="autoZero"/>
        <c:auto val="1"/>
        <c:lblAlgn val="ctr"/>
        <c:lblOffset val="100"/>
        <c:noMultiLvlLbl val="0"/>
      </c:catAx>
      <c:valAx>
        <c:axId val="11455793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455294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7c08ff2-35d6-4b44-be96-80fbc7e7d09e}"/>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分支机构资金净流入情况表（单位：万元）</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流入金额</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Sheet1!$A$2:$A$11</c:f>
              <c:strCache>
                <c:ptCount val="10"/>
                <c:pt idx="0">
                  <c:v>市直一部</c:v>
                </c:pt>
                <c:pt idx="1">
                  <c:v>滕州分中心</c:v>
                </c:pt>
                <c:pt idx="2">
                  <c:v>枣矿分中心</c:v>
                </c:pt>
                <c:pt idx="3">
                  <c:v>峄城管理部</c:v>
                </c:pt>
                <c:pt idx="4">
                  <c:v>台儿庄管理部</c:v>
                </c:pt>
                <c:pt idx="5">
                  <c:v>市中管理部</c:v>
                </c:pt>
                <c:pt idx="6">
                  <c:v>山亭管理部</c:v>
                </c:pt>
                <c:pt idx="7">
                  <c:v>薛城管理部</c:v>
                </c:pt>
                <c:pt idx="8">
                  <c:v>高新区管理部</c:v>
                </c:pt>
                <c:pt idx="9">
                  <c:v>市直二部</c:v>
                </c:pt>
              </c:strCache>
            </c:strRef>
          </c:cat>
          <c:val>
            <c:numRef>
              <c:f>Sheet1!$B$2:$B$11</c:f>
              <c:numCache>
                <c:formatCode>General</c:formatCode>
                <c:ptCount val="10"/>
                <c:pt idx="0">
                  <c:v>1185353964.04</c:v>
                </c:pt>
                <c:pt idx="1">
                  <c:v>1543162993.87</c:v>
                </c:pt>
                <c:pt idx="2">
                  <c:v>881495926.4</c:v>
                </c:pt>
                <c:pt idx="3">
                  <c:v>405305967.99</c:v>
                </c:pt>
                <c:pt idx="4">
                  <c:v>328351784.52</c:v>
                </c:pt>
                <c:pt idx="5">
                  <c:v>355849038.51</c:v>
                </c:pt>
                <c:pt idx="6">
                  <c:v>236865423.82</c:v>
                </c:pt>
                <c:pt idx="7">
                  <c:v>399570195.34</c:v>
                </c:pt>
                <c:pt idx="8">
                  <c:v>152397951.44</c:v>
                </c:pt>
                <c:pt idx="9">
                  <c:v>470399508.72</c:v>
                </c:pt>
              </c:numCache>
            </c:numRef>
          </c:val>
        </c:ser>
        <c:dLbls>
          <c:showLegendKey val="0"/>
          <c:showVal val="1"/>
          <c:showCatName val="0"/>
          <c:showSerName val="0"/>
          <c:showPercent val="0"/>
          <c:showBubbleSize val="0"/>
        </c:dLbls>
        <c:gapWidth val="219"/>
        <c:overlap val="-27"/>
        <c:axId val="672260592"/>
        <c:axId val="672263504"/>
      </c:barChart>
      <c:catAx>
        <c:axId val="67226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263504"/>
        <c:crosses val="autoZero"/>
        <c:auto val="1"/>
        <c:lblAlgn val="ctr"/>
        <c:lblOffset val="100"/>
        <c:noMultiLvlLbl val="0"/>
      </c:catAx>
      <c:valAx>
        <c:axId val="67226350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流入金额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26059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4793953-f860-4afa-86ec-06a4bf51cacb}"/>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归集趋势图（单位：亿元）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Sheet1!$B$2:$B$13</c:f>
              <c:numCache>
                <c:formatCode>General</c:formatCode>
                <c:ptCount val="12"/>
                <c:pt idx="0">
                  <c:v>4.49</c:v>
                </c:pt>
                <c:pt idx="1">
                  <c:v>4.41</c:v>
                </c:pt>
                <c:pt idx="2">
                  <c:v>4.49</c:v>
                </c:pt>
                <c:pt idx="3">
                  <c:v>4.69</c:v>
                </c:pt>
                <c:pt idx="4">
                  <c:v>3.84</c:v>
                </c:pt>
                <c:pt idx="5">
                  <c:v>7.38</c:v>
                </c:pt>
                <c:pt idx="6">
                  <c:v>4.08</c:v>
                </c:pt>
                <c:pt idx="7">
                  <c:v>4</c:v>
                </c:pt>
                <c:pt idx="8">
                  <c:v>4.56</c:v>
                </c:pt>
                <c:pt idx="9">
                  <c:v>0</c:v>
                </c:pt>
                <c:pt idx="10">
                  <c:v>0</c:v>
                </c:pt>
                <c:pt idx="11">
                  <c:v>0</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Sheet1!$C$2:$C$13</c:f>
              <c:numCache>
                <c:formatCode>General</c:formatCode>
                <c:ptCount val="12"/>
                <c:pt idx="0">
                  <c:v>3.78</c:v>
                </c:pt>
                <c:pt idx="1">
                  <c:v>3.73</c:v>
                </c:pt>
                <c:pt idx="2">
                  <c:v>4.66</c:v>
                </c:pt>
                <c:pt idx="3">
                  <c:v>5.03</c:v>
                </c:pt>
                <c:pt idx="4">
                  <c:v>9.92</c:v>
                </c:pt>
                <c:pt idx="5">
                  <c:v>7.43</c:v>
                </c:pt>
                <c:pt idx="6">
                  <c:v>4.4</c:v>
                </c:pt>
                <c:pt idx="7">
                  <c:v>4.02</c:v>
                </c:pt>
                <c:pt idx="8">
                  <c:v>3.99</c:v>
                </c:pt>
                <c:pt idx="9">
                  <c:v>3.9</c:v>
                </c:pt>
                <c:pt idx="10">
                  <c:v>3.8</c:v>
                </c:pt>
                <c:pt idx="11">
                  <c:v>3.96</c:v>
                </c:pt>
              </c:numCache>
            </c:numRef>
          </c:val>
          <c:smooth val="0"/>
        </c:ser>
        <c:dLbls>
          <c:showLegendKey val="0"/>
          <c:showVal val="0"/>
          <c:showCatName val="0"/>
          <c:showSerName val="0"/>
          <c:showPercent val="0"/>
          <c:showBubbleSize val="0"/>
        </c:dLbls>
        <c:marker val="1"/>
        <c:smooth val="0"/>
        <c:axId val="698985616"/>
        <c:axId val="698986032"/>
      </c:lineChart>
      <c:catAx>
        <c:axId val="698985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8986032"/>
        <c:crosses val="autoZero"/>
        <c:auto val="1"/>
        <c:lblAlgn val="ctr"/>
        <c:lblOffset val="100"/>
        <c:noMultiLvlLbl val="0"/>
      </c:catAx>
      <c:valAx>
        <c:axId val="69898603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8985616"/>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cb87a4c-b6dc-49a7-8f70-7c05340450a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提取趋势图（单位：亿元）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Sheet1!$B$2:$B$13</c:f>
              <c:numCache>
                <c:formatCode>General</c:formatCode>
                <c:ptCount val="12"/>
                <c:pt idx="0">
                  <c:v>3.34</c:v>
                </c:pt>
                <c:pt idx="1">
                  <c:v>2.99</c:v>
                </c:pt>
                <c:pt idx="2">
                  <c:v>3.46</c:v>
                </c:pt>
                <c:pt idx="3">
                  <c:v>3.36</c:v>
                </c:pt>
                <c:pt idx="4">
                  <c:v>2.78</c:v>
                </c:pt>
                <c:pt idx="5">
                  <c:v>2.63</c:v>
                </c:pt>
                <c:pt idx="6">
                  <c:v>3.77</c:v>
                </c:pt>
                <c:pt idx="7">
                  <c:v>3.5</c:v>
                </c:pt>
                <c:pt idx="8">
                  <c:v>3.17</c:v>
                </c:pt>
                <c:pt idx="9">
                  <c:v>0</c:v>
                </c:pt>
                <c:pt idx="10">
                  <c:v>0</c:v>
                </c:pt>
                <c:pt idx="11">
                  <c:v>0</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Sheet1!$A$2:$A$13</c:f>
              <c:strCache>
                <c:ptCount val="12"/>
                <c:pt idx="0">
                  <c:v>01月</c:v>
                </c:pt>
                <c:pt idx="1">
                  <c:v>02月</c:v>
                </c:pt>
                <c:pt idx="2">
                  <c:v>03月</c:v>
                </c:pt>
                <c:pt idx="3">
                  <c:v>04月</c:v>
                </c:pt>
                <c:pt idx="4">
                  <c:v>05月</c:v>
                </c:pt>
                <c:pt idx="5">
                  <c:v>06月</c:v>
                </c:pt>
                <c:pt idx="6">
                  <c:v>07月</c:v>
                </c:pt>
                <c:pt idx="7">
                  <c:v>08月</c:v>
                </c:pt>
                <c:pt idx="8">
                  <c:v>09月</c:v>
                </c:pt>
                <c:pt idx="9">
                  <c:v>10月</c:v>
                </c:pt>
                <c:pt idx="10">
                  <c:v>11月</c:v>
                </c:pt>
                <c:pt idx="11">
                  <c:v>12月</c:v>
                </c:pt>
              </c:strCache>
            </c:strRef>
          </c:cat>
          <c:val>
            <c:numRef>
              <c:f>Sheet1!$C$2:$C$13</c:f>
              <c:numCache>
                <c:formatCode>General</c:formatCode>
                <c:ptCount val="12"/>
                <c:pt idx="0">
                  <c:v>3.21</c:v>
                </c:pt>
                <c:pt idx="1">
                  <c:v>2.99</c:v>
                </c:pt>
                <c:pt idx="2">
                  <c:v>3.01</c:v>
                </c:pt>
                <c:pt idx="3">
                  <c:v>3.08</c:v>
                </c:pt>
                <c:pt idx="4">
                  <c:v>2.86</c:v>
                </c:pt>
                <c:pt idx="5">
                  <c:v>2.83</c:v>
                </c:pt>
                <c:pt idx="6">
                  <c:v>3.8</c:v>
                </c:pt>
                <c:pt idx="7">
                  <c:v>3.23</c:v>
                </c:pt>
                <c:pt idx="8">
                  <c:v>3.28</c:v>
                </c:pt>
                <c:pt idx="9">
                  <c:v>2.8</c:v>
                </c:pt>
                <c:pt idx="10">
                  <c:v>3.1</c:v>
                </c:pt>
                <c:pt idx="11">
                  <c:v>3.09</c:v>
                </c:pt>
              </c:numCache>
            </c:numRef>
          </c:val>
          <c:smooth val="0"/>
        </c:ser>
        <c:dLbls>
          <c:showLegendKey val="0"/>
          <c:showVal val="0"/>
          <c:showCatName val="0"/>
          <c:showSerName val="0"/>
          <c:showPercent val="0"/>
          <c:showBubbleSize val="0"/>
        </c:dLbls>
        <c:marker val="1"/>
        <c:smooth val="0"/>
        <c:axId val="577259568"/>
        <c:axId val="577260400"/>
      </c:lineChart>
      <c:catAx>
        <c:axId val="57725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260400"/>
        <c:crosses val="autoZero"/>
        <c:auto val="1"/>
        <c:lblAlgn val="ctr"/>
        <c:lblOffset val="100"/>
        <c:noMultiLvlLbl val="0"/>
      </c:catAx>
      <c:valAx>
        <c:axId val="57726040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25956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eb6577d-22b2-48a6-95d9-d1be4f18c11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近一年购建房提取占比情况</a:t>
            </a:r>
            <a:endParaRPr lang="en-US" sz="1100"/>
          </a:p>
        </c:rich>
      </c:tx>
      <c:layout/>
      <c:overlay val="0"/>
      <c:spPr>
        <a:noFill/>
        <a:ln>
          <a:noFill/>
        </a:ln>
        <a:effectLst/>
      </c:spPr>
    </c:title>
    <c:autoTitleDeleted val="0"/>
    <c:plotArea>
      <c:layout/>
      <c:barChart>
        <c:barDir val="col"/>
        <c:grouping val="percentStacked"/>
        <c:varyColors val="0"/>
        <c:ser>
          <c:idx val="0"/>
          <c:order val="0"/>
          <c:tx>
            <c:strRef>
              <c:f>Sheet1!$B$1</c:f>
              <c:strCache>
                <c:ptCount val="1"/>
                <c:pt idx="0">
                  <c:v>购建房提取</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48769100</c:v>
                </c:pt>
                <c:pt idx="1">
                  <c:v>51219100</c:v>
                </c:pt>
                <c:pt idx="2">
                  <c:v>66239200</c:v>
                </c:pt>
                <c:pt idx="3">
                  <c:v>64792800</c:v>
                </c:pt>
                <c:pt idx="4">
                  <c:v>57062300</c:v>
                </c:pt>
                <c:pt idx="5">
                  <c:v>56768300</c:v>
                </c:pt>
                <c:pt idx="6">
                  <c:v>66603803.27</c:v>
                </c:pt>
                <c:pt idx="7">
                  <c:v>72380603.87</c:v>
                </c:pt>
                <c:pt idx="8">
                  <c:v>62390107.02</c:v>
                </c:pt>
              </c:numCache>
            </c:numRef>
          </c:val>
        </c:ser>
        <c:ser>
          <c:idx val="1"/>
          <c:order val="1"/>
          <c:tx>
            <c:strRef>
              <c:f>Sheet1!$C$1</c:f>
              <c:strCache>
                <c:ptCount val="1"/>
                <c:pt idx="0">
                  <c:v>除购建房外提取</c:v>
                </c:pt>
              </c:strCache>
            </c:strRef>
          </c:tx>
          <c:spPr>
            <a:solidFill>
              <a:schemeClr val="accent2"/>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285342674.22</c:v>
                </c:pt>
                <c:pt idx="1">
                  <c:v>248227989.82</c:v>
                </c:pt>
                <c:pt idx="2">
                  <c:v>279316549.27</c:v>
                </c:pt>
                <c:pt idx="3">
                  <c:v>271597430.11</c:v>
                </c:pt>
                <c:pt idx="4">
                  <c:v>221289860.26</c:v>
                </c:pt>
                <c:pt idx="5">
                  <c:v>206653358.91</c:v>
                </c:pt>
                <c:pt idx="6">
                  <c:v>310807335.37</c:v>
                </c:pt>
                <c:pt idx="7">
                  <c:v>278097963.01</c:v>
                </c:pt>
                <c:pt idx="8">
                  <c:v>254540669.98</c:v>
                </c:pt>
              </c:numCache>
            </c:numRef>
          </c:val>
        </c:ser>
        <c:dLbls>
          <c:showLegendKey val="0"/>
          <c:showVal val="0"/>
          <c:showCatName val="0"/>
          <c:showSerName val="0"/>
          <c:showPercent val="0"/>
          <c:showBubbleSize val="0"/>
        </c:dLbls>
        <c:gapWidth val="219"/>
        <c:overlap val="100"/>
        <c:axId val="649960896"/>
        <c:axId val="649967968"/>
      </c:barChart>
      <c:catAx>
        <c:axId val="649960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9967968"/>
        <c:crosses val="autoZero"/>
        <c:auto val="1"/>
        <c:lblAlgn val="ctr"/>
        <c:lblOffset val="100"/>
        <c:noMultiLvlLbl val="0"/>
      </c:catAx>
      <c:valAx>
        <c:axId val="64996796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提取金额占比</a:t>
                </a:r>
                <a:endParaRPr lang="en-US" sz="1100"/>
              </a:p>
            </c:rich>
          </c:tx>
          <c:layout/>
          <c:overlay val="0"/>
        </c:title>
        <c:numFmt formatCode="0%"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99608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8a4106-5d03-46d8-bc63-b0a045e2cdc1}"/>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近一年还贷提取情况（单位：万元）</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还贷提取</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16794.13</c:v>
                </c:pt>
                <c:pt idx="1">
                  <c:v>15076.73</c:v>
                </c:pt>
                <c:pt idx="2">
                  <c:v>16495.5</c:v>
                </c:pt>
                <c:pt idx="3">
                  <c:v>16052.06</c:v>
                </c:pt>
                <c:pt idx="4">
                  <c:v>14846.79</c:v>
                </c:pt>
                <c:pt idx="5">
                  <c:v>14092.3</c:v>
                </c:pt>
                <c:pt idx="6">
                  <c:v>14666.71</c:v>
                </c:pt>
                <c:pt idx="7">
                  <c:v>15793.11</c:v>
                </c:pt>
                <c:pt idx="8">
                  <c:v>14586.12</c:v>
                </c:pt>
              </c:numCache>
            </c:numRef>
          </c:val>
        </c:ser>
        <c:dLbls>
          <c:showLegendKey val="0"/>
          <c:showVal val="0"/>
          <c:showCatName val="0"/>
          <c:showSerName val="0"/>
          <c:showPercent val="0"/>
          <c:showBubbleSize val="0"/>
        </c:dLbls>
        <c:gapWidth val="219"/>
        <c:overlap val="-27"/>
        <c:axId val="817391552"/>
        <c:axId val="817381984"/>
      </c:barChart>
      <c:catAx>
        <c:axId val="81739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7381984"/>
        <c:crosses val="autoZero"/>
        <c:auto val="1"/>
        <c:lblAlgn val="ctr"/>
        <c:lblOffset val="100"/>
        <c:noMultiLvlLbl val="0"/>
      </c:catAx>
      <c:valAx>
        <c:axId val="81738198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提取金额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739155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8a9e0-e0e5-4061-abe5-abbf245df2e9}"/>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近一年无房租赁提取情况（单位：万元）</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无房租赁提取金额</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1037.83</c:v>
                </c:pt>
                <c:pt idx="1">
                  <c:v>683.79</c:v>
                </c:pt>
                <c:pt idx="2">
                  <c:v>931.02</c:v>
                </c:pt>
                <c:pt idx="3">
                  <c:v>975.32</c:v>
                </c:pt>
                <c:pt idx="4">
                  <c:v>836.95</c:v>
                </c:pt>
                <c:pt idx="5">
                  <c:v>794.08</c:v>
                </c:pt>
                <c:pt idx="6">
                  <c:v>1192.79</c:v>
                </c:pt>
                <c:pt idx="7">
                  <c:v>1391.05</c:v>
                </c:pt>
                <c:pt idx="8">
                  <c:v>1503.35</c:v>
                </c:pt>
              </c:numCache>
            </c:numRef>
          </c:val>
        </c:ser>
        <c:dLbls>
          <c:showLegendKey val="0"/>
          <c:showVal val="0"/>
          <c:showCatName val="0"/>
          <c:showSerName val="0"/>
          <c:showPercent val="0"/>
          <c:showBubbleSize val="0"/>
        </c:dLbls>
        <c:gapWidth val="219"/>
        <c:overlap val="-27"/>
        <c:axId val="679083808"/>
        <c:axId val="679084224"/>
      </c:barChart>
      <c:lineChart>
        <c:grouping val="standard"/>
        <c:varyColors val="0"/>
        <c:ser>
          <c:idx val="2"/>
          <c:order val="1"/>
          <c:tx>
            <c:strRef>
              <c:f>Sheet1!$C$1</c:f>
              <c:strCache>
                <c:ptCount val="1"/>
                <c:pt idx="0">
                  <c:v>无房租赁提取人数</c:v>
                </c:pt>
              </c:strCache>
            </c:strRef>
          </c:tx>
          <c:spPr>
            <a:ln w="28575" cap="rnd" cmpd="sng" algn="ctr">
              <a:solidFill>
                <a:schemeClr val="accent3"/>
              </a:solidFill>
              <a:prstDash val="solid"/>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10</c:v>
                </c:pt>
                <c:pt idx="1">
                  <c:v>10</c:v>
                </c:pt>
                <c:pt idx="2">
                  <c:v>10</c:v>
                </c:pt>
                <c:pt idx="3">
                  <c:v>10</c:v>
                </c:pt>
                <c:pt idx="4">
                  <c:v>10</c:v>
                </c:pt>
                <c:pt idx="5">
                  <c:v>10</c:v>
                </c:pt>
                <c:pt idx="6">
                  <c:v>10</c:v>
                </c:pt>
                <c:pt idx="7">
                  <c:v>10</c:v>
                </c:pt>
                <c:pt idx="8">
                  <c:v>10</c:v>
                </c:pt>
              </c:numCache>
            </c:numRef>
          </c:val>
          <c:smooth val="0"/>
        </c:ser>
        <c:dLbls>
          <c:showLegendKey val="0"/>
          <c:showVal val="0"/>
          <c:showCatName val="0"/>
          <c:showSerName val="0"/>
          <c:showPercent val="0"/>
          <c:showBubbleSize val="0"/>
        </c:dLbls>
        <c:marker val="0"/>
        <c:smooth val="0"/>
        <c:axId val="679083808"/>
        <c:axId val="679084224"/>
      </c:lineChart>
      <c:catAx>
        <c:axId val="679083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9084224"/>
        <c:crosses val="autoZero"/>
        <c:auto val="1"/>
        <c:lblAlgn val="ctr"/>
        <c:lblOffset val="100"/>
        <c:noMultiLvlLbl val="0"/>
      </c:catAx>
      <c:valAx>
        <c:axId val="67908422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908380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d534369-de9c-4a0d-915f-34c2d209516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贷款趋势图（单位：亿元）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1.19</c:v>
                </c:pt>
                <c:pt idx="1">
                  <c:v>1.13</c:v>
                </c:pt>
                <c:pt idx="2">
                  <c:v>1.43</c:v>
                </c:pt>
                <c:pt idx="3">
                  <c:v>2.14</c:v>
                </c:pt>
                <c:pt idx="4">
                  <c:v>1.61</c:v>
                </c:pt>
                <c:pt idx="5">
                  <c:v>2.68</c:v>
                </c:pt>
                <c:pt idx="6">
                  <c:v>0.77</c:v>
                </c:pt>
                <c:pt idx="7">
                  <c:v>1.87</c:v>
                </c:pt>
                <c:pt idx="8">
                  <c:v>2.03</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114714000</c:v>
                </c:pt>
                <c:pt idx="1">
                  <c:v>76245000</c:v>
                </c:pt>
                <c:pt idx="2">
                  <c:v>113340000</c:v>
                </c:pt>
                <c:pt idx="3">
                  <c:v>137059000</c:v>
                </c:pt>
                <c:pt idx="4">
                  <c:v>217863434.19</c:v>
                </c:pt>
                <c:pt idx="5">
                  <c:v>179659000</c:v>
                </c:pt>
                <c:pt idx="6">
                  <c:v>231011000</c:v>
                </c:pt>
                <c:pt idx="7">
                  <c:v>188995000</c:v>
                </c:pt>
                <c:pt idx="8">
                  <c:v>179743000</c:v>
                </c:pt>
              </c:numCache>
            </c:numRef>
          </c:val>
          <c:smooth val="0"/>
        </c:ser>
        <c:dLbls>
          <c:showLegendKey val="0"/>
          <c:showVal val="0"/>
          <c:showCatName val="0"/>
          <c:showSerName val="0"/>
          <c:showPercent val="0"/>
          <c:showBubbleSize val="0"/>
        </c:dLbls>
        <c:marker val="1"/>
        <c:smooth val="0"/>
        <c:axId val="711714912"/>
        <c:axId val="711714080"/>
      </c:lineChart>
      <c:catAx>
        <c:axId val="71171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1714080"/>
        <c:crosses val="autoZero"/>
        <c:auto val="1"/>
        <c:lblAlgn val="ctr"/>
        <c:lblOffset val="100"/>
        <c:noMultiLvlLbl val="0"/>
      </c:catAx>
      <c:valAx>
        <c:axId val="71171408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171491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86fd200-7c56-42ca-8a6a-c8f2a932523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全市商品住房交易情况（单位：套）</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Sheet1!$B$2:$B$13</c:f>
              <c:numCache>
                <c:formatCode>General</c:formatCode>
                <c:ptCount val="12"/>
                <c:pt idx="0">
                  <c:v>100</c:v>
                </c:pt>
                <c:pt idx="1">
                  <c:v>87</c:v>
                </c:pt>
                <c:pt idx="2">
                  <c:v>120</c:v>
                </c:pt>
                <c:pt idx="3">
                  <c:v>192</c:v>
                </c:pt>
                <c:pt idx="4">
                  <c:v>142</c:v>
                </c:pt>
                <c:pt idx="5">
                  <c:v>258</c:v>
                </c:pt>
                <c:pt idx="6">
                  <c:v>148</c:v>
                </c:pt>
                <c:pt idx="7">
                  <c:v>362</c:v>
                </c:pt>
                <c:pt idx="8">
                  <c:v>382</c:v>
                </c:pt>
                <c:pt idx="9">
                  <c:v>0</c:v>
                </c:pt>
                <c:pt idx="10">
                  <c:v>0</c:v>
                </c:pt>
                <c:pt idx="11">
                  <c:v>0</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Sheet1!$C$2:$C$13</c:f>
              <c:numCache>
                <c:formatCode>General</c:formatCode>
                <c:ptCount val="12"/>
                <c:pt idx="0">
                  <c:v>126</c:v>
                </c:pt>
                <c:pt idx="1">
                  <c:v>67</c:v>
                </c:pt>
                <c:pt idx="2">
                  <c:v>104</c:v>
                </c:pt>
                <c:pt idx="3">
                  <c:v>110</c:v>
                </c:pt>
                <c:pt idx="4">
                  <c:v>125</c:v>
                </c:pt>
                <c:pt idx="5">
                  <c:v>149</c:v>
                </c:pt>
                <c:pt idx="6">
                  <c:v>233</c:v>
                </c:pt>
                <c:pt idx="7">
                  <c:v>158</c:v>
                </c:pt>
                <c:pt idx="8">
                  <c:v>167</c:v>
                </c:pt>
                <c:pt idx="9">
                  <c:v>139</c:v>
                </c:pt>
                <c:pt idx="10">
                  <c:v>115</c:v>
                </c:pt>
                <c:pt idx="11">
                  <c:v>96</c:v>
                </c:pt>
              </c:numCache>
            </c:numRef>
          </c:val>
          <c:smooth val="0"/>
        </c:ser>
        <c:dLbls>
          <c:showLegendKey val="0"/>
          <c:showVal val="0"/>
          <c:showCatName val="0"/>
          <c:showSerName val="0"/>
          <c:showPercent val="0"/>
          <c:showBubbleSize val="0"/>
        </c:dLbls>
        <c:marker val="1"/>
        <c:smooth val="0"/>
        <c:axId val="714490320"/>
        <c:axId val="714494064"/>
      </c:lineChart>
      <c:catAx>
        <c:axId val="714490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494064"/>
        <c:crosses val="autoZero"/>
        <c:auto val="1"/>
        <c:lblAlgn val="ctr"/>
        <c:lblOffset val="100"/>
        <c:noMultiLvlLbl val="0"/>
      </c:catAx>
      <c:valAx>
        <c:axId val="71449406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交易套数</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1449032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3e6da1b-b069-435f-976f-ef37905b5973}"/>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全市二手房成交情况（单位：套）</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Sheet1!$B$2:$B$13</c:f>
              <c:numCache>
                <c:formatCode>General</c:formatCode>
                <c:ptCount val="12"/>
                <c:pt idx="0">
                  <c:v>94</c:v>
                </c:pt>
                <c:pt idx="1">
                  <c:v>92</c:v>
                </c:pt>
                <c:pt idx="2">
                  <c:v>130</c:v>
                </c:pt>
                <c:pt idx="3">
                  <c:v>141</c:v>
                </c:pt>
                <c:pt idx="4">
                  <c:v>146</c:v>
                </c:pt>
                <c:pt idx="5">
                  <c:v>198</c:v>
                </c:pt>
                <c:pt idx="6">
                  <c:v>76</c:v>
                </c:pt>
                <c:pt idx="7">
                  <c:v>166</c:v>
                </c:pt>
                <c:pt idx="8">
                  <c:v>149</c:v>
                </c:pt>
                <c:pt idx="9">
                  <c:v>0</c:v>
                </c:pt>
                <c:pt idx="10">
                  <c:v>0</c:v>
                </c:pt>
                <c:pt idx="11">
                  <c:v>0</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dLbls>
            <c:delete val="1"/>
          </c:dLbls>
          <c:cat>
            <c:strRef>
              <c:f>Sheet1!$A$2:$A$13</c:f>
              <c:strCache>
                <c:ptCount val="12"/>
                <c:pt idx="0">
                  <c:v>01</c:v>
                </c:pt>
                <c:pt idx="1">
                  <c:v>02</c:v>
                </c:pt>
                <c:pt idx="2">
                  <c:v>03</c:v>
                </c:pt>
                <c:pt idx="3">
                  <c:v>04</c:v>
                </c:pt>
                <c:pt idx="4">
                  <c:v>05</c:v>
                </c:pt>
                <c:pt idx="5">
                  <c:v>06</c:v>
                </c:pt>
                <c:pt idx="6">
                  <c:v>07</c:v>
                </c:pt>
                <c:pt idx="7">
                  <c:v>08</c:v>
                </c:pt>
                <c:pt idx="8">
                  <c:v>09</c:v>
                </c:pt>
                <c:pt idx="9">
                  <c:v>10</c:v>
                </c:pt>
                <c:pt idx="10">
                  <c:v>11</c:v>
                </c:pt>
                <c:pt idx="11">
                  <c:v>12</c:v>
                </c:pt>
              </c:strCache>
            </c:strRef>
          </c:cat>
          <c:val>
            <c:numRef>
              <c:f>Sheet1!$C$2:$C$13</c:f>
              <c:numCache>
                <c:formatCode>General</c:formatCode>
                <c:ptCount val="12"/>
                <c:pt idx="0">
                  <c:v>99</c:v>
                </c:pt>
                <c:pt idx="1">
                  <c:v>85</c:v>
                </c:pt>
                <c:pt idx="2">
                  <c:v>127</c:v>
                </c:pt>
                <c:pt idx="3">
                  <c:v>154</c:v>
                </c:pt>
                <c:pt idx="4">
                  <c:v>116</c:v>
                </c:pt>
                <c:pt idx="5">
                  <c:v>127</c:v>
                </c:pt>
                <c:pt idx="6">
                  <c:v>129</c:v>
                </c:pt>
                <c:pt idx="7">
                  <c:v>126</c:v>
                </c:pt>
                <c:pt idx="8">
                  <c:v>111</c:v>
                </c:pt>
                <c:pt idx="9">
                  <c:v>74</c:v>
                </c:pt>
                <c:pt idx="10">
                  <c:v>111</c:v>
                </c:pt>
                <c:pt idx="11">
                  <c:v>84</c:v>
                </c:pt>
              </c:numCache>
            </c:numRef>
          </c:val>
          <c:smooth val="0"/>
        </c:ser>
        <c:dLbls>
          <c:showLegendKey val="0"/>
          <c:showVal val="0"/>
          <c:showCatName val="0"/>
          <c:showSerName val="0"/>
          <c:showPercent val="0"/>
          <c:showBubbleSize val="0"/>
        </c:dLbls>
        <c:marker val="1"/>
        <c:smooth val="0"/>
        <c:axId val="1501409744"/>
        <c:axId val="1889845760"/>
      </c:lineChart>
      <c:catAx>
        <c:axId val="150140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89845760"/>
        <c:crosses val="autoZero"/>
        <c:auto val="1"/>
        <c:lblAlgn val="ctr"/>
        <c:lblOffset val="100"/>
        <c:noMultiLvlLbl val="0"/>
      </c:catAx>
      <c:valAx>
        <c:axId val="188984576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交易套数</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014097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19f1622-8461-4dc6-b1f7-f4f3d575aa0b}"/>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近一年剔除后贷款发放情况（单位：笔、万元）</a:t>
            </a:r>
            <a:endParaRPr lang="en-US" sz="1100"/>
          </a:p>
        </c:rich>
      </c:tx>
      <c:layout/>
      <c:overlay val="0"/>
      <c:spPr>
        <a:noFill/>
        <a:ln>
          <a:noFill/>
        </a:ln>
        <a:effectLst/>
      </c:spPr>
    </c:title>
    <c:autoTitleDeleted val="0"/>
    <c:plotArea>
      <c:layout/>
      <c:barChart>
        <c:barDir val="col"/>
        <c:grouping val="clustered"/>
        <c:varyColors val="0"/>
        <c:dLbls>
          <c:showLegendKey val="0"/>
          <c:showVal val="0"/>
          <c:showCatName val="0"/>
          <c:showSerName val="0"/>
          <c:showPercent val="0"/>
          <c:showBubbleSize val="0"/>
        </c:dLbls>
        <c:gapWidth val="150"/>
        <c:axId val="811118944"/>
        <c:axId val="811013696"/>
      </c:barChart>
      <c:lineChart>
        <c:grouping val="standard"/>
        <c:varyColors val="0"/>
        <c:ser>
          <c:idx val="2"/>
          <c:order val="0"/>
          <c:tx>
            <c:strRef>
              <c:f>Sheet1!$B$1</c:f>
              <c:strCache>
                <c:ptCount val="1"/>
                <c:pt idx="0">
                  <c:v>贷款发放笔数</c:v>
                </c:pt>
              </c:strCache>
            </c:strRef>
          </c:tx>
          <c:spPr>
            <a:ln w="28575" cap="rnd" cmpd="sng" algn="ctr">
              <a:solidFill>
                <a:schemeClr val="accent3"/>
              </a:solidFill>
              <a:prstDash val="solid"/>
              <a:round/>
            </a:ln>
            <a:effectLst/>
          </c:spPr>
          <c:marker>
            <c:symbol val="none"/>
          </c:marker>
          <c:dLbls>
            <c:delete val="1"/>
          </c:dLbls>
          <c:cat>
            <c:strRef>
              <c:f>Sheet1!$A$2:$A$10</c:f>
              <c:strCache>
                <c:ptCount val="9"/>
                <c:pt idx="0">
                  <c:v>01月份</c:v>
                </c:pt>
                <c:pt idx="1">
                  <c:v>02月份</c:v>
                </c:pt>
                <c:pt idx="2">
                  <c:v>03月份</c:v>
                </c:pt>
                <c:pt idx="3">
                  <c:v>04月份</c:v>
                </c:pt>
                <c:pt idx="4">
                  <c:v>05月份</c:v>
                </c:pt>
                <c:pt idx="5">
                  <c:v>06月份</c:v>
                </c:pt>
                <c:pt idx="6">
                  <c:v>07月份</c:v>
                </c:pt>
                <c:pt idx="7">
                  <c:v>08月份</c:v>
                </c:pt>
                <c:pt idx="8">
                  <c:v>09月份</c:v>
                </c:pt>
              </c:strCache>
            </c:strRef>
          </c:cat>
          <c:val>
            <c:numRef>
              <c:f>Sheet1!$B$2:$B$10</c:f>
              <c:numCache>
                <c:formatCode>General</c:formatCode>
                <c:ptCount val="9"/>
                <c:pt idx="0">
                  <c:v>233</c:v>
                </c:pt>
                <c:pt idx="1">
                  <c:v>229</c:v>
                </c:pt>
                <c:pt idx="2">
                  <c:v>285</c:v>
                </c:pt>
                <c:pt idx="3">
                  <c:v>408</c:v>
                </c:pt>
                <c:pt idx="4">
                  <c:v>329</c:v>
                </c:pt>
                <c:pt idx="5">
                  <c:v>525</c:v>
                </c:pt>
                <c:pt idx="6">
                  <c:v>148</c:v>
                </c:pt>
                <c:pt idx="7">
                  <c:v>362</c:v>
                </c:pt>
                <c:pt idx="8">
                  <c:v>383</c:v>
                </c:pt>
              </c:numCache>
            </c:numRef>
          </c:val>
          <c:smooth val="0"/>
        </c:ser>
        <c:ser>
          <c:idx val="3"/>
          <c:order val="1"/>
          <c:tx>
            <c:strRef>
              <c:f>Sheet1!$C$1</c:f>
              <c:strCache>
                <c:ptCount val="1"/>
                <c:pt idx="0">
                  <c:v>贷款发放金额</c:v>
                </c:pt>
              </c:strCache>
            </c:strRef>
          </c:tx>
          <c:dLbls>
            <c:delete val="1"/>
          </c:dLbls>
          <c:cat>
            <c:strRef>
              <c:f>Sheet1!$A$2:$A$10</c:f>
              <c:strCache>
                <c:ptCount val="9"/>
                <c:pt idx="0">
                  <c:v>01月份</c:v>
                </c:pt>
                <c:pt idx="1">
                  <c:v>02月份</c:v>
                </c:pt>
                <c:pt idx="2">
                  <c:v>03月份</c:v>
                </c:pt>
                <c:pt idx="3">
                  <c:v>04月份</c:v>
                </c:pt>
                <c:pt idx="4">
                  <c:v>05月份</c:v>
                </c:pt>
                <c:pt idx="5">
                  <c:v>06月份</c:v>
                </c:pt>
                <c:pt idx="6">
                  <c:v>07月份</c:v>
                </c:pt>
                <c:pt idx="7">
                  <c:v>08月份</c:v>
                </c:pt>
                <c:pt idx="8">
                  <c:v>09月份</c:v>
                </c:pt>
              </c:strCache>
            </c:strRef>
          </c:cat>
          <c:val>
            <c:numRef>
              <c:f>Sheet1!$C$2:$C$10</c:f>
              <c:numCache>
                <c:formatCode>General</c:formatCode>
                <c:ptCount val="9"/>
                <c:pt idx="0">
                  <c:v>11928.2</c:v>
                </c:pt>
                <c:pt idx="1">
                  <c:v>11305.5</c:v>
                </c:pt>
                <c:pt idx="2">
                  <c:v>14251.6</c:v>
                </c:pt>
                <c:pt idx="3">
                  <c:v>21358.3</c:v>
                </c:pt>
                <c:pt idx="4">
                  <c:v>16069</c:v>
                </c:pt>
                <c:pt idx="5">
                  <c:v>26779.7</c:v>
                </c:pt>
                <c:pt idx="6">
                  <c:v>7746.7</c:v>
                </c:pt>
                <c:pt idx="7">
                  <c:v>18675.7</c:v>
                </c:pt>
                <c:pt idx="8">
                  <c:v>20276.8</c:v>
                </c:pt>
              </c:numCache>
            </c:numRef>
          </c:val>
          <c:smooth val="1"/>
        </c:ser>
        <c:dLbls>
          <c:showLegendKey val="0"/>
          <c:showVal val="0"/>
          <c:showCatName val="0"/>
          <c:showSerName val="0"/>
          <c:showPercent val="0"/>
          <c:showBubbleSize val="0"/>
        </c:dLbls>
        <c:marker val="1"/>
        <c:smooth val="1"/>
        <c:axId val="811118944"/>
        <c:axId val="811013696"/>
      </c:lineChart>
      <c:catAx>
        <c:axId val="81111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3696"/>
        <c:crosses val="autoZero"/>
        <c:auto val="1"/>
        <c:lblAlgn val="ctr"/>
        <c:lblOffset val="100"/>
        <c:noMultiLvlLbl val="0"/>
      </c:catAx>
      <c:valAx>
        <c:axId val="81101369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笔数</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1189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05107a8-1eb5-47ac-b641-e59f04b92b0e}"/>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贷款回收趋势图（单位：亿元）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2.22</c:v>
                </c:pt>
                <c:pt idx="1">
                  <c:v>2.03</c:v>
                </c:pt>
                <c:pt idx="2">
                  <c:v>2.22</c:v>
                </c:pt>
                <c:pt idx="3">
                  <c:v>2</c:v>
                </c:pt>
                <c:pt idx="4">
                  <c:v>1.82</c:v>
                </c:pt>
                <c:pt idx="5">
                  <c:v>1.69</c:v>
                </c:pt>
                <c:pt idx="6">
                  <c:v>1.88</c:v>
                </c:pt>
                <c:pt idx="7">
                  <c:v>1.98</c:v>
                </c:pt>
                <c:pt idx="8">
                  <c:v>1.81</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none"/>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1.96</c:v>
                </c:pt>
                <c:pt idx="1">
                  <c:v>2.08</c:v>
                </c:pt>
                <c:pt idx="2">
                  <c:v>2.06</c:v>
                </c:pt>
                <c:pt idx="3">
                  <c:v>2.02</c:v>
                </c:pt>
                <c:pt idx="4">
                  <c:v>1.89</c:v>
                </c:pt>
                <c:pt idx="5">
                  <c:v>1.96</c:v>
                </c:pt>
                <c:pt idx="6">
                  <c:v>2.08</c:v>
                </c:pt>
                <c:pt idx="7">
                  <c:v>2.04</c:v>
                </c:pt>
                <c:pt idx="8">
                  <c:v>1.94</c:v>
                </c:pt>
              </c:numCache>
            </c:numRef>
          </c:val>
          <c:smooth val="0"/>
        </c:ser>
        <c:dLbls>
          <c:showLegendKey val="0"/>
          <c:showVal val="0"/>
          <c:showCatName val="0"/>
          <c:showSerName val="0"/>
          <c:showPercent val="0"/>
          <c:showBubbleSize val="0"/>
        </c:dLbls>
        <c:marker val="0"/>
        <c:smooth val="0"/>
        <c:axId val="811014944"/>
        <c:axId val="811012032"/>
      </c:lineChart>
      <c:catAx>
        <c:axId val="811014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2032"/>
        <c:crosses val="autoZero"/>
        <c:auto val="1"/>
        <c:lblAlgn val="ctr"/>
        <c:lblOffset val="100"/>
        <c:noMultiLvlLbl val="0"/>
      </c:catAx>
      <c:valAx>
        <c:axId val="81101203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149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ca6d836-a870-48ff-b36f-5a90a06dafff}"/>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近一年住房公积金贷款还款情况（单位：万元）</a:t>
            </a:r>
            <a:endParaRPr lang="en-US" sz="1100"/>
          </a:p>
        </c:rich>
      </c:tx>
      <c:layout/>
      <c:overlay val="0"/>
      <c:spPr>
        <a:noFill/>
        <a:ln>
          <a:noFill/>
        </a:ln>
        <a:effectLst/>
      </c:spPr>
    </c:title>
    <c:autoTitleDeleted val="0"/>
    <c:plotArea>
      <c:layout/>
      <c:barChart>
        <c:barDir val="col"/>
        <c:grouping val="percentStacked"/>
        <c:varyColors val="0"/>
        <c:ser>
          <c:idx val="0"/>
          <c:order val="0"/>
          <c:tx>
            <c:strRef>
              <c:f>Sheet1!$B$1</c:f>
              <c:strCache>
                <c:ptCount val="1"/>
                <c:pt idx="0">
                  <c:v>正常还款</c:v>
                </c:pt>
              </c:strCache>
            </c:strRef>
          </c:tx>
          <c:spPr>
            <a:solidFill>
              <a:schemeClr val="accent1"/>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10174.43</c:v>
                </c:pt>
                <c:pt idx="1">
                  <c:v>10097.77</c:v>
                </c:pt>
                <c:pt idx="2">
                  <c:v>10036.19</c:v>
                </c:pt>
                <c:pt idx="3">
                  <c:v>9975.54</c:v>
                </c:pt>
                <c:pt idx="4">
                  <c:v>9954.4</c:v>
                </c:pt>
                <c:pt idx="5">
                  <c:v>9928.27</c:v>
                </c:pt>
                <c:pt idx="6">
                  <c:v>9971.61</c:v>
                </c:pt>
                <c:pt idx="7">
                  <c:v>9877.43</c:v>
                </c:pt>
                <c:pt idx="8">
                  <c:v>9870.14</c:v>
                </c:pt>
              </c:numCache>
            </c:numRef>
          </c:val>
        </c:ser>
        <c:ser>
          <c:idx val="1"/>
          <c:order val="1"/>
          <c:tx>
            <c:strRef>
              <c:f>Sheet1!$C$1</c:f>
              <c:strCache>
                <c:ptCount val="1"/>
                <c:pt idx="0">
                  <c:v>提前还款</c:v>
                </c:pt>
              </c:strCache>
            </c:strRef>
          </c:tx>
          <c:spPr>
            <a:solidFill>
              <a:schemeClr val="accent2"/>
            </a:solidFill>
            <a:ln>
              <a:noFill/>
            </a:ln>
            <a:effectLst/>
          </c:spPr>
          <c:invertIfNegative val="0"/>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Sheet1!$C$2:$C$10</c:f>
              <c:numCache>
                <c:formatCode>General</c:formatCode>
                <c:ptCount val="9"/>
                <c:pt idx="0">
                  <c:v>12030.01</c:v>
                </c:pt>
                <c:pt idx="1">
                  <c:v>10211.15</c:v>
                </c:pt>
                <c:pt idx="2">
                  <c:v>12154.26</c:v>
                </c:pt>
                <c:pt idx="3">
                  <c:v>10046.55</c:v>
                </c:pt>
                <c:pt idx="4">
                  <c:v>8271.25</c:v>
                </c:pt>
                <c:pt idx="5">
                  <c:v>6944.7</c:v>
                </c:pt>
                <c:pt idx="6">
                  <c:v>8871.87</c:v>
                </c:pt>
                <c:pt idx="7">
                  <c:v>9883.51</c:v>
                </c:pt>
                <c:pt idx="8">
                  <c:v>8205.68</c:v>
                </c:pt>
              </c:numCache>
            </c:numRef>
          </c:val>
        </c:ser>
        <c:dLbls>
          <c:showLegendKey val="0"/>
          <c:showVal val="0"/>
          <c:showCatName val="0"/>
          <c:showSerName val="0"/>
          <c:showPercent val="0"/>
          <c:showBubbleSize val="0"/>
        </c:dLbls>
        <c:gapWidth val="219"/>
        <c:overlap val="100"/>
        <c:axId val="811030752"/>
        <c:axId val="811044896"/>
      </c:barChart>
      <c:catAx>
        <c:axId val="811030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44896"/>
        <c:crosses val="autoZero"/>
        <c:auto val="1"/>
        <c:lblAlgn val="ctr"/>
        <c:lblOffset val="100"/>
        <c:noMultiLvlLbl val="0"/>
      </c:catAx>
      <c:valAx>
        <c:axId val="81104489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占比</a:t>
                </a:r>
                <a:endParaRPr lang="en-US" sz="1100"/>
              </a:p>
            </c:rich>
          </c:tx>
          <c:layout/>
          <c:overlay val="0"/>
        </c:title>
        <c:numFmt formatCode="0%"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3075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f684a9-1a79-499e-b674-796e5230a93b}"/>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住房消费趋势图（单位：亿元）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2025年</c:v>
                </c:pt>
              </c:strCache>
            </c:strRef>
          </c:tx>
          <c:spPr>
            <a:ln w="28575" cap="rnd" cmpd="sng" algn="ctr">
              <a:solidFill>
                <a:schemeClr val="accent1"/>
              </a:solidFill>
              <a:prstDash val="solid"/>
              <a:round/>
            </a:ln>
            <a:effectLst/>
          </c:spPr>
          <c:marker>
            <c:symbol val="none"/>
          </c:marker>
          <c:dLbls>
            <c:delete val="1"/>
          </c:dLbls>
          <c:cat>
            <c:strRef>
              <c:f>Sheet1!$A$2:$A$13</c:f>
              <c:strCache>
                <c:ptCount val="12"/>
                <c:pt idx="0">
                  <c:v>null</c:v>
                </c:pt>
                <c:pt idx="1">
                  <c:v>null</c:v>
                </c:pt>
                <c:pt idx="2">
                  <c:v>null</c:v>
                </c:pt>
                <c:pt idx="3">
                  <c:v>null</c:v>
                </c:pt>
                <c:pt idx="4">
                  <c:v>null</c:v>
                </c:pt>
                <c:pt idx="5">
                  <c:v>null</c:v>
                </c:pt>
                <c:pt idx="6">
                  <c:v>null</c:v>
                </c:pt>
                <c:pt idx="7">
                  <c:v>null</c:v>
                </c:pt>
                <c:pt idx="8">
                  <c:v>null</c:v>
                </c:pt>
                <c:pt idx="9">
                  <c:v>null</c:v>
                </c:pt>
                <c:pt idx="10">
                  <c:v>null</c:v>
                </c:pt>
                <c:pt idx="11">
                  <c:v>null</c:v>
                </c:pt>
              </c:strCache>
            </c:strRef>
          </c:cat>
          <c:val>
            <c:numRef>
              <c:f>Sheet1!$B$2:$B$13</c:f>
              <c:numCache>
                <c:formatCode>General</c:formatCode>
                <c:ptCount val="12"/>
                <c:pt idx="0">
                  <c:v>227088654.45</c:v>
                </c:pt>
                <c:pt idx="1">
                  <c:v>208824331.76</c:v>
                </c:pt>
                <c:pt idx="2">
                  <c:v>240504434.25</c:v>
                </c:pt>
                <c:pt idx="3">
                  <c:v>235066574.73</c:v>
                </c:pt>
                <c:pt idx="4">
                  <c:v>213899749.84</c:v>
                </c:pt>
                <c:pt idx="5">
                  <c:v>205632067.01</c:v>
                </c:pt>
                <c:pt idx="6">
                  <c:v>225198753.99</c:v>
                </c:pt>
                <c:pt idx="7">
                  <c:v>244222204.86</c:v>
                </c:pt>
                <c:pt idx="8">
                  <c:v>223978785.74</c:v>
                </c:pt>
                <c:pt idx="9">
                  <c:v>0</c:v>
                </c:pt>
                <c:pt idx="10">
                  <c:v>0</c:v>
                </c:pt>
                <c:pt idx="11">
                  <c:v>0</c:v>
                </c:pt>
              </c:numCache>
            </c:numRef>
          </c:val>
          <c:smooth val="0"/>
        </c:ser>
        <c:ser>
          <c:idx val="1"/>
          <c:order val="1"/>
          <c:tx>
            <c:strRef>
              <c:f>Sheet1!$C$1</c:f>
              <c:strCache>
                <c:ptCount val="1"/>
                <c:pt idx="0">
                  <c:v>2024年</c:v>
                </c:pt>
              </c:strCache>
            </c:strRef>
          </c:tx>
          <c:spPr>
            <a:ln w="28575" cap="rnd" cmpd="sng" algn="ctr">
              <a:solidFill>
                <a:schemeClr val="accent2"/>
              </a:solidFill>
              <a:prstDash val="solid"/>
              <a:round/>
            </a:ln>
            <a:effectLst/>
          </c:spPr>
          <c:marker>
            <c:symbol val="none"/>
          </c:marker>
          <c:dLbls>
            <c:delete val="1"/>
          </c:dLbls>
          <c:cat>
            <c:strRef>
              <c:f>Sheet1!$A$2:$A$13</c:f>
              <c:strCache>
                <c:ptCount val="12"/>
                <c:pt idx="0">
                  <c:v>null</c:v>
                </c:pt>
                <c:pt idx="1">
                  <c:v>null</c:v>
                </c:pt>
                <c:pt idx="2">
                  <c:v>null</c:v>
                </c:pt>
                <c:pt idx="3">
                  <c:v>null</c:v>
                </c:pt>
                <c:pt idx="4">
                  <c:v>null</c:v>
                </c:pt>
                <c:pt idx="5">
                  <c:v>null</c:v>
                </c:pt>
                <c:pt idx="6">
                  <c:v>null</c:v>
                </c:pt>
                <c:pt idx="7">
                  <c:v>null</c:v>
                </c:pt>
                <c:pt idx="8">
                  <c:v>null</c:v>
                </c:pt>
                <c:pt idx="9">
                  <c:v>null</c:v>
                </c:pt>
                <c:pt idx="10">
                  <c:v>null</c:v>
                </c:pt>
                <c:pt idx="11">
                  <c:v>null</c:v>
                </c:pt>
              </c:strCache>
            </c:strRef>
          </c:cat>
          <c:val>
            <c:numRef>
              <c:f>Sheet1!$C$2:$C$13</c:f>
              <c:numCache>
                <c:formatCode>General</c:formatCode>
                <c:ptCount val="12"/>
                <c:pt idx="0">
                  <c:v>208891031.58</c:v>
                </c:pt>
                <c:pt idx="1">
                  <c:v>198117502.98</c:v>
                </c:pt>
                <c:pt idx="2">
                  <c:v>213839316.95</c:v>
                </c:pt>
                <c:pt idx="3">
                  <c:v>232921499.23</c:v>
                </c:pt>
                <c:pt idx="4">
                  <c:v>215548322.54</c:v>
                </c:pt>
                <c:pt idx="5">
                  <c:v>220616172.82</c:v>
                </c:pt>
                <c:pt idx="6">
                  <c:v>260993149.78</c:v>
                </c:pt>
                <c:pt idx="7">
                  <c:v>243150971.22</c:v>
                </c:pt>
                <c:pt idx="8">
                  <c:v>232689646.41</c:v>
                </c:pt>
                <c:pt idx="9">
                  <c:v>201201814</c:v>
                </c:pt>
                <c:pt idx="10">
                  <c:v>209531392.05</c:v>
                </c:pt>
                <c:pt idx="11">
                  <c:v>223666940.43</c:v>
                </c:pt>
              </c:numCache>
            </c:numRef>
          </c:val>
          <c:smooth val="0"/>
        </c:ser>
        <c:dLbls>
          <c:showLegendKey val="0"/>
          <c:showVal val="0"/>
          <c:showCatName val="0"/>
          <c:showSerName val="0"/>
          <c:showPercent val="0"/>
          <c:showBubbleSize val="0"/>
        </c:dLbls>
        <c:marker val="0"/>
        <c:smooth val="0"/>
        <c:axId val="811059040"/>
        <c:axId val="811054048"/>
      </c:lineChart>
      <c:catAx>
        <c:axId val="811059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54048"/>
        <c:crosses val="autoZero"/>
        <c:auto val="1"/>
        <c:lblAlgn val="ctr"/>
        <c:lblOffset val="100"/>
        <c:noMultiLvlLbl val="0"/>
      </c:catAx>
      <c:valAx>
        <c:axId val="81105404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5904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dd913b7-026d-4257-b166-4f6072afb9f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住房公积金存贷比变动情况</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存贷比</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cat>
            <c:strRef>
              <c:f>Sheet1!$A$2:$A$10</c:f>
              <c:strCache>
                <c:ptCount val="9"/>
                <c:pt idx="0">
                  <c:v>01月</c:v>
                </c:pt>
                <c:pt idx="1">
                  <c:v>02月</c:v>
                </c:pt>
                <c:pt idx="2">
                  <c:v>03月</c:v>
                </c:pt>
                <c:pt idx="3">
                  <c:v>04月</c:v>
                </c:pt>
                <c:pt idx="4">
                  <c:v>05月</c:v>
                </c:pt>
                <c:pt idx="5">
                  <c:v>06月</c:v>
                </c:pt>
                <c:pt idx="6">
                  <c:v>07月</c:v>
                </c:pt>
                <c:pt idx="7">
                  <c:v>08月</c:v>
                </c:pt>
                <c:pt idx="8">
                  <c:v>09月</c:v>
                </c:pt>
              </c:strCache>
            </c:strRef>
          </c:cat>
          <c:val>
            <c:numRef>
              <c:f>Sheet1!$B$2:$B$10</c:f>
              <c:numCache>
                <c:formatCode>General</c:formatCode>
                <c:ptCount val="9"/>
                <c:pt idx="0">
                  <c:v>65.33</c:v>
                </c:pt>
                <c:pt idx="1">
                  <c:v>64.49</c:v>
                </c:pt>
                <c:pt idx="2">
                  <c:v>63.82</c:v>
                </c:pt>
                <c:pt idx="3">
                  <c:v>63.5</c:v>
                </c:pt>
                <c:pt idx="4">
                  <c:v>63.1</c:v>
                </c:pt>
                <c:pt idx="5">
                  <c:v>62.21</c:v>
                </c:pt>
                <c:pt idx="6">
                  <c:v>61.63</c:v>
                </c:pt>
                <c:pt idx="7">
                  <c:v>61.45</c:v>
                </c:pt>
                <c:pt idx="8">
                  <c:v>61.17</c:v>
                </c:pt>
              </c:numCache>
            </c:numRef>
          </c:val>
          <c:smooth val="0"/>
        </c:ser>
        <c:dLbls>
          <c:showLegendKey val="0"/>
          <c:showVal val="0"/>
          <c:showCatName val="0"/>
          <c:showSerName val="0"/>
          <c:showPercent val="0"/>
          <c:showBubbleSize val="0"/>
        </c:dLbls>
        <c:marker val="1"/>
        <c:smooth val="0"/>
        <c:axId val="811061120"/>
        <c:axId val="811069856"/>
      </c:lineChart>
      <c:catAx>
        <c:axId val="811061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69856"/>
        <c:crosses val="autoZero"/>
        <c:auto val="1"/>
        <c:lblAlgn val="ctr"/>
        <c:lblOffset val="100"/>
        <c:noMultiLvlLbl val="0"/>
      </c:catAx>
      <c:valAx>
        <c:axId val="81106985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存贷比</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6112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4afba88-80ca-46ed-b4e3-b02a3ca52fb0}"/>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全市各机构存贷比情况</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存贷比</c:v>
                </c:pt>
              </c:strCache>
            </c:strRef>
          </c:tx>
          <c:spPr>
            <a:solidFill>
              <a:schemeClr val="accent1"/>
            </a:solidFill>
            <a:ln>
              <a:noFill/>
            </a:ln>
            <a:effectLst/>
          </c:spPr>
          <c:invertIfNegative val="0"/>
          <c:dLbls>
            <c:delete val="1"/>
          </c:dLbls>
          <c:cat>
            <c:strRef>
              <c:f>Sheet1!$A$2:$A$11</c:f>
              <c:strCache>
                <c:ptCount val="10"/>
                <c:pt idx="0">
                  <c:v>薛城管理部</c:v>
                </c:pt>
                <c:pt idx="1">
                  <c:v>市直二部</c:v>
                </c:pt>
                <c:pt idx="2">
                  <c:v>高新区管理部</c:v>
                </c:pt>
                <c:pt idx="3">
                  <c:v>滕州分中心</c:v>
                </c:pt>
                <c:pt idx="4">
                  <c:v>市中管理部</c:v>
                </c:pt>
                <c:pt idx="5">
                  <c:v>峄城管理部</c:v>
                </c:pt>
                <c:pt idx="6">
                  <c:v>台儿庄管理部</c:v>
                </c:pt>
                <c:pt idx="7">
                  <c:v>市直一部</c:v>
                </c:pt>
                <c:pt idx="8">
                  <c:v>山亭管理部</c:v>
                </c:pt>
                <c:pt idx="9">
                  <c:v>枣矿分中心</c:v>
                </c:pt>
              </c:strCache>
            </c:strRef>
          </c:cat>
          <c:val>
            <c:numRef>
              <c:f>Sheet1!$B$2:$B$11</c:f>
              <c:numCache>
                <c:formatCode>General</c:formatCode>
                <c:ptCount val="10"/>
                <c:pt idx="0">
                  <c:v>128.52</c:v>
                </c:pt>
                <c:pt idx="1">
                  <c:v>126.92</c:v>
                </c:pt>
                <c:pt idx="2">
                  <c:v>95.42</c:v>
                </c:pt>
                <c:pt idx="3">
                  <c:v>80.85</c:v>
                </c:pt>
                <c:pt idx="4">
                  <c:v>70.08</c:v>
                </c:pt>
                <c:pt idx="5">
                  <c:v>55.45</c:v>
                </c:pt>
                <c:pt idx="6">
                  <c:v>54.43</c:v>
                </c:pt>
                <c:pt idx="7">
                  <c:v>44.19</c:v>
                </c:pt>
                <c:pt idx="8">
                  <c:v>25.25</c:v>
                </c:pt>
                <c:pt idx="9">
                  <c:v>15.72</c:v>
                </c:pt>
              </c:numCache>
            </c:numRef>
          </c:val>
        </c:ser>
        <c:dLbls>
          <c:showLegendKey val="0"/>
          <c:showVal val="0"/>
          <c:showCatName val="0"/>
          <c:showSerName val="0"/>
          <c:showPercent val="0"/>
          <c:showBubbleSize val="0"/>
        </c:dLbls>
        <c:gapWidth val="219"/>
        <c:overlap val="-27"/>
        <c:axId val="811081504"/>
        <c:axId val="811090656"/>
      </c:barChart>
      <c:catAx>
        <c:axId val="81108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90656"/>
        <c:crosses val="autoZero"/>
        <c:auto val="1"/>
        <c:lblAlgn val="ctr"/>
        <c:lblOffset val="100"/>
        <c:noMultiLvlLbl val="0"/>
      </c:catAx>
      <c:valAx>
        <c:axId val="81109065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存贷比</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8150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ac6cb58-1e30-44e1-9032-497c0f15899a}"/>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全省各地住房公积金存贷比情况</a:t>
            </a:r>
            <a:endParaRPr lang="en-US" sz="1100"/>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存贷比</c:v>
                </c:pt>
              </c:strCache>
            </c:strRef>
          </c:tx>
          <c:spPr>
            <a:solidFill>
              <a:schemeClr val="accent1"/>
            </a:solidFill>
            <a:ln>
              <a:noFill/>
            </a:ln>
            <a:effectLst/>
          </c:spPr>
          <c:invertIfNegative val="0"/>
          <c:dLbls>
            <c:delete val="1"/>
          </c:dLbls>
          <c:cat>
            <c:strRef>
              <c:f>Sheet1!$A$2:$A$17</c:f>
              <c:strCache>
                <c:ptCount val="16"/>
                <c:pt idx="0">
                  <c:v>临沂</c:v>
                </c:pt>
                <c:pt idx="1">
                  <c:v>淄博</c:v>
                </c:pt>
                <c:pt idx="2">
                  <c:v>日照</c:v>
                </c:pt>
                <c:pt idx="3">
                  <c:v>青岛</c:v>
                </c:pt>
                <c:pt idx="4">
                  <c:v>潍坊</c:v>
                </c:pt>
                <c:pt idx="5">
                  <c:v>烟台</c:v>
                </c:pt>
                <c:pt idx="6">
                  <c:v>济南</c:v>
                </c:pt>
                <c:pt idx="7">
                  <c:v>德州</c:v>
                </c:pt>
                <c:pt idx="8">
                  <c:v>泰安</c:v>
                </c:pt>
                <c:pt idx="9">
                  <c:v>滨州</c:v>
                </c:pt>
                <c:pt idx="10">
                  <c:v>枣庄</c:v>
                </c:pt>
                <c:pt idx="11">
                  <c:v>济宁</c:v>
                </c:pt>
                <c:pt idx="12">
                  <c:v>东营</c:v>
                </c:pt>
                <c:pt idx="13">
                  <c:v>菏泽</c:v>
                </c:pt>
                <c:pt idx="14">
                  <c:v>聊城</c:v>
                </c:pt>
                <c:pt idx="15">
                  <c:v>威海</c:v>
                </c:pt>
              </c:strCache>
            </c:strRef>
          </c:cat>
          <c:val>
            <c:numRef>
              <c:f>Sheet1!$B$2:$B$17</c:f>
              <c:numCache>
                <c:formatCode>General</c:formatCode>
                <c:ptCount val="16"/>
                <c:pt idx="0">
                  <c:v>75.77</c:v>
                </c:pt>
                <c:pt idx="1">
                  <c:v>72.43</c:v>
                </c:pt>
                <c:pt idx="2">
                  <c:v>70.46</c:v>
                </c:pt>
                <c:pt idx="3">
                  <c:v>70.16</c:v>
                </c:pt>
                <c:pt idx="4">
                  <c:v>69.76</c:v>
                </c:pt>
                <c:pt idx="5">
                  <c:v>69.36</c:v>
                </c:pt>
                <c:pt idx="6">
                  <c:v>67.44</c:v>
                </c:pt>
                <c:pt idx="7">
                  <c:v>67.24</c:v>
                </c:pt>
                <c:pt idx="8">
                  <c:v>66.51</c:v>
                </c:pt>
                <c:pt idx="9">
                  <c:v>66.43</c:v>
                </c:pt>
                <c:pt idx="10">
                  <c:v>66.15</c:v>
                </c:pt>
                <c:pt idx="11">
                  <c:v>66.11</c:v>
                </c:pt>
                <c:pt idx="12">
                  <c:v>63.56</c:v>
                </c:pt>
                <c:pt idx="13">
                  <c:v>60.53</c:v>
                </c:pt>
                <c:pt idx="14">
                  <c:v>59.24</c:v>
                </c:pt>
                <c:pt idx="15">
                  <c:v>54.15</c:v>
                </c:pt>
              </c:numCache>
            </c:numRef>
          </c:val>
        </c:ser>
        <c:dLbls>
          <c:showLegendKey val="0"/>
          <c:showVal val="0"/>
          <c:showCatName val="0"/>
          <c:showSerName val="0"/>
          <c:showPercent val="0"/>
          <c:showBubbleSize val="0"/>
        </c:dLbls>
        <c:gapWidth val="219"/>
        <c:overlap val="-27"/>
        <c:axId val="811081504"/>
        <c:axId val="811090656"/>
      </c:barChart>
      <c:catAx>
        <c:axId val="81108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90656"/>
        <c:crosses val="autoZero"/>
        <c:auto val="1"/>
        <c:lblAlgn val="ctr"/>
        <c:lblOffset val="100"/>
        <c:noMultiLvlLbl val="0"/>
      </c:catAx>
      <c:valAx>
        <c:axId val="811090656"/>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存贷比</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08150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019a09e-103c-4952-9cff-04ea6ff2e18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rtlCol="0" anchor="t" anchorCtr="1"/>
          <a:lstStyle/>
          <a:p>
            <a:pPr algn="l">
              <a:defRPr lang="zh-CN" sz="1800" b="1" i="0" u="none" strike="noStrike" kern="1200" baseline="0">
                <a:solidFill>
                  <a:schemeClr val="tx1"/>
                </a:solidFill>
                <a:latin typeface="+mn-lt"/>
                <a:ea typeface="+mn-ea"/>
                <a:cs typeface="+mn-cs"/>
              </a:defRPr>
            </a:pPr>
            <a:r>
              <a:rPr lang="en-US"/>
              <a:t>近12个月银行存款余额变动情况（单位：亿元）</a:t>
            </a:r>
            <a:endParaRPr lang="en-US" sz="1100"/>
          </a:p>
        </c:rich>
      </c:tx>
      <c:layout/>
      <c:overlay val="0"/>
      <c:spPr>
        <a:noFill/>
        <a:ln>
          <a:noFill/>
        </a:ln>
        <a:effectLst/>
      </c:spPr>
    </c:title>
    <c:autoTitleDeleted val="0"/>
    <c:plotArea>
      <c:layout/>
      <c:lineChart>
        <c:grouping val="standard"/>
        <c:varyColors val="0"/>
        <c:ser>
          <c:idx val="0"/>
          <c:order val="0"/>
          <c:tx>
            <c:strRef>
              <c:f>Sheet1!$B$1</c:f>
              <c:strCache>
                <c:ptCount val="1"/>
                <c:pt idx="0">
                  <c:v>住房公积金存款余额</c:v>
                </c:pt>
              </c:strCache>
            </c:strRef>
          </c:tx>
          <c:spPr>
            <a:ln w="28575" cap="rnd" cmpd="sng" algn="ctr">
              <a:solidFill>
                <a:schemeClr val="accent1"/>
              </a:solidFill>
              <a:prstDash val="solid"/>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Sheet1!$B$2:$B$13</c:f>
              <c:numCache>
                <c:formatCode>General</c:formatCode>
                <c:ptCount val="12"/>
                <c:pt idx="0">
                  <c:v>78.03</c:v>
                </c:pt>
                <c:pt idx="1">
                  <c:v>80.46</c:v>
                </c:pt>
                <c:pt idx="2">
                  <c:v>82.79</c:v>
                </c:pt>
                <c:pt idx="3">
                  <c:v>84.31</c:v>
                </c:pt>
                <c:pt idx="4">
                  <c:v>85.92</c:v>
                </c:pt>
                <c:pt idx="5">
                  <c:v>85.76</c:v>
                </c:pt>
                <c:pt idx="6">
                  <c:v>87.61</c:v>
                </c:pt>
                <c:pt idx="7">
                  <c:v>87.59</c:v>
                </c:pt>
                <c:pt idx="8">
                  <c:v>89.07</c:v>
                </c:pt>
                <c:pt idx="9">
                  <c:v>0</c:v>
                </c:pt>
                <c:pt idx="10">
                  <c:v>0</c:v>
                </c:pt>
                <c:pt idx="11">
                  <c:v>0</c:v>
                </c:pt>
              </c:numCache>
            </c:numRef>
          </c:val>
          <c:smooth val="0"/>
        </c:ser>
        <c:ser>
          <c:idx val="1"/>
          <c:order val="1"/>
          <c:tx>
            <c:strRef>
              <c:f>Sheet1!$C$1</c:f>
              <c:strCache>
                <c:ptCount val="1"/>
                <c:pt idx="0">
                  <c:v>增值收益存款余额</c:v>
                </c:pt>
              </c:strCache>
            </c:strRef>
          </c:tx>
          <c:spPr>
            <a:ln w="28575" cap="rnd" cmpd="sng" algn="ctr">
              <a:solidFill>
                <a:schemeClr val="accent2"/>
              </a:solidFill>
              <a:prstDash val="solid"/>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Sheet1!$C$2:$C$13</c:f>
              <c:numCache>
                <c:formatCode>General</c:formatCode>
                <c:ptCount val="12"/>
                <c:pt idx="0">
                  <c:v>4.38</c:v>
                </c:pt>
                <c:pt idx="1">
                  <c:v>4.58</c:v>
                </c:pt>
                <c:pt idx="2">
                  <c:v>4.36</c:v>
                </c:pt>
                <c:pt idx="3">
                  <c:v>4.36</c:v>
                </c:pt>
                <c:pt idx="4">
                  <c:v>4.21</c:v>
                </c:pt>
                <c:pt idx="5">
                  <c:v>4.77</c:v>
                </c:pt>
                <c:pt idx="6">
                  <c:v>4.67</c:v>
                </c:pt>
                <c:pt idx="7">
                  <c:v>5.52</c:v>
                </c:pt>
                <c:pt idx="8">
                  <c:v>5.43</c:v>
                </c:pt>
                <c:pt idx="9">
                  <c:v>0</c:v>
                </c:pt>
                <c:pt idx="10">
                  <c:v>0</c:v>
                </c:pt>
                <c:pt idx="11">
                  <c:v>0</c:v>
                </c:pt>
              </c:numCache>
            </c:numRef>
          </c:val>
          <c:smooth val="0"/>
        </c:ser>
        <c:ser>
          <c:idx val="2"/>
          <c:order val="2"/>
          <c:tx>
            <c:strRef>
              <c:f>Sheet1!$D$1</c:f>
              <c:strCache>
                <c:ptCount val="1"/>
                <c:pt idx="0">
                  <c:v>存款余额合计</c:v>
                </c:pt>
              </c:strCache>
            </c:strRef>
          </c:tx>
          <c:spPr>
            <a:ln w="28575" cap="rnd" cmpd="sng" algn="ctr">
              <a:solidFill>
                <a:schemeClr val="accent3"/>
              </a:solidFill>
              <a:prstDash val="solid"/>
              <a:round/>
            </a:ln>
            <a:effectLst/>
          </c:spPr>
          <c:marker>
            <c:symbol val="none"/>
          </c:marker>
          <c:dLbls>
            <c:delete val="1"/>
          </c:dLbls>
          <c:cat>
            <c:strRef>
              <c:f>Sheet1!$A$2:$A$13</c:f>
              <c:strCache>
                <c:ptCount val="12"/>
                <c:pt idx="0">
                  <c:v>2026年01月</c:v>
                </c:pt>
                <c:pt idx="1">
                  <c:v>2026年02月</c:v>
                </c:pt>
                <c:pt idx="2">
                  <c:v>2026年03月</c:v>
                </c:pt>
                <c:pt idx="3">
                  <c:v>2026年04月</c:v>
                </c:pt>
                <c:pt idx="4">
                  <c:v>2026年05月</c:v>
                </c:pt>
                <c:pt idx="5">
                  <c:v>2026年06月</c:v>
                </c:pt>
                <c:pt idx="6">
                  <c:v>2026年07月</c:v>
                </c:pt>
                <c:pt idx="7">
                  <c:v>2026年08月</c:v>
                </c:pt>
                <c:pt idx="8">
                  <c:v>2026年09月</c:v>
                </c:pt>
                <c:pt idx="9">
                  <c:v>2026年10月</c:v>
                </c:pt>
                <c:pt idx="10">
                  <c:v>2026年11月</c:v>
                </c:pt>
                <c:pt idx="11">
                  <c:v>2026年12月</c:v>
                </c:pt>
              </c:strCache>
            </c:strRef>
          </c:cat>
          <c:val>
            <c:numRef>
              <c:f>Sheet1!$D$2:$D$13</c:f>
              <c:numCache>
                <c:formatCode>General</c:formatCode>
                <c:ptCount val="12"/>
                <c:pt idx="0">
                  <c:v>82.41</c:v>
                </c:pt>
                <c:pt idx="1">
                  <c:v>85.05</c:v>
                </c:pt>
                <c:pt idx="2">
                  <c:v>87.14</c:v>
                </c:pt>
                <c:pt idx="3">
                  <c:v>88.67</c:v>
                </c:pt>
                <c:pt idx="4">
                  <c:v>90.13</c:v>
                </c:pt>
                <c:pt idx="5">
                  <c:v>90.53</c:v>
                </c:pt>
                <c:pt idx="6">
                  <c:v>92.29</c:v>
                </c:pt>
                <c:pt idx="7">
                  <c:v>93.12</c:v>
                </c:pt>
                <c:pt idx="8">
                  <c:v>94.5</c:v>
                </c:pt>
                <c:pt idx="9">
                  <c:v>0</c:v>
                </c:pt>
                <c:pt idx="10">
                  <c:v>0</c:v>
                </c:pt>
                <c:pt idx="11">
                  <c:v>0</c:v>
                </c:pt>
              </c:numCache>
            </c:numRef>
          </c:val>
          <c:smooth val="0"/>
        </c:ser>
        <c:dLbls>
          <c:showLegendKey val="0"/>
          <c:showVal val="0"/>
          <c:showCatName val="0"/>
          <c:showSerName val="0"/>
          <c:showPercent val="0"/>
          <c:showBubbleSize val="0"/>
        </c:dLbls>
        <c:marker val="0"/>
        <c:smooth val="0"/>
        <c:axId val="720367632"/>
        <c:axId val="720368048"/>
      </c:lineChart>
      <c:catAx>
        <c:axId val="72036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0368048"/>
        <c:crosses val="autoZero"/>
        <c:auto val="1"/>
        <c:lblAlgn val="ctr"/>
        <c:lblOffset val="100"/>
        <c:noMultiLvlLbl val="0"/>
      </c:catAx>
      <c:valAx>
        <c:axId val="72036804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rtlCol="0" anchor="t" anchorCtr="1"/>
              <a:lstStyle/>
              <a:p>
                <a:pPr algn="l">
                  <a:defRPr lang="zh-CN" sz="1000" b="1" i="0" u="none" strike="noStrike" kern="1200" baseline="0">
                    <a:solidFill>
                      <a:schemeClr val="tx1"/>
                    </a:solidFill>
                    <a:latin typeface="+mn-lt"/>
                    <a:ea typeface="+mn-ea"/>
                    <a:cs typeface="+mn-cs"/>
                  </a:defRPr>
                </a:pPr>
                <a:r>
                  <a:rPr lang="en-US"/>
                  <a:t>金额</a:t>
                </a:r>
                <a:endParaRPr lang="en-US" sz="1100"/>
              </a:p>
            </c:rich>
          </c:tx>
          <c:layout/>
          <c:overlay val="0"/>
        </c:title>
        <c:numFmt formatCode="General" sourceLinked="1"/>
        <c:majorTickMark val="none"/>
        <c:minorTickMark val="none"/>
        <c:tickLblPos val="nextTo"/>
        <c:spPr>
          <a:noFill/>
          <a:ln w="1270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036763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7934cad-ab22-4db7-aafa-1b98478245c7}"/>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银行存款余额占比情况</a:t>
            </a:r>
            <a:endParaRPr lang="zh-CN" altLang="en-US"/>
          </a:p>
        </c:rich>
      </c:tx>
      <c:layout/>
      <c:overlay val="0"/>
      <c:spPr>
        <a:noFill/>
        <a:ln>
          <a:noFill/>
        </a:ln>
        <a:effectLst/>
      </c:spPr>
    </c:title>
    <c:autoTitleDeleted val="0"/>
    <c:plotArea>
      <c:layout/>
      <c:pieChart>
        <c:varyColors val="1"/>
        <c:ser>
          <c:idx val="0"/>
          <c:order val="0"/>
          <c:tx>
            <c:strRef>
              <c:f>Sheet1!$B$1</c:f>
              <c:strCache>
                <c:ptCount val="1"/>
                <c:pt idx="0">
                  <c:v>银行存款余额占比情况</c:v>
                </c:pt>
              </c:strCache>
            </c:strRef>
          </c:tx>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dPt>
          <c:dPt>
            <c:idx val="5"/>
            <c:bubble3D val="0"/>
          </c:dPt>
          <c:dPt>
            <c:idx val="6"/>
            <c:bubble3D val="0"/>
          </c:dPt>
          <c:dPt>
            <c:idx val="7"/>
            <c:bubble3D val="0"/>
          </c:dPt>
          <c:dPt>
            <c:idx val="8"/>
            <c:bubble3D val="0"/>
          </c:dPt>
          <c:dPt>
            <c:idx val="9"/>
            <c:bubble3D val="0"/>
          </c:dPt>
          <c:dPt>
            <c:idx val="10"/>
            <c:bubble3D val="0"/>
          </c:dPt>
          <c:dPt>
            <c:idx val="11"/>
            <c:bubble3D val="0"/>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Sheet1!$A$2:$A$13</c:f>
              <c:strCache>
                <c:ptCount val="12"/>
                <c:pt idx="0">
                  <c:v>中国工商银行</c:v>
                </c:pt>
                <c:pt idx="1">
                  <c:v>日照银行</c:v>
                </c:pt>
                <c:pt idx="2">
                  <c:v>青岛银行</c:v>
                </c:pt>
                <c:pt idx="3">
                  <c:v>枣庄银行</c:v>
                </c:pt>
                <c:pt idx="4">
                  <c:v>滕州农商行</c:v>
                </c:pt>
                <c:pt idx="5">
                  <c:v>山东省农村信用社联合社</c:v>
                </c:pt>
                <c:pt idx="6">
                  <c:v>交通银行</c:v>
                </c:pt>
                <c:pt idx="7">
                  <c:v>中国邮政储蓄银行</c:v>
                </c:pt>
                <c:pt idx="8">
                  <c:v>恒丰银行</c:v>
                </c:pt>
                <c:pt idx="9">
                  <c:v>中国建设银行</c:v>
                </c:pt>
                <c:pt idx="10">
                  <c:v>中国农业银行</c:v>
                </c:pt>
                <c:pt idx="11">
                  <c:v>中国银行</c:v>
                </c:pt>
              </c:strCache>
            </c:strRef>
          </c:cat>
          <c:val>
            <c:numRef>
              <c:f>Sheet1!$B$2:$B$13</c:f>
              <c:numCache>
                <c:formatCode>General</c:formatCode>
                <c:ptCount val="12"/>
                <c:pt idx="0">
                  <c:v>13.61</c:v>
                </c:pt>
                <c:pt idx="1">
                  <c:v>0</c:v>
                </c:pt>
                <c:pt idx="2">
                  <c:v>0</c:v>
                </c:pt>
                <c:pt idx="3">
                  <c:v>0.55</c:v>
                </c:pt>
                <c:pt idx="4">
                  <c:v>0</c:v>
                </c:pt>
                <c:pt idx="5">
                  <c:v>0.59</c:v>
                </c:pt>
                <c:pt idx="6">
                  <c:v>1.61</c:v>
                </c:pt>
                <c:pt idx="7">
                  <c:v>11.53</c:v>
                </c:pt>
                <c:pt idx="8">
                  <c:v>2.19</c:v>
                </c:pt>
                <c:pt idx="9">
                  <c:v>52.19</c:v>
                </c:pt>
                <c:pt idx="10">
                  <c:v>14.81</c:v>
                </c:pt>
                <c:pt idx="11">
                  <c:v>2.91</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800f038-cfc2-4372-945d-17e00dcee781}"/>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3938</Words>
  <Characters>5153</Characters>
  <Lines>235</Lines>
  <Paragraphs>76</Paragraphs>
  <TotalTime>3</TotalTime>
  <ScaleCrop>false</ScaleCrop>
  <LinksUpToDate>false</LinksUpToDate>
  <CharactersWithSpaces>5158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2025-09-02T06:31:00Z</dcterms:created>
  <dc:creator>LGDay</dc:creator>
  <cp:lastModifiedBy>乔永齐</cp:lastModifiedBy>
  <dcterms:modified xsi:type="dcterms:W3CDTF">2026-10-20T08:34:06Z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EE14A07FDF8A4CD0971ED0A3B1954147_12</vt:lpwstr>
  </property>
  <property fmtid="{D5CDD505-2E9C-101B-9397-08002B2CF9AE}" pid="4" name="KSOTemplateDocerSaveRecord">
    <vt:lpwstr>eyJoZGlkIjoiMWE4MTM4Y2U2ODRhM2RlM2QyZGEyZWQ3NDdhMDU1MjMiLCJ1c2VySWQiOiIxMDc4MzE0NDExIn0=</vt:lpwstr>
  </property>
</Properties>
</file>