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02807">
      <w:pPr>
        <w:keepNext w:val="0"/>
        <w:keepLines w:val="0"/>
        <w:pageBreakBefore w:val="0"/>
        <w:widowControl w:val="0"/>
        <w:kinsoku/>
        <w:wordWrap/>
        <w:overflowPunct/>
        <w:topLinePunct w:val="0"/>
        <w:autoSpaceDE/>
        <w:autoSpaceDN/>
        <w:bidi w:val="0"/>
        <w:adjustRightInd/>
        <w:snapToGrid/>
        <w:spacing w:before="1160" w:line="760" w:lineRule="exact"/>
        <w:jc w:val="center"/>
        <w:textAlignment w:val="auto"/>
        <w:rPr>
          <w:rFonts w:hint="eastAsia" w:ascii="方正小标宋简体" w:hAnsi="方正小标宋简体" w:eastAsia="方正小标宋简体" w:cs="方正小标宋简体"/>
          <w:sz w:val="56"/>
          <w:szCs w:val="56"/>
          <w:lang w:val="en-US" w:eastAsia="zh-CN"/>
        </w:rPr>
      </w:pPr>
      <w:r>
        <w:rPr>
          <w:rFonts w:hint="eastAsia" w:ascii="方正小标宋简体" w:hAnsi="方正小标宋简体" w:eastAsia="方正小标宋简体" w:cs="方正小标宋简体"/>
          <w:sz w:val="56"/>
          <w:szCs w:val="56"/>
          <w:lang w:val="en-US" w:eastAsia="zh-CN"/>
        </w:rPr>
        <w:t>人间传染的高致病性病原微生物</w:t>
      </w:r>
    </w:p>
    <w:p w14:paraId="6B316F3B">
      <w:pPr>
        <w:keepNext w:val="0"/>
        <w:keepLines w:val="0"/>
        <w:pageBreakBefore w:val="0"/>
        <w:widowControl w:val="0"/>
        <w:kinsoku/>
        <w:wordWrap/>
        <w:overflowPunct/>
        <w:topLinePunct w:val="0"/>
        <w:autoSpaceDE/>
        <w:autoSpaceDN/>
        <w:bidi w:val="0"/>
        <w:adjustRightInd/>
        <w:snapToGrid/>
        <w:spacing w:after="360" w:line="760" w:lineRule="exact"/>
        <w:jc w:val="center"/>
        <w:textAlignment w:val="auto"/>
        <w:rPr>
          <w:rFonts w:hint="eastAsia"/>
        </w:rPr>
      </w:pPr>
      <w:r>
        <w:rPr>
          <w:rFonts w:hint="eastAsia" w:ascii="方正小标宋简体" w:hAnsi="方正小标宋简体" w:eastAsia="方正小标宋简体" w:cs="方正小标宋简体"/>
          <w:sz w:val="56"/>
          <w:szCs w:val="56"/>
          <w:lang w:val="en-US" w:eastAsia="zh-CN"/>
        </w:rPr>
        <w:t>实验活</w:t>
      </w:r>
      <w:bookmarkStart w:id="0" w:name="_GoBack"/>
      <w:bookmarkEnd w:id="0"/>
      <w:r>
        <w:rPr>
          <w:rFonts w:hint="eastAsia" w:ascii="方正小标宋简体" w:hAnsi="方正小标宋简体" w:eastAsia="方正小标宋简体" w:cs="方正小标宋简体"/>
          <w:sz w:val="56"/>
          <w:szCs w:val="56"/>
          <w:lang w:val="en-US" w:eastAsia="zh-CN"/>
        </w:rPr>
        <w:t>动审批管理办法</w:t>
      </w:r>
    </w:p>
    <w:p w14:paraId="562C2B85">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42"/>
        </w:rPr>
      </w:pPr>
    </w:p>
    <w:p w14:paraId="6C81125E">
      <w:pPr>
        <w:keepNext w:val="0"/>
        <w:keepLines w:val="0"/>
        <w:pageBreakBefore w:val="0"/>
        <w:widowControl w:val="0"/>
        <w:numPr>
          <w:ilvl w:val="0"/>
          <w:numId w:val="0"/>
        </w:numPr>
        <w:kinsoku/>
        <w:wordWrap/>
        <w:overflowPunct/>
        <w:topLinePunct w:val="0"/>
        <w:autoSpaceDE/>
        <w:autoSpaceDN/>
        <w:bidi w:val="0"/>
        <w:adjustRightInd/>
        <w:snapToGrid/>
        <w:spacing w:line="760" w:lineRule="exact"/>
        <w:jc w:val="center"/>
        <w:textAlignment w:val="auto"/>
        <w:rPr>
          <w:rFonts w:hint="eastAsia" w:ascii="黑体" w:hAnsi="黑体" w:eastAsia="黑体" w:cs="黑体"/>
          <w:sz w:val="42"/>
          <w:szCs w:val="40"/>
        </w:rPr>
      </w:pPr>
      <w:r>
        <w:rPr>
          <w:rFonts w:hint="default" w:ascii="黑体" w:hAnsi="黑体" w:eastAsia="黑体" w:cs="黑体"/>
          <w:sz w:val="42"/>
          <w:szCs w:val="40"/>
        </w:rPr>
        <w:t xml:space="preserve">第一章  </w:t>
      </w:r>
      <w:r>
        <w:rPr>
          <w:rFonts w:hint="eastAsia" w:ascii="黑体" w:hAnsi="黑体" w:eastAsia="黑体" w:cs="黑体"/>
          <w:sz w:val="42"/>
          <w:szCs w:val="40"/>
        </w:rPr>
        <w:t>总</w:t>
      </w:r>
      <w:r>
        <w:rPr>
          <w:rFonts w:hint="default" w:ascii="黑体" w:hAnsi="黑体" w:eastAsia="黑体" w:cs="黑体"/>
          <w:sz w:val="42"/>
          <w:szCs w:val="40"/>
        </w:rPr>
        <w:t xml:space="preserve">  </w:t>
      </w:r>
      <w:r>
        <w:rPr>
          <w:rFonts w:hint="eastAsia" w:ascii="黑体" w:hAnsi="黑体" w:eastAsia="黑体" w:cs="黑体"/>
          <w:sz w:val="42"/>
          <w:szCs w:val="40"/>
        </w:rPr>
        <w:t>则</w:t>
      </w:r>
    </w:p>
    <w:p w14:paraId="3277579D">
      <w:pPr>
        <w:keepNext w:val="0"/>
        <w:keepLines w:val="0"/>
        <w:pageBreakBefore w:val="0"/>
        <w:widowControl w:val="0"/>
        <w:numPr>
          <w:ilvl w:val="0"/>
          <w:numId w:val="0"/>
        </w:numPr>
        <w:kinsoku/>
        <w:wordWrap/>
        <w:overflowPunct/>
        <w:topLinePunct w:val="0"/>
        <w:autoSpaceDE/>
        <w:autoSpaceDN/>
        <w:bidi w:val="0"/>
        <w:adjustRightInd/>
        <w:snapToGrid/>
        <w:spacing w:line="760" w:lineRule="exact"/>
        <w:jc w:val="both"/>
        <w:textAlignment w:val="auto"/>
        <w:rPr>
          <w:rFonts w:hint="eastAsia" w:ascii="黑体" w:hAnsi="黑体" w:eastAsia="黑体" w:cs="黑体"/>
          <w:sz w:val="42"/>
          <w:szCs w:val="40"/>
        </w:rPr>
      </w:pPr>
    </w:p>
    <w:p w14:paraId="39E9F0CD">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_GB2312" w:hAnsi="仿宋_GB2312" w:eastAsia="仿宋_GB2312" w:cs="Times New Roman"/>
          <w:sz w:val="32"/>
          <w:szCs w:val="32"/>
        </w:rPr>
      </w:pPr>
      <w:r>
        <w:rPr>
          <w:rFonts w:hint="default" w:ascii="仿宋_GB2312" w:hAnsi="仿宋_GB2312" w:eastAsia="黑体" w:cs="Times New Roman"/>
          <w:sz w:val="42"/>
          <w:szCs w:val="42"/>
        </w:rPr>
        <w:t>第一条</w:t>
      </w:r>
      <w:r>
        <w:rPr>
          <w:rFonts w:ascii="仿宋_GB2312" w:hAnsi="仿宋_GB2312" w:eastAsia="仿宋_GB2312" w:cs="Times New Roman"/>
          <w:sz w:val="42"/>
          <w:szCs w:val="42"/>
        </w:rPr>
        <w:t xml:space="preserve"> </w:t>
      </w:r>
      <w:r>
        <w:rPr>
          <w:rFonts w:hint="default" w:ascii="仿宋_GB2312" w:hAnsi="仿宋_GB2312" w:eastAsia="仿宋_GB2312" w:cs="Times New Roman"/>
          <w:sz w:val="42"/>
          <w:szCs w:val="42"/>
        </w:rPr>
        <w:t xml:space="preserve"> </w:t>
      </w:r>
      <w:r>
        <w:rPr>
          <w:rFonts w:hint="eastAsia" w:ascii="仿宋" w:hAnsi="仿宋" w:eastAsia="仿宋" w:cs="仿宋"/>
          <w:sz w:val="42"/>
          <w:szCs w:val="42"/>
        </w:rPr>
        <w:t>为加强病原微生物实验室（以下简称实验室）生物安全管理，规范高致病性病原微生物实验活动，依据《中华人民共和国生物安全法》《病原微生物实验室生物安全管理条例》，制定本办法。</w:t>
      </w:r>
    </w:p>
    <w:p w14:paraId="7D160C30">
      <w:pPr>
        <w:keepNext w:val="0"/>
        <w:keepLines w:val="0"/>
        <w:pageBreakBefore w:val="0"/>
        <w:widowControl w:val="0"/>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第二条  </w:t>
      </w:r>
      <w:r>
        <w:rPr>
          <w:rFonts w:hint="eastAsia" w:ascii="仿宋" w:hAnsi="仿宋" w:eastAsia="仿宋" w:cs="仿宋"/>
          <w:sz w:val="42"/>
          <w:szCs w:val="42"/>
        </w:rPr>
        <w:t>本办法适用于三级、四级实验室从事</w:t>
      </w:r>
      <w:r>
        <w:rPr>
          <w:rFonts w:hint="default" w:ascii="仿宋" w:hAnsi="仿宋" w:eastAsia="仿宋" w:cs="仿宋"/>
          <w:sz w:val="42"/>
          <w:szCs w:val="42"/>
        </w:rPr>
        <w:t>《人间传染的病原微生物目录》（以下简称《目录》）规定的应当在三级、四级实验室开展的人间传染的高致病性病原微生物</w:t>
      </w:r>
      <w:r>
        <w:rPr>
          <w:rFonts w:hint="eastAsia" w:ascii="仿宋" w:hAnsi="仿宋" w:eastAsia="仿宋" w:cs="仿宋"/>
          <w:sz w:val="42"/>
          <w:szCs w:val="42"/>
        </w:rPr>
        <w:t>（以下简称高致病性病原微生物）</w:t>
      </w:r>
      <w:r>
        <w:rPr>
          <w:rFonts w:hint="default" w:ascii="仿宋" w:hAnsi="仿宋" w:eastAsia="仿宋" w:cs="仿宋"/>
          <w:sz w:val="42"/>
          <w:szCs w:val="42"/>
        </w:rPr>
        <w:t>或者疑似高致病性病原微生物实验活动的审批。</w:t>
      </w:r>
    </w:p>
    <w:p w14:paraId="6A061F61">
      <w:pPr>
        <w:keepNext w:val="0"/>
        <w:keepLines w:val="0"/>
        <w:pageBreakBefore w:val="0"/>
        <w:widowControl w:val="0"/>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第三条  </w:t>
      </w:r>
      <w:r>
        <w:rPr>
          <w:rFonts w:hint="default" w:ascii="仿宋" w:hAnsi="仿宋" w:eastAsia="仿宋" w:cs="仿宋"/>
          <w:sz w:val="42"/>
          <w:szCs w:val="42"/>
        </w:rPr>
        <w:t>本办法所称高致病性病原微生物</w:t>
      </w:r>
      <w:r>
        <w:rPr>
          <w:rFonts w:hint="eastAsia" w:ascii="仿宋" w:hAnsi="仿宋" w:eastAsia="仿宋" w:cs="仿宋"/>
          <w:sz w:val="42"/>
          <w:szCs w:val="42"/>
        </w:rPr>
        <w:t>或者疑似高致病性病原微生物</w:t>
      </w:r>
      <w:r>
        <w:rPr>
          <w:rFonts w:hint="default" w:ascii="仿宋" w:hAnsi="仿宋" w:eastAsia="仿宋" w:cs="仿宋"/>
          <w:sz w:val="42"/>
          <w:szCs w:val="42"/>
        </w:rPr>
        <w:t>是指国务院卫生健康主管部门颁布的《目录》中公布的第一类、第二类病原微生物和按照第一类、第二类管理的病原微生物，以及其他未列入《目录》的与人体健康有关的高致病性病原微生物或者疑似高致病性病原微生物。</w:t>
      </w:r>
    </w:p>
    <w:p w14:paraId="705E1FF4">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第四条 </w:t>
      </w:r>
      <w:r>
        <w:rPr>
          <w:rFonts w:hint="eastAsia" w:ascii="仿宋_GB2312" w:hAnsi="仿宋_GB2312" w:eastAsia="黑体" w:cs="Times New Roman"/>
          <w:sz w:val="42"/>
          <w:szCs w:val="42"/>
        </w:rPr>
        <w:t xml:space="preserve"> </w:t>
      </w:r>
      <w:r>
        <w:rPr>
          <w:rFonts w:hint="default" w:ascii="仿宋" w:hAnsi="仿宋" w:eastAsia="仿宋" w:cs="仿宋"/>
          <w:sz w:val="42"/>
          <w:szCs w:val="42"/>
        </w:rPr>
        <w:t>国务院卫生健康主管部门负责全国三级、四级实验室实验活动审批的监督管理工作。</w:t>
      </w:r>
    </w:p>
    <w:p w14:paraId="6BB01C00">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县级以上地方卫生健康主管部门负责本行政区域内三级、四级实验室实验活动的生物安全监督管理工作。</w:t>
      </w:r>
    </w:p>
    <w:p w14:paraId="34CD8CC8">
      <w:pPr>
        <w:keepNext w:val="0"/>
        <w:keepLines w:val="0"/>
        <w:pageBreakBefore w:val="0"/>
        <w:widowControl/>
        <w:kinsoku/>
        <w:wordWrap/>
        <w:overflowPunct/>
        <w:topLinePunct/>
        <w:autoSpaceDE/>
        <w:autoSpaceDN/>
        <w:bidi w:val="0"/>
        <w:adjustRightInd/>
        <w:snapToGrid w:val="0"/>
        <w:spacing w:line="760" w:lineRule="exact"/>
        <w:ind w:firstLine="640" w:firstLineChars="200"/>
        <w:jc w:val="both"/>
        <w:textAlignment w:val="auto"/>
        <w:rPr>
          <w:rFonts w:hint="default" w:ascii="仿宋_GB2312" w:hAnsi="仿宋_GB2312" w:eastAsia="仿宋_GB2312" w:cs="Times New Roman"/>
          <w:sz w:val="32"/>
          <w:szCs w:val="32"/>
        </w:rPr>
      </w:pPr>
    </w:p>
    <w:p w14:paraId="49CB9A56">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firstLine="840" w:firstLineChars="200"/>
        <w:jc w:val="center"/>
        <w:textAlignment w:val="auto"/>
        <w:rPr>
          <w:rFonts w:hint="default" w:ascii="黑体" w:hAnsi="黑体" w:eastAsia="黑体" w:cs="黑体"/>
          <w:sz w:val="42"/>
          <w:szCs w:val="40"/>
        </w:rPr>
      </w:pPr>
      <w:r>
        <w:rPr>
          <w:rFonts w:hint="default" w:ascii="黑体" w:hAnsi="黑体" w:eastAsia="黑体" w:cs="黑体"/>
          <w:sz w:val="42"/>
          <w:szCs w:val="40"/>
        </w:rPr>
        <w:t xml:space="preserve"> 实验活动的审批</w:t>
      </w:r>
    </w:p>
    <w:p w14:paraId="47A39BC3">
      <w:pPr>
        <w:pStyle w:val="2"/>
        <w:keepNext w:val="0"/>
        <w:keepLines w:val="0"/>
        <w:pageBreakBefore w:val="0"/>
        <w:numPr>
          <w:ilvl w:val="0"/>
          <w:numId w:val="0"/>
        </w:numPr>
        <w:kinsoku/>
        <w:wordWrap/>
        <w:overflowPunct/>
        <w:autoSpaceDE/>
        <w:autoSpaceDN/>
        <w:bidi w:val="0"/>
        <w:adjustRightInd/>
        <w:spacing w:line="760" w:lineRule="exact"/>
        <w:ind w:firstLine="640" w:firstLineChars="200"/>
        <w:textAlignment w:val="auto"/>
        <w:rPr>
          <w:rFonts w:hint="default"/>
        </w:rPr>
      </w:pPr>
    </w:p>
    <w:p w14:paraId="75EC9E2A">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第五条  </w:t>
      </w:r>
      <w:r>
        <w:rPr>
          <w:rFonts w:hint="default" w:ascii="仿宋" w:hAnsi="仿宋" w:eastAsia="仿宋" w:cs="仿宋"/>
          <w:sz w:val="42"/>
          <w:szCs w:val="42"/>
        </w:rPr>
        <w:t>三级、四级实验室需要从事《目录》规定的应当在三级、四级实验室进行的高致病性病原微生物实验活动的，应当报省级以上卫生健康主管部门批准。</w:t>
      </w:r>
    </w:p>
    <w:p w14:paraId="0F98C6CC">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其中，四级实验室申请从事高致病性病原微生物实验活动，或者三级实验室申请从事第一类病原微生物和按照第一类管理的病原微生物实验活动，由国务院卫生健康主管部门审批。</w:t>
      </w:r>
    </w:p>
    <w:p w14:paraId="16FD9ABD">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三级实验室申请从事第二类病原微生物和按照第二类管理的病原微生物实验活动，由省级卫生健康主管部门审批，并报国务院卫生健康主管部门备案。</w:t>
      </w:r>
    </w:p>
    <w:p w14:paraId="22F7C50D">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第六条  </w:t>
      </w:r>
      <w:r>
        <w:rPr>
          <w:rFonts w:hint="default" w:ascii="仿宋" w:hAnsi="仿宋" w:eastAsia="仿宋" w:cs="仿宋"/>
          <w:sz w:val="42"/>
          <w:szCs w:val="42"/>
        </w:rPr>
        <w:t>为了预防、控制传染病，需要对我国尚未发现或者已经宣布消灭的病原微生物从事相关实验活动的，应当经国务院卫生健康主管部门批准，并在国务院卫生健康主管部门指定的实验室中进行。</w:t>
      </w:r>
    </w:p>
    <w:p w14:paraId="484771DB">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拟从事未列入《目录》的高致病性病原微生物或者疑似高致病性病原微生物实验活动的，实验室应当先进行危害性评估，提出实验室生物安全防护级别，并按照程序报国务院卫生健康主管部门审批。</w:t>
      </w:r>
    </w:p>
    <w:p w14:paraId="1B78DE7F">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第七条  </w:t>
      </w:r>
      <w:r>
        <w:rPr>
          <w:rFonts w:hint="default" w:ascii="仿宋" w:hAnsi="仿宋" w:eastAsia="仿宋" w:cs="仿宋"/>
          <w:sz w:val="42"/>
          <w:szCs w:val="42"/>
        </w:rPr>
        <w:t>从事病原微生物实验活动应当在相应级别的实验室进行。实验室从事病原微生物实验活动，其级别应当不低于《目录》规定的该项实验活动所需的实验室级别。</w:t>
      </w:r>
    </w:p>
    <w:p w14:paraId="1B86FF09">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三级、四级实验室申请开展《目录》规定的应当在三级、四级实验室进行的高致病性病原微生物或者疑似高致病性病原微生物实验活动，应当具备以下条件：</w:t>
      </w:r>
    </w:p>
    <w:p w14:paraId="23478ECF">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（一）实验活动是以依法从事检测检验、诊断、科学研究、教学、菌（毒）种保藏、生物制品生产等为目的</w:t>
      </w:r>
      <w:r>
        <w:rPr>
          <w:rFonts w:hint="eastAsia" w:ascii="仿宋" w:hAnsi="仿宋" w:eastAsia="仿宋" w:cs="仿宋"/>
          <w:sz w:val="42"/>
          <w:szCs w:val="42"/>
        </w:rPr>
        <w:t>。</w:t>
      </w:r>
    </w:p>
    <w:p w14:paraId="09A1A214">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（二）实验室的生物安全防护级别应当与拟从事的实验活动相适应</w:t>
      </w:r>
      <w:r>
        <w:rPr>
          <w:rFonts w:hint="eastAsia" w:ascii="仿宋" w:hAnsi="仿宋" w:eastAsia="仿宋" w:cs="仿宋"/>
          <w:sz w:val="42"/>
          <w:szCs w:val="42"/>
        </w:rPr>
        <w:t>。</w:t>
      </w:r>
    </w:p>
    <w:p w14:paraId="6EDB8053">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（三）实验室应当具备与拟从事的实验活动相适应的人员、设备等</w:t>
      </w:r>
      <w:r>
        <w:rPr>
          <w:rFonts w:hint="eastAsia" w:ascii="仿宋" w:hAnsi="仿宋" w:eastAsia="仿宋" w:cs="仿宋"/>
          <w:sz w:val="42"/>
          <w:szCs w:val="42"/>
        </w:rPr>
        <w:t>。</w:t>
      </w:r>
    </w:p>
    <w:p w14:paraId="12A1A82F">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四）实验室应当根据《目录》，对拟从事实验活动的高致病性病原微生物或者疑似高致病性病原微生物的危害性进行评估，并制定切实可行的生物安全防护措施、实验室生物安全事件应急处置预案及标准操作程序。</w:t>
      </w:r>
    </w:p>
    <w:p w14:paraId="0D69C773">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第八条  </w:t>
      </w:r>
      <w:r>
        <w:rPr>
          <w:rFonts w:hint="default" w:ascii="仿宋" w:hAnsi="仿宋" w:eastAsia="仿宋" w:cs="仿宋"/>
          <w:sz w:val="42"/>
          <w:szCs w:val="42"/>
        </w:rPr>
        <w:t>国家对从事特定的高致病性病原微生物或者疑似高致病性病原微生物实验活动的单位有明确规定的，由国家指定的实验室开展有关实验活动。</w:t>
      </w:r>
    </w:p>
    <w:p w14:paraId="30445208">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第九条  </w:t>
      </w:r>
      <w:r>
        <w:rPr>
          <w:rFonts w:hint="default" w:ascii="仿宋" w:hAnsi="仿宋" w:eastAsia="仿宋" w:cs="仿宋"/>
          <w:sz w:val="42"/>
          <w:szCs w:val="42"/>
        </w:rPr>
        <w:t>申请开展《目录》规定的应当在三级、四级实验室进行的高致病性病原微生物或者疑似高致病性病原微生物实验活动，应当向省级卫生健康主管部门提交以下材料：</w:t>
      </w:r>
    </w:p>
    <w:p w14:paraId="2B599EC7">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（一）高致病性病原微生物实验活动申请表（一式二份）</w:t>
      </w:r>
      <w:r>
        <w:rPr>
          <w:rFonts w:hint="eastAsia" w:ascii="仿宋" w:hAnsi="仿宋" w:eastAsia="仿宋" w:cs="仿宋"/>
          <w:sz w:val="42"/>
          <w:szCs w:val="42"/>
        </w:rPr>
        <w:t>。</w:t>
      </w:r>
    </w:p>
    <w:p w14:paraId="7165F018">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（二）实验室所属法人机构的法人资格证书、</w:t>
      </w:r>
      <w:r>
        <w:rPr>
          <w:rFonts w:hint="default" w:ascii="仿宋" w:hAnsi="仿宋" w:eastAsia="仿宋" w:cs="仿宋"/>
          <w:sz w:val="42"/>
          <w:szCs w:val="42"/>
        </w:rPr>
        <w:t>生物安全委员会审查意见</w:t>
      </w:r>
      <w:r>
        <w:rPr>
          <w:rFonts w:hint="eastAsia" w:ascii="仿宋" w:hAnsi="仿宋" w:eastAsia="仿宋" w:cs="仿宋"/>
          <w:sz w:val="42"/>
          <w:szCs w:val="42"/>
        </w:rPr>
        <w:t>。</w:t>
      </w:r>
    </w:p>
    <w:p w14:paraId="78930AF2">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default" w:ascii="仿宋" w:hAnsi="仿宋" w:eastAsia="仿宋" w:cs="仿宋"/>
          <w:sz w:val="42"/>
          <w:szCs w:val="42"/>
        </w:rPr>
        <w:t>（三）</w:t>
      </w:r>
      <w:r>
        <w:rPr>
          <w:rFonts w:hint="eastAsia" w:ascii="仿宋" w:hAnsi="仿宋" w:eastAsia="仿宋" w:cs="仿宋"/>
          <w:sz w:val="42"/>
          <w:szCs w:val="42"/>
        </w:rPr>
        <w:t>实验室认可证书。</w:t>
      </w:r>
    </w:p>
    <w:p w14:paraId="73B854BB">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（四）实验室人员名单，实验室人员取得的生物安全岗位培训证书及所在单位颁发的上岗证书。</w:t>
      </w:r>
    </w:p>
    <w:p w14:paraId="1BC11EBD">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（五）实验室职能报告（包括工作范围、工作内容、上一周期运行情况等）、实验室生物安全管理手册、程序文件、风险评估报告、标准操作规程（SOP）、实验室生物安全事件应急处置预案。</w:t>
      </w:r>
    </w:p>
    <w:p w14:paraId="6742759A">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（六）实验设施、设备清单，个体防护设备、用品清单。</w:t>
      </w:r>
    </w:p>
    <w:p w14:paraId="2E404C3E">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第十条  </w:t>
      </w:r>
      <w:r>
        <w:rPr>
          <w:rFonts w:hint="default" w:ascii="仿宋" w:hAnsi="仿宋" w:eastAsia="仿宋" w:cs="仿宋"/>
          <w:sz w:val="42"/>
          <w:szCs w:val="42"/>
        </w:rPr>
        <w:t>高致病性病原微生物实验活动审批程序：</w:t>
      </w:r>
    </w:p>
    <w:p w14:paraId="5E4FE8E2">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default" w:ascii="仿宋" w:hAnsi="仿宋" w:eastAsia="仿宋" w:cs="仿宋"/>
          <w:sz w:val="42"/>
          <w:szCs w:val="42"/>
        </w:rPr>
        <w:t>（一）按照本办</w:t>
      </w:r>
      <w:r>
        <w:rPr>
          <w:rFonts w:hint="eastAsia" w:ascii="仿宋" w:hAnsi="仿宋" w:eastAsia="仿宋" w:cs="仿宋"/>
          <w:sz w:val="42"/>
          <w:szCs w:val="42"/>
        </w:rPr>
        <w:t>法第</w:t>
      </w:r>
      <w:r>
        <w:rPr>
          <w:rFonts w:hint="default" w:ascii="仿宋" w:hAnsi="仿宋" w:eastAsia="仿宋" w:cs="仿宋"/>
          <w:sz w:val="42"/>
          <w:szCs w:val="42"/>
        </w:rPr>
        <w:t>五</w:t>
      </w:r>
      <w:r>
        <w:rPr>
          <w:rFonts w:hint="eastAsia" w:ascii="仿宋" w:hAnsi="仿宋" w:eastAsia="仿宋" w:cs="仿宋"/>
          <w:sz w:val="42"/>
          <w:szCs w:val="42"/>
        </w:rPr>
        <w:t>条、第</w:t>
      </w:r>
      <w:r>
        <w:rPr>
          <w:rFonts w:hint="default" w:ascii="仿宋" w:hAnsi="仿宋" w:eastAsia="仿宋" w:cs="仿宋"/>
          <w:sz w:val="42"/>
          <w:szCs w:val="42"/>
        </w:rPr>
        <w:t>六</w:t>
      </w:r>
      <w:r>
        <w:rPr>
          <w:rFonts w:hint="eastAsia" w:ascii="仿宋" w:hAnsi="仿宋" w:eastAsia="仿宋" w:cs="仿宋"/>
          <w:sz w:val="42"/>
          <w:szCs w:val="42"/>
        </w:rPr>
        <w:t>条的规定，需要由国务院卫生健康主管部门批准的，省级卫生健康主管部门应当在</w:t>
      </w:r>
      <w:r>
        <w:rPr>
          <w:rFonts w:hint="default" w:ascii="仿宋" w:hAnsi="仿宋" w:eastAsia="仿宋" w:cs="仿宋"/>
          <w:sz w:val="42"/>
          <w:szCs w:val="42"/>
        </w:rPr>
        <w:t>受理</w:t>
      </w:r>
      <w:r>
        <w:rPr>
          <w:rFonts w:hint="eastAsia" w:ascii="仿宋" w:hAnsi="仿宋" w:eastAsia="仿宋" w:cs="仿宋"/>
          <w:sz w:val="42"/>
          <w:szCs w:val="42"/>
        </w:rPr>
        <w:t>申请材料之日起</w:t>
      </w:r>
      <w:r>
        <w:rPr>
          <w:rFonts w:hint="default" w:ascii="仿宋" w:hAnsi="仿宋" w:eastAsia="仿宋" w:cs="仿宋"/>
          <w:sz w:val="42"/>
          <w:szCs w:val="42"/>
        </w:rPr>
        <w:t>五</w:t>
      </w:r>
      <w:r>
        <w:rPr>
          <w:rFonts w:hint="eastAsia" w:ascii="仿宋" w:hAnsi="仿宋" w:eastAsia="仿宋" w:cs="仿宋"/>
          <w:sz w:val="42"/>
          <w:szCs w:val="42"/>
        </w:rPr>
        <w:t>个工作日内对申请材料进行核对；申请材料齐全、符合法定形式的，省级卫生健康主管部门应当将有关</w:t>
      </w:r>
      <w:r>
        <w:rPr>
          <w:rFonts w:hint="default" w:ascii="仿宋" w:hAnsi="仿宋" w:eastAsia="仿宋" w:cs="仿宋"/>
          <w:sz w:val="42"/>
          <w:szCs w:val="42"/>
        </w:rPr>
        <w:t>材</w:t>
      </w:r>
      <w:r>
        <w:rPr>
          <w:rFonts w:hint="eastAsia" w:ascii="仿宋" w:hAnsi="仿宋" w:eastAsia="仿宋" w:cs="仿宋"/>
          <w:sz w:val="42"/>
          <w:szCs w:val="42"/>
        </w:rPr>
        <w:t>料报国务院卫生健康主管部门。</w:t>
      </w:r>
    </w:p>
    <w:p w14:paraId="6E6F54F2">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（二）国务院卫生健康主管部门对材料进行审查，并组织专家委员会进行评估和论证，提出评估论证意见；专家评估和论证所需时限应当书面告知申请人。</w:t>
      </w:r>
    </w:p>
    <w:p w14:paraId="4224AA82">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（三）国务院卫生健康主管部门自收到专家评估论证意见之日起</w:t>
      </w:r>
      <w:r>
        <w:rPr>
          <w:rFonts w:hint="default" w:ascii="仿宋" w:hAnsi="仿宋" w:eastAsia="仿宋" w:cs="仿宋"/>
          <w:sz w:val="42"/>
          <w:szCs w:val="42"/>
        </w:rPr>
        <w:t>十</w:t>
      </w:r>
      <w:r>
        <w:rPr>
          <w:rFonts w:hint="eastAsia" w:ascii="仿宋" w:hAnsi="仿宋" w:eastAsia="仿宋" w:cs="仿宋"/>
          <w:sz w:val="42"/>
          <w:szCs w:val="42"/>
        </w:rPr>
        <w:t>个工作日内，做出是否批准的决定。对于批准实验活动的，由国务院卫生健康主管部门印发高致病性病原微生物实验活动批复。对不予批准的，由国务院卫生健康主管部门书面通知申请者并说明理由。对于批准的实验活动，国务院卫生健康主管部门应当告知实验室所在地省级卫生健康主管部门进行监督检查。</w:t>
      </w:r>
    </w:p>
    <w:p w14:paraId="47D586DC">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（四）按照本办法第五条的规定，需要由省级卫生健康主管部门批准的，由省级卫生健康主管部门</w:t>
      </w:r>
      <w:r>
        <w:rPr>
          <w:rFonts w:hint="default" w:ascii="仿宋" w:hAnsi="仿宋" w:eastAsia="仿宋" w:cs="仿宋"/>
          <w:sz w:val="42"/>
          <w:szCs w:val="42"/>
        </w:rPr>
        <w:t>参照国务院卫生健康主管部门制定的申报和审批程序进行</w:t>
      </w:r>
      <w:r>
        <w:rPr>
          <w:rFonts w:hint="eastAsia" w:ascii="仿宋" w:hAnsi="仿宋" w:eastAsia="仿宋" w:cs="仿宋"/>
          <w:sz w:val="42"/>
          <w:szCs w:val="42"/>
        </w:rPr>
        <w:t>，</w:t>
      </w:r>
      <w:r>
        <w:rPr>
          <w:rFonts w:hint="default" w:ascii="仿宋" w:hAnsi="仿宋" w:eastAsia="仿宋" w:cs="仿宋"/>
          <w:sz w:val="42"/>
          <w:szCs w:val="42"/>
        </w:rPr>
        <w:t>并</w:t>
      </w:r>
      <w:r>
        <w:rPr>
          <w:rFonts w:hint="eastAsia" w:ascii="仿宋" w:hAnsi="仿宋" w:eastAsia="仿宋" w:cs="仿宋"/>
          <w:sz w:val="42"/>
          <w:szCs w:val="42"/>
        </w:rPr>
        <w:t>应当在批准之日起</w:t>
      </w:r>
      <w:r>
        <w:rPr>
          <w:rFonts w:hint="default" w:ascii="仿宋" w:hAnsi="仿宋" w:eastAsia="仿宋" w:cs="仿宋"/>
          <w:sz w:val="42"/>
          <w:szCs w:val="42"/>
        </w:rPr>
        <w:t>十</w:t>
      </w:r>
      <w:r>
        <w:rPr>
          <w:rFonts w:hint="eastAsia" w:ascii="仿宋" w:hAnsi="仿宋" w:eastAsia="仿宋" w:cs="仿宋"/>
          <w:sz w:val="42"/>
          <w:szCs w:val="42"/>
        </w:rPr>
        <w:t>个工作日内报国务院卫生健康主管部门备案。</w:t>
      </w:r>
    </w:p>
    <w:p w14:paraId="3D6A9BE6">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（五）在突发公共卫生事件应急状态下，省级以上卫生健康主管部门可以根据疾病预防控制和医疗救治工作的紧急需要，简化审批程序，临时指定合格的实验室开展相应的实验活动。</w:t>
      </w:r>
    </w:p>
    <w:p w14:paraId="142F8DE9">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_GB2312" w:hAnsi="仿宋_GB2312" w:eastAsia="黑体" w:cs="Times New Roman"/>
          <w:sz w:val="32"/>
        </w:rPr>
      </w:pPr>
      <w:r>
        <w:rPr>
          <w:rFonts w:hint="eastAsia" w:ascii="仿宋" w:hAnsi="仿宋" w:eastAsia="仿宋" w:cs="仿宋"/>
          <w:sz w:val="42"/>
          <w:szCs w:val="42"/>
        </w:rPr>
        <w:t>省级以上卫生健康主管部门应当为申请人通过电报、电传、传真、电子数据交换和电子邮件等方式提出申请提供方便</w:t>
      </w:r>
      <w:r>
        <w:rPr>
          <w:rFonts w:hint="default" w:ascii="仿宋" w:hAnsi="仿宋" w:eastAsia="仿宋" w:cs="仿宋"/>
          <w:sz w:val="42"/>
          <w:szCs w:val="42"/>
        </w:rPr>
        <w:t>。</w:t>
      </w:r>
    </w:p>
    <w:p w14:paraId="4E4F4E1C">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第十一条  </w:t>
      </w:r>
      <w:r>
        <w:rPr>
          <w:rFonts w:hint="default" w:ascii="仿宋" w:hAnsi="仿宋" w:eastAsia="仿宋" w:cs="仿宋"/>
          <w:sz w:val="42"/>
          <w:szCs w:val="42"/>
        </w:rPr>
        <w:t>实验室申报或者接受与高致病性病原微生物有关的科研项目，应当符合科研需要和生物安全要求，具有相应的生物安全防护水平。按照本办法第五条、第六条规定，科研项目涉及到应由国务院卫生健康主管部门审批的实验活动的，承担单位应当将立项结果告知国务院卫生健康主管部门；科研项目涉及到应由省级卫生健康主管部门审批的实验活动的，承担单位应当将立项结果告知省级卫生健康主管部门。</w:t>
      </w:r>
    </w:p>
    <w:p w14:paraId="31539A30">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科研项目立项后所从事的实验活动，应当按照本办法第七条、第八条、第九条的规定报批。</w:t>
      </w:r>
    </w:p>
    <w:p w14:paraId="52F070F4">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第十二条  </w:t>
      </w:r>
      <w:r>
        <w:rPr>
          <w:rFonts w:hint="default" w:ascii="仿宋" w:hAnsi="仿宋" w:eastAsia="仿宋" w:cs="仿宋"/>
          <w:sz w:val="42"/>
          <w:szCs w:val="42"/>
        </w:rPr>
        <w:t>出入境检验检疫机构、医疗卫生机构等在实验室开展检测、诊断工作时，发现高致病性病原微生物或者疑似高致病性病原微生物，需要进一步从事《目录》规定的应当在三级、四级实验室进行的相关实验活动的，应当依照本办法的规定报批或者转运至具备资格的实验室开展实验活动。</w:t>
      </w:r>
    </w:p>
    <w:p w14:paraId="5E79D04C">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第十三条  </w:t>
      </w:r>
      <w:r>
        <w:rPr>
          <w:rFonts w:hint="default" w:ascii="仿宋" w:hAnsi="仿宋" w:eastAsia="仿宋" w:cs="仿宋"/>
          <w:sz w:val="42"/>
          <w:szCs w:val="42"/>
        </w:rPr>
        <w:t>需要在动物体上从事高致病性病原微生物相关实验活动的，应当按照《目录》的规定，在符合动物实验室生物安全国家标准的相应级别的实验室进行，并按照本办法的规定报批。</w:t>
      </w:r>
    </w:p>
    <w:p w14:paraId="1810F8F4">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第十四条  </w:t>
      </w:r>
      <w:r>
        <w:rPr>
          <w:rFonts w:hint="default" w:ascii="仿宋" w:hAnsi="仿宋" w:eastAsia="仿宋" w:cs="仿宋"/>
          <w:sz w:val="42"/>
          <w:szCs w:val="42"/>
        </w:rPr>
        <w:t>经批准开展高致病性病原微生物或者疑似高致病性病原微生物实验活动的三级、四级实验室平面布局及结构、关键设施设备、关键岗位人员、生物安全管理体系文件、实验活动内容以及其他可能影响生物安全的因素发生实质变化时，应当向原批准部门报告。原批准部门应当评估其生物安全风险，必要时可组织专家重新进行现场评估。</w:t>
      </w:r>
    </w:p>
    <w:p w14:paraId="1F1683D2">
      <w:pPr>
        <w:keepNext w:val="0"/>
        <w:keepLines w:val="0"/>
        <w:pageBreakBefore w:val="0"/>
        <w:widowControl/>
        <w:kinsoku/>
        <w:wordWrap/>
        <w:overflowPunct/>
        <w:topLinePunct/>
        <w:autoSpaceDE/>
        <w:autoSpaceDN/>
        <w:bidi w:val="0"/>
        <w:adjustRightInd/>
        <w:snapToGrid w:val="0"/>
        <w:spacing w:line="760" w:lineRule="exact"/>
        <w:ind w:firstLine="640" w:firstLineChars="200"/>
        <w:jc w:val="both"/>
        <w:textAlignment w:val="auto"/>
        <w:rPr>
          <w:rFonts w:hint="default" w:ascii="仿宋_GB2312" w:hAnsi="仿宋_GB2312" w:eastAsia="仿宋_GB2312" w:cs="Times New Roman"/>
          <w:kern w:val="0"/>
          <w:sz w:val="32"/>
          <w:szCs w:val="32"/>
          <w:lang w:bidi="ar"/>
        </w:rPr>
      </w:pPr>
    </w:p>
    <w:p w14:paraId="484E27EA">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firstLine="840" w:firstLineChars="200"/>
        <w:jc w:val="center"/>
        <w:textAlignment w:val="auto"/>
        <w:rPr>
          <w:rFonts w:hint="default" w:ascii="黑体" w:hAnsi="黑体" w:eastAsia="黑体" w:cs="黑体"/>
          <w:sz w:val="42"/>
          <w:szCs w:val="40"/>
        </w:rPr>
      </w:pPr>
      <w:r>
        <w:rPr>
          <w:rFonts w:hint="default" w:ascii="黑体" w:hAnsi="黑体" w:eastAsia="黑体" w:cs="黑体"/>
          <w:sz w:val="42"/>
          <w:szCs w:val="40"/>
        </w:rPr>
        <w:t>第三章  管理与监督</w:t>
      </w:r>
      <w:r>
        <w:rPr>
          <w:rFonts w:hint="default" w:ascii="黑体" w:hAnsi="黑体" w:eastAsia="黑体" w:cs="黑体"/>
          <w:sz w:val="42"/>
          <w:szCs w:val="40"/>
        </w:rPr>
        <w:br w:type="textWrapping"/>
      </w:r>
    </w:p>
    <w:p w14:paraId="729A499F">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第十五条  </w:t>
      </w:r>
      <w:r>
        <w:rPr>
          <w:rFonts w:hint="default" w:ascii="仿宋" w:hAnsi="仿宋" w:eastAsia="仿宋" w:cs="仿宋"/>
          <w:sz w:val="42"/>
          <w:szCs w:val="42"/>
        </w:rPr>
        <w:t>实验室的设立单位及其主管部门应当按照《病原微生物实验室生物安全管理条例》等有关规定，加强对三级、四级实验室的生物安全防护和实验活动的管理。</w:t>
      </w:r>
    </w:p>
    <w:p w14:paraId="594B3B7B">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第十六条  </w:t>
      </w:r>
      <w:r>
        <w:rPr>
          <w:rFonts w:hint="default" w:ascii="仿宋" w:hAnsi="仿宋" w:eastAsia="仿宋" w:cs="仿宋"/>
          <w:sz w:val="42"/>
          <w:szCs w:val="42"/>
        </w:rPr>
        <w:t>三级、四级实验室应当在明显位置标示生物危险标识和生物安全实验室级别标志。</w:t>
      </w:r>
      <w:r>
        <w:rPr>
          <w:rFonts w:hint="default" w:ascii="仿宋" w:hAnsi="仿宋" w:eastAsia="仿宋" w:cs="仿宋"/>
          <w:sz w:val="42"/>
          <w:szCs w:val="42"/>
        </w:rPr>
        <w:br w:type="textWrapping"/>
      </w:r>
      <w:r>
        <w:rPr>
          <w:rFonts w:hint="default" w:ascii="仿宋" w:hAnsi="仿宋" w:eastAsia="仿宋" w:cs="仿宋"/>
          <w:sz w:val="42"/>
          <w:szCs w:val="42"/>
        </w:rPr>
        <w:t xml:space="preserve">    三级、四级实验室应当制定科学、严格的管理制度并认真贯彻执行。</w:t>
      </w:r>
    </w:p>
    <w:p w14:paraId="5C0EEACC">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_GB2312" w:hAnsi="仿宋_GB2312" w:eastAsia="黑体" w:cs="Times New Roman"/>
          <w:sz w:val="32"/>
        </w:rPr>
      </w:pPr>
      <w:r>
        <w:rPr>
          <w:rFonts w:hint="default" w:ascii="仿宋_GB2312" w:hAnsi="仿宋_GB2312" w:eastAsia="黑体" w:cs="Times New Roman"/>
          <w:sz w:val="42"/>
          <w:szCs w:val="42"/>
        </w:rPr>
        <w:t xml:space="preserve">第十七条  </w:t>
      </w:r>
      <w:r>
        <w:rPr>
          <w:rFonts w:hint="default" w:ascii="仿宋" w:hAnsi="仿宋" w:eastAsia="仿宋" w:cs="仿宋"/>
          <w:sz w:val="42"/>
          <w:szCs w:val="42"/>
        </w:rPr>
        <w:t>三级、四级实验室应当每年定期对工作人员进行培训，并对实验室工作人员进行健康监测。</w:t>
      </w:r>
    </w:p>
    <w:p w14:paraId="493F6FFC">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ascii="仿宋_GB2312" w:hAnsi="仿宋_GB2312" w:eastAsia="仿宋_GB2312" w:cs="Times New Roman"/>
          <w:sz w:val="32"/>
          <w:szCs w:val="32"/>
        </w:rPr>
      </w:pPr>
      <w:r>
        <w:rPr>
          <w:rFonts w:hint="default" w:ascii="仿宋_GB2312" w:hAnsi="仿宋_GB2312" w:eastAsia="黑体" w:cs="Times New Roman"/>
          <w:sz w:val="42"/>
          <w:szCs w:val="42"/>
        </w:rPr>
        <w:t xml:space="preserve">第十八条  </w:t>
      </w:r>
      <w:r>
        <w:rPr>
          <w:rFonts w:hint="default" w:ascii="仿宋" w:hAnsi="仿宋" w:eastAsia="仿宋" w:cs="仿宋"/>
          <w:sz w:val="42"/>
          <w:szCs w:val="42"/>
        </w:rPr>
        <w:t>三级、四级实验室应当建立完备的实验记录和档案，做好实验室感染控制工作，制定实验室生物安全事件应急处置预案。</w:t>
      </w:r>
    </w:p>
    <w:p w14:paraId="0281C3FE">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第十九条  </w:t>
      </w:r>
      <w:r>
        <w:rPr>
          <w:rFonts w:hint="default" w:ascii="仿宋" w:hAnsi="仿宋" w:eastAsia="仿宋" w:cs="仿宋"/>
          <w:sz w:val="42"/>
          <w:szCs w:val="42"/>
        </w:rPr>
        <w:t>三级、四级实验室从事的高致病性病原微生物实验活动结束后，应当及时将病原微生物菌（毒）种和样本就地销毁或者送交保藏机构保管，并及时将实验活动结果以及工作情况向原批准部门报告。</w:t>
      </w:r>
    </w:p>
    <w:p w14:paraId="762C4B18">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第二十条  </w:t>
      </w:r>
      <w:r>
        <w:rPr>
          <w:rFonts w:hint="default" w:ascii="仿宋" w:hAnsi="仿宋" w:eastAsia="仿宋" w:cs="仿宋"/>
          <w:sz w:val="42"/>
          <w:szCs w:val="42"/>
        </w:rPr>
        <w:t>三级、四级实验室使用新技术、新方法从事高致病性病原微生物相关实验活动的，应当符合防止高致病性病原微生物扩散、保证生物安全和操作者人身安全的要求。</w:t>
      </w:r>
    </w:p>
    <w:p w14:paraId="5DF219D5">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三级、四级实验室所属法人机构生物安全委员会应对其进行评价，并报国家病原微生物实验室生物安全专家委员会论证；经论证可行的，方可使用。</w:t>
      </w:r>
    </w:p>
    <w:p w14:paraId="409C6BD3">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_GB2312" w:hAnsi="仿宋_GB2312" w:eastAsia="仿宋_GB2312" w:cs="Times New Roman"/>
          <w:sz w:val="32"/>
          <w:szCs w:val="32"/>
        </w:rPr>
      </w:pPr>
      <w:r>
        <w:rPr>
          <w:rFonts w:hint="default" w:ascii="仿宋_GB2312" w:hAnsi="仿宋_GB2312" w:eastAsia="黑体" w:cs="Times New Roman"/>
          <w:sz w:val="42"/>
          <w:szCs w:val="42"/>
        </w:rPr>
        <w:t xml:space="preserve">第二十一条  </w:t>
      </w:r>
      <w:r>
        <w:rPr>
          <w:rFonts w:hint="default" w:ascii="仿宋" w:hAnsi="仿宋" w:eastAsia="仿宋" w:cs="仿宋"/>
          <w:sz w:val="42"/>
          <w:szCs w:val="42"/>
        </w:rPr>
        <w:t>各级卫生健康主管部门应当按照有关法律法规和规章的规定，对三级、四级实验室及其实验活动进行监督检查。</w:t>
      </w:r>
    </w:p>
    <w:p w14:paraId="3B69E08E">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第二十二条  </w:t>
      </w:r>
      <w:r>
        <w:rPr>
          <w:rFonts w:hint="default" w:ascii="仿宋" w:hAnsi="仿宋" w:eastAsia="仿宋" w:cs="仿宋"/>
          <w:sz w:val="42"/>
          <w:szCs w:val="42"/>
        </w:rPr>
        <w:t>对于违反本办法规定的行为，依照《中华人民共和国生物安全法》《病原微生物实验室生物安全管理条例》等有关规定予以处罚。</w:t>
      </w:r>
    </w:p>
    <w:p w14:paraId="075C839C">
      <w:pPr>
        <w:keepNext w:val="0"/>
        <w:keepLines w:val="0"/>
        <w:pageBreakBefore w:val="0"/>
        <w:widowControl/>
        <w:kinsoku/>
        <w:wordWrap/>
        <w:overflowPunct/>
        <w:topLinePunct/>
        <w:autoSpaceDE/>
        <w:autoSpaceDN/>
        <w:bidi w:val="0"/>
        <w:adjustRightInd/>
        <w:snapToGrid w:val="0"/>
        <w:spacing w:line="760" w:lineRule="exact"/>
        <w:ind w:firstLine="640" w:firstLineChars="200"/>
        <w:jc w:val="both"/>
        <w:textAlignment w:val="auto"/>
        <w:rPr>
          <w:rFonts w:hint="default" w:ascii="仿宋_GB2312" w:hAnsi="仿宋_GB2312" w:eastAsia="仿宋_GB2312" w:cs="Times New Roman"/>
          <w:kern w:val="0"/>
          <w:sz w:val="32"/>
          <w:szCs w:val="32"/>
          <w:lang w:bidi="ar"/>
        </w:rPr>
      </w:pPr>
    </w:p>
    <w:p w14:paraId="2B560EA7">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firstLine="840" w:firstLineChars="200"/>
        <w:jc w:val="center"/>
        <w:textAlignment w:val="auto"/>
        <w:rPr>
          <w:rFonts w:hint="default" w:ascii="黑体" w:hAnsi="黑体" w:eastAsia="黑体" w:cs="黑体"/>
          <w:sz w:val="42"/>
          <w:szCs w:val="40"/>
        </w:rPr>
      </w:pPr>
      <w:r>
        <w:rPr>
          <w:rFonts w:hint="default" w:ascii="黑体" w:hAnsi="黑体" w:eastAsia="黑体" w:cs="黑体"/>
          <w:sz w:val="42"/>
          <w:szCs w:val="40"/>
        </w:rPr>
        <w:t>第四章  附则</w:t>
      </w:r>
      <w:r>
        <w:rPr>
          <w:rFonts w:hint="default" w:ascii="黑体" w:hAnsi="黑体" w:eastAsia="黑体" w:cs="黑体"/>
          <w:sz w:val="42"/>
          <w:szCs w:val="40"/>
        </w:rPr>
        <w:br w:type="textWrapping"/>
      </w:r>
    </w:p>
    <w:p w14:paraId="4E5955B4">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_GB2312" w:hAnsi="仿宋_GB2312" w:eastAsia="仿宋_GB2312" w:cs="Times New Roman"/>
          <w:sz w:val="32"/>
          <w:szCs w:val="32"/>
        </w:rPr>
      </w:pPr>
      <w:r>
        <w:rPr>
          <w:rFonts w:hint="default" w:ascii="仿宋_GB2312" w:hAnsi="仿宋_GB2312" w:eastAsia="黑体" w:cs="Times New Roman"/>
          <w:sz w:val="42"/>
          <w:szCs w:val="42"/>
        </w:rPr>
        <w:t xml:space="preserve">第二十三条  </w:t>
      </w:r>
      <w:r>
        <w:rPr>
          <w:rFonts w:hint="default" w:ascii="仿宋" w:hAnsi="仿宋" w:eastAsia="仿宋" w:cs="仿宋"/>
          <w:sz w:val="42"/>
          <w:szCs w:val="42"/>
        </w:rPr>
        <w:t>一级、二级实验室仅可从事《目录》规定的可以在一级、二级实验室进行的高致病性病原微生物实验活动。</w:t>
      </w:r>
    </w:p>
    <w:p w14:paraId="3107FCB0">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第二十四条  </w:t>
      </w:r>
      <w:r>
        <w:rPr>
          <w:rFonts w:hint="default" w:ascii="仿宋" w:hAnsi="仿宋" w:eastAsia="仿宋" w:cs="仿宋"/>
          <w:sz w:val="42"/>
          <w:szCs w:val="42"/>
        </w:rPr>
        <w:t>省级卫生健康主管部门可以根据《中华人民共和国生物安全法》《病原微生物实验室生物安全管理条例》《实验室生物安全通用要求》及本办法的有关规定，制定对二级实验室及其实验活动监督管理的规定。</w:t>
      </w:r>
    </w:p>
    <w:p w14:paraId="133ECBFB">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第二十五条  </w:t>
      </w:r>
      <w:r>
        <w:rPr>
          <w:rFonts w:hint="default" w:ascii="仿宋" w:hAnsi="仿宋" w:eastAsia="仿宋" w:cs="仿宋"/>
          <w:sz w:val="42"/>
          <w:szCs w:val="42"/>
        </w:rPr>
        <w:t>本办法自2025年7月1日起施行。《人间传染的高致病性病原微生物实验室和实验活动生物安全审批管理办法》</w:t>
      </w:r>
      <w:r>
        <w:rPr>
          <w:rFonts w:hint="eastAsia" w:ascii="仿宋" w:hAnsi="仿宋" w:eastAsia="仿宋" w:cs="仿宋"/>
          <w:sz w:val="42"/>
          <w:szCs w:val="42"/>
        </w:rPr>
        <w:t>（卫生部令第50号）</w:t>
      </w:r>
      <w:r>
        <w:rPr>
          <w:rFonts w:hint="default" w:ascii="仿宋" w:hAnsi="仿宋" w:eastAsia="仿宋" w:cs="仿宋"/>
          <w:sz w:val="42"/>
          <w:szCs w:val="42"/>
        </w:rPr>
        <w:t>同时废止。</w:t>
      </w:r>
    </w:p>
    <w:p w14:paraId="5AFB2224">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42"/>
        </w:rPr>
      </w:pP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851" w:footer="90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方正小标宋简体">
    <w:altName w:val="黑体"/>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7216B">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745C74">
                          <w:pPr>
                            <w:pStyle w:val="4"/>
                          </w:pPr>
                          <w:r>
                            <w:fldChar w:fldCharType="begin"/>
                          </w:r>
                          <w:r>
                            <w:instrText xml:space="preserve">PAGE   \* MERGEFORMAT</w:instrText>
                          </w:r>
                          <w:r>
                            <w:fldChar w:fldCharType="separate"/>
                          </w:r>
                          <w:r>
                            <w:rPr>
                              <w:lang w:val="zh-CN"/>
                            </w:rPr>
                            <w:t>2</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EREUCndAQAAvgMAAA4AAAAAAAAA&#10;AQAgAAAAHgEAAGRycy9lMm9Eb2MueG1sUEsFBgAAAAAGAAYAWQEAAG0FAAAAAA==&#10;">
              <v:fill on="f" focussize="0,0"/>
              <v:stroke on="f"/>
              <v:imagedata o:title=""/>
              <o:lock v:ext="edit" aspectratio="f"/>
              <v:textbox inset="0mm,0mm,0mm,0mm" style="mso-fit-shape-to-text:t;">
                <w:txbxContent>
                  <w:p w14:paraId="0E745C74">
                    <w:pPr>
                      <w:pStyle w:val="4"/>
                    </w:pPr>
                    <w:r>
                      <w:fldChar w:fldCharType="begin"/>
                    </w:r>
                    <w:r>
                      <w:instrText xml:space="preserve">PAGE   \* MERGEFORMAT</w:instrText>
                    </w:r>
                    <w:r>
                      <w:fldChar w:fldCharType="separate"/>
                    </w:r>
                    <w:r>
                      <w:rPr>
                        <w:lang w:val="zh-CN"/>
                      </w:rPr>
                      <w:t>2</w:t>
                    </w:r>
                    <w:r>
                      <w:fldChar w:fldCharType="end"/>
                    </w:r>
                  </w:p>
                </w:txbxContent>
              </v:textbox>
            </v:shape>
          </w:pict>
        </mc:Fallback>
      </mc:AlternateContent>
    </w:r>
  </w:p>
  <w:p w14:paraId="4DA812BE">
    <w:pPr>
      <w:pStyle w:val="4"/>
      <w:pBdr>
        <w:top w:val="single" w:color="2F5496" w:sz="8" w:space="1"/>
      </w:pBdr>
      <w:jc w:val="right"/>
      <w:rPr>
        <w:rFonts w:ascii="宋体" w:hAnsi="宋体" w:eastAsia="宋体"/>
        <w:color w:val="1F4E79"/>
        <w:sz w:val="24"/>
        <w:lang/>
      </w:rPr>
    </w:pPr>
  </w:p>
  <w:p w14:paraId="5495A475">
    <w:pPr>
      <w:pStyle w:val="4"/>
      <w:pBdr>
        <w:top w:val="single" w:color="2F5496" w:sz="8" w:space="1"/>
      </w:pBdr>
      <w:spacing w:line="192" w:lineRule="auto"/>
      <w:jc w:val="right"/>
      <w:rPr>
        <w:rFonts w:hint="default"/>
        <w:lang w:val="en-US"/>
      </w:rPr>
    </w:pPr>
    <w:r>
      <w:rPr>
        <w:rFonts w:hint="eastAsia" w:ascii="宋体" w:hAnsi="宋体" w:eastAsia="宋体" w:cs="Times New Roman"/>
        <w:color w:val="1F4E79"/>
        <w:sz w:val="24"/>
        <w:lang w:val="en-US" w:eastAsia="zh-CN"/>
      </w:rPr>
      <w:t>国家卫生健康委员会发布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8F7C2">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2FDE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95319">
    <w:pPr>
      <w:pStyle w:val="5"/>
      <w:pBdr>
        <w:bottom w:val="single" w:color="2F5496" w:sz="8" w:space="0"/>
      </w:pBdr>
      <w:tabs>
        <w:tab w:val="left" w:pos="2930"/>
        <w:tab w:val="clear" w:pos="4153"/>
        <w:tab w:val="clear" w:pos="8306"/>
      </w:tabs>
      <w:spacing w:line="360" w:lineRule="auto"/>
      <w:jc w:val="left"/>
      <w:textAlignment w:val="center"/>
      <w:rPr>
        <w:rFonts w:hint="eastAsia"/>
        <w:sz w:val="15"/>
      </w:rPr>
    </w:pPr>
    <w:r>
      <w:rPr>
        <w:lang/>
      </w:rPr>
      <w:drawing>
        <wp:inline distT="0" distB="0" distL="114300" distR="114300">
          <wp:extent cx="234950" cy="248285"/>
          <wp:effectExtent l="0" t="0" r="1270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34950" cy="248285"/>
                  </a:xfrm>
                  <a:prstGeom prst="rect">
                    <a:avLst/>
                  </a:prstGeom>
                  <a:noFill/>
                  <a:ln>
                    <a:noFill/>
                  </a:ln>
                </pic:spPr>
              </pic:pic>
            </a:graphicData>
          </a:graphic>
        </wp:inline>
      </w:drawing>
    </w:r>
    <w:r>
      <w:rPr>
        <w:lang/>
      </w:rPr>
      <w:t xml:space="preserve"> </w:t>
    </w:r>
    <w:r>
      <w:rPr>
        <w:rFonts w:hint="eastAsia" w:ascii="宋体" w:hAnsi="宋体" w:eastAsia="宋体" w:cs="Times New Roman"/>
        <w:color w:val="1F4E79"/>
        <w:sz w:val="24"/>
        <w:lang w:val="en-US" w:eastAsia="zh-CN"/>
      </w:rPr>
      <w:t>国家卫生健康委员会</w:t>
    </w:r>
    <w:r>
      <w:rPr>
        <w:rFonts w:ascii="宋体" w:hAnsi="宋体" w:eastAsia="宋体"/>
        <w:color w:val="1F4E79"/>
        <w:sz w:val="24"/>
        <w:lang/>
      </w:rPr>
      <w:t>规章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E6C29">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488C3">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7F5DEE"/>
    <w:multiLevelType w:val="singleLevel"/>
    <w:tmpl w:val="777F5DEE"/>
    <w:lvl w:ilvl="0" w:tentative="0">
      <w:start w:val="2"/>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0C7"/>
    <w:rsid w:val="00144FB4"/>
    <w:rsid w:val="001B7E17"/>
    <w:rsid w:val="00262FF4"/>
    <w:rsid w:val="002B4D2F"/>
    <w:rsid w:val="0067132F"/>
    <w:rsid w:val="006C6D81"/>
    <w:rsid w:val="006E7C6D"/>
    <w:rsid w:val="00714FBB"/>
    <w:rsid w:val="008561ED"/>
    <w:rsid w:val="008A696C"/>
    <w:rsid w:val="00902BFA"/>
    <w:rsid w:val="00BA3C4B"/>
    <w:rsid w:val="00C710C7"/>
    <w:rsid w:val="00C82593"/>
    <w:rsid w:val="00DF2BA2"/>
    <w:rsid w:val="00E20A26"/>
    <w:rsid w:val="00F357E3"/>
    <w:rsid w:val="00F460B4"/>
    <w:rsid w:val="00FB100E"/>
    <w:rsid w:val="0778691D"/>
    <w:rsid w:val="47ADD6B5"/>
    <w:rsid w:val="61D379A9"/>
    <w:rsid w:val="639B5F10"/>
    <w:rsid w:val="7B1FFBDA"/>
    <w:rsid w:val="7DB9D007"/>
    <w:rsid w:val="7FBF10AC"/>
    <w:rsid w:val="7FBF98C3"/>
    <w:rsid w:val="7FF8D29D"/>
    <w:rsid w:val="7FFF0A34"/>
    <w:rsid w:val="7FFF0C9C"/>
    <w:rsid w:val="93DBC3FE"/>
    <w:rsid w:val="BFD6CA52"/>
    <w:rsid w:val="DB79C5DF"/>
    <w:rsid w:val="DFFB7839"/>
    <w:rsid w:val="F5F7C15C"/>
    <w:rsid w:val="FF67116B"/>
    <w:rsid w:val="FF6BAAFD"/>
    <w:rsid w:val="FFEE6A0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next w:val="2"/>
    <w:qFormat/>
    <w:uiPriority w:val="0"/>
    <w:pPr>
      <w:widowControl w:val="0"/>
      <w:jc w:val="both"/>
    </w:pPr>
    <w:rPr>
      <w:kern w:val="2"/>
      <w:sz w:val="21"/>
      <w:szCs w:val="22"/>
      <w:lang w:val="en-US" w:eastAsia="zh-CN" w:bidi="ar-SA"/>
    </w:rPr>
  </w:style>
  <w:style w:type="character" w:default="1" w:styleId="7">
    <w:name w:val="Default Paragraph Font"/>
    <w:unhideWhenUsed/>
    <w:uiPriority w:val="1"/>
  </w:style>
  <w:style w:type="table" w:default="1" w:styleId="6">
    <w:name w:val="Normal Table"/>
    <w:unhideWhenUsed/>
    <w:uiPriority w:val="99"/>
    <w:tblPr>
      <w:tblStyle w:val="6"/>
      <w:tblCellMar>
        <w:top w:w="0" w:type="dxa"/>
        <w:left w:w="108" w:type="dxa"/>
        <w:bottom w:w="0" w:type="dxa"/>
        <w:right w:w="108" w:type="dxa"/>
      </w:tblCellMar>
    </w:tblPr>
  </w:style>
  <w:style w:type="paragraph" w:styleId="2">
    <w:name w:val="Normal Indent"/>
    <w:next w:val="3"/>
    <w:qFormat/>
    <w:uiPriority w:val="0"/>
    <w:pPr>
      <w:widowControl w:val="0"/>
      <w:ind w:firstLine="420" w:firstLineChars="200"/>
      <w:jc w:val="both"/>
    </w:pPr>
    <w:rPr>
      <w:rFonts w:ascii="Calibri" w:hAnsi="Calibri" w:eastAsia="仿宋_GB2312" w:cs="Times New Roman"/>
      <w:kern w:val="2"/>
      <w:sz w:val="32"/>
      <w:szCs w:val="22"/>
      <w:lang w:val="en-US" w:eastAsia="zh-CN" w:bidi="ar-SA"/>
    </w:rPr>
  </w:style>
  <w:style w:type="paragraph" w:styleId="3">
    <w:name w:val="envelope return"/>
    <w:qFormat/>
    <w:uiPriority w:val="0"/>
    <w:pPr>
      <w:widowControl w:val="0"/>
      <w:snapToGrid w:val="0"/>
      <w:jc w:val="both"/>
    </w:pPr>
    <w:rPr>
      <w:rFonts w:ascii="Arial" w:hAnsi="Arial" w:eastAsia="宋体" w:cs="Times New Roman"/>
      <w:kern w:val="2"/>
      <w:sz w:val="21"/>
      <w:szCs w:val="22"/>
      <w:lang w:val="en-US" w:eastAsia="zh-CN" w:bidi="ar-SA"/>
    </w:rPr>
  </w:style>
  <w:style w:type="paragraph" w:styleId="4">
    <w:name w:val="footer"/>
    <w:basedOn w:val="1"/>
    <w:link w:val="8"/>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8">
    <w:name w:val="页脚 字符"/>
    <w:link w:val="4"/>
    <w:uiPriority w:val="99"/>
    <w:rPr>
      <w:sz w:val="18"/>
      <w:szCs w:val="18"/>
    </w:rPr>
  </w:style>
  <w:style w:type="character" w:customStyle="1" w:styleId="9">
    <w:name w:val="页眉 字符"/>
    <w:link w:val="5"/>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3548</Words>
  <Characters>3554</Characters>
  <Lines>0</Lines>
  <Paragraphs>0</Paragraphs>
  <TotalTime>14.6666666666667</TotalTime>
  <ScaleCrop>false</ScaleCrop>
  <LinksUpToDate>false</LinksUpToDate>
  <CharactersWithSpaces>3617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2021-12-17T02:53:00Z</dcterms:created>
  <dc:creator>吴 琼</dc:creator>
  <cp:lastModifiedBy>纳图拉尔纳</cp:lastModifiedBy>
  <dcterms:modified xsi:type="dcterms:W3CDTF">2026-05-10T03:50:02Z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25809759C9774328924662F9BCF3A466_13</vt:lpwstr>
  </property>
</Properties>
</file>