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F1F12">
      <w:pPr>
        <w:keepNext w:val="0"/>
        <w:keepLines w:val="0"/>
        <w:pageBreakBefore w:val="0"/>
        <w:widowControl w:val="0"/>
        <w:kinsoku/>
        <w:wordWrap/>
        <w:overflowPunct/>
        <w:topLinePunct w:val="0"/>
        <w:autoSpaceDE/>
        <w:autoSpaceDN/>
        <w:bidi w:val="0"/>
        <w:adjustRightInd/>
        <w:snapToGrid/>
        <w:spacing w:before="1160" w:after="360" w:line="760" w:lineRule="exact"/>
        <w:jc w:val="center"/>
        <w:textAlignment w:val="auto"/>
        <w:rPr>
          <w:rFonts w:hint="eastAsia" w:ascii="方正小标宋简体" w:hAnsi="方正小标宋简体" w:eastAsia="方正小标宋简体" w:cs="方正小标宋简体"/>
          <w:sz w:val="56"/>
          <w:szCs w:val="56"/>
        </w:rPr>
      </w:pPr>
      <w:bookmarkStart w:id="0" w:name="_GoBack"/>
      <w:bookmarkEnd w:id="0"/>
      <w:r>
        <w:rPr>
          <w:rFonts w:hint="eastAsia" w:ascii="方正小标宋简体" w:hAnsi="方正小标宋简体" w:eastAsia="方正小标宋简体" w:cs="方正小标宋简体"/>
          <w:sz w:val="56"/>
          <w:szCs w:val="56"/>
        </w:rPr>
        <w:t>医疗器械临床使用管理办法</w:t>
      </w:r>
    </w:p>
    <w:p w14:paraId="56E5826E">
      <w:pPr>
        <w:keepNext w:val="0"/>
        <w:keepLines w:val="0"/>
        <w:pageBreakBefore w:val="0"/>
        <w:widowControl w:val="0"/>
        <w:kinsoku/>
        <w:wordWrap/>
        <w:overflowPunct/>
        <w:topLinePunct w:val="0"/>
        <w:autoSpaceDE/>
        <w:autoSpaceDN/>
        <w:bidi w:val="0"/>
        <w:adjustRightInd/>
        <w:snapToGrid/>
        <w:spacing w:line="760" w:lineRule="exact"/>
        <w:jc w:val="center"/>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（2021年1月12日国家卫生健康委令第8号公布 自2021年3月1日起施行）</w:t>
      </w:r>
    </w:p>
    <w:p w14:paraId="40FA0808">
      <w:pPr>
        <w:pStyle w:val="2"/>
        <w:keepNext w:val="0"/>
        <w:keepLines w:val="0"/>
        <w:pageBreakBefore w:val="0"/>
        <w:widowControl w:val="0"/>
        <w:kinsoku/>
        <w:wordWrap/>
        <w:overflowPunct/>
        <w:topLinePunct w:val="0"/>
        <w:autoSpaceDE/>
        <w:autoSpaceDN/>
        <w:bidi w:val="0"/>
        <w:adjustRightInd/>
        <w:snapToGrid/>
        <w:spacing w:line="760" w:lineRule="exact"/>
        <w:textAlignment w:val="auto"/>
        <w:rPr>
          <w:rFonts w:hint="eastAsia"/>
          <w:lang w:val="en-US" w:eastAsia="zh-CN"/>
        </w:rPr>
      </w:pPr>
    </w:p>
    <w:p w14:paraId="6F5D5B86">
      <w:pPr>
        <w:pStyle w:val="2"/>
        <w:keepNext w:val="0"/>
        <w:keepLines w:val="0"/>
        <w:pageBreakBefore w:val="0"/>
        <w:widowControl w:val="0"/>
        <w:numPr>
          <w:ilvl w:val="0"/>
          <w:numId w:val="1"/>
        </w:numPr>
        <w:kinsoku/>
        <w:wordWrap/>
        <w:overflowPunct/>
        <w:topLinePunct w:val="0"/>
        <w:autoSpaceDE/>
        <w:autoSpaceDN/>
        <w:bidi w:val="0"/>
        <w:adjustRightInd/>
        <w:snapToGrid/>
        <w:spacing w:line="760" w:lineRule="exact"/>
        <w:textAlignment w:val="auto"/>
        <w:rPr>
          <w:rFonts w:hint="eastAsia"/>
        </w:rPr>
      </w:pPr>
      <w:r>
        <w:rPr>
          <w:rFonts w:hint="eastAsia"/>
        </w:rPr>
        <w:t>总则</w:t>
      </w:r>
    </w:p>
    <w:p w14:paraId="57E9957D">
      <w:pPr>
        <w:pStyle w:val="2"/>
        <w:keepNext w:val="0"/>
        <w:keepLines w:val="0"/>
        <w:pageBreakBefore w:val="0"/>
        <w:widowControl w:val="0"/>
        <w:numPr>
          <w:ilvl w:val="0"/>
          <w:numId w:val="0"/>
        </w:numPr>
        <w:kinsoku/>
        <w:wordWrap/>
        <w:overflowPunct/>
        <w:topLinePunct w:val="0"/>
        <w:autoSpaceDE/>
        <w:autoSpaceDN/>
        <w:bidi w:val="0"/>
        <w:adjustRightInd/>
        <w:snapToGrid/>
        <w:spacing w:line="760" w:lineRule="exact"/>
        <w:jc w:val="both"/>
        <w:textAlignment w:val="auto"/>
        <w:rPr>
          <w:rFonts w:hint="eastAsia"/>
        </w:rPr>
      </w:pPr>
    </w:p>
    <w:p w14:paraId="7517964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Style w:val="8"/>
          <w:rFonts w:hint="eastAsia"/>
        </w:rPr>
      </w:pPr>
      <w:r>
        <w:rPr>
          <w:rStyle w:val="10"/>
          <w:rFonts w:hint="eastAsia"/>
        </w:rPr>
        <w:t>第一条</w:t>
      </w:r>
      <w:r>
        <w:rPr>
          <w:rStyle w:val="10"/>
          <w:rFonts w:hint="eastAsia"/>
          <w:lang w:val="en-US" w:eastAsia="zh-CN"/>
        </w:rPr>
        <w:t xml:space="preserve">  </w:t>
      </w:r>
      <w:r>
        <w:rPr>
          <w:rStyle w:val="8"/>
          <w:rFonts w:hint="eastAsia"/>
        </w:rPr>
        <w:t>为加强医疗器械临床使用管理，保障医疗器械临床使用安全、有效，根据《医疗器械监督管理条例》《医疗机构管理条例》等法律法规，制定本办法。</w:t>
      </w:r>
    </w:p>
    <w:p w14:paraId="34A3A82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Style w:val="8"/>
          <w:rFonts w:hint="eastAsia"/>
        </w:rPr>
      </w:pPr>
      <w:r>
        <w:rPr>
          <w:rStyle w:val="10"/>
          <w:rFonts w:hint="eastAsia"/>
        </w:rPr>
        <w:t>第</w:t>
      </w:r>
      <w:r>
        <w:rPr>
          <w:rStyle w:val="10"/>
          <w:rFonts w:hint="eastAsia"/>
          <w:lang w:eastAsia="zh-CN"/>
        </w:rPr>
        <w:t>二</w:t>
      </w:r>
      <w:r>
        <w:rPr>
          <w:rStyle w:val="10"/>
          <w:rFonts w:hint="eastAsia"/>
        </w:rPr>
        <w:t>条</w:t>
      </w:r>
      <w:r>
        <w:rPr>
          <w:rStyle w:val="10"/>
          <w:rFonts w:hint="eastAsia"/>
          <w:lang w:val="en-US" w:eastAsia="zh-CN"/>
        </w:rPr>
        <w:t xml:space="preserve">  </w:t>
      </w:r>
      <w:r>
        <w:rPr>
          <w:rStyle w:val="8"/>
          <w:rFonts w:hint="eastAsia"/>
        </w:rPr>
        <w:t>本办法适用于各级各类医疗机构临床使用医疗器械的监督管理工作。</w:t>
      </w:r>
    </w:p>
    <w:p w14:paraId="07FE9C0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Style w:val="8"/>
          <w:rFonts w:hint="eastAsia"/>
        </w:rPr>
      </w:pPr>
      <w:r>
        <w:rPr>
          <w:rStyle w:val="8"/>
          <w:rFonts w:hint="eastAsia"/>
        </w:rPr>
        <w:t>医疗器械临床试验管理不适用本办法。</w:t>
      </w:r>
    </w:p>
    <w:p w14:paraId="71644F73">
      <w:pPr>
        <w:keepNext w:val="0"/>
        <w:keepLines w:val="0"/>
        <w:pageBreakBefore w:val="0"/>
        <w:widowControl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第三条</w:t>
      </w:r>
      <w:r>
        <w:rPr>
          <w:rStyle w:val="10"/>
          <w:rFonts w:hint="eastAsia"/>
          <w:lang w:val="en-US" w:eastAsia="zh-CN"/>
        </w:rPr>
        <w:t xml:space="preserve">  </w:t>
      </w:r>
      <w:r>
        <w:rPr>
          <w:rStyle w:val="8"/>
          <w:rFonts w:hint="eastAsia"/>
        </w:rPr>
        <w:t>国家卫生健康委负责全国医疗器械临床使用监督管理工作。</w:t>
      </w:r>
    </w:p>
    <w:p w14:paraId="3AE00EC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县级以上地方卫生健康主管部门负责本行政区域内医疗器械临床使用监督管理工作。</w:t>
      </w:r>
    </w:p>
    <w:p w14:paraId="56AE766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第四条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医疗机构主要负责人是本机构医疗器械临床使用管理的第一责任人。</w:t>
      </w:r>
    </w:p>
    <w:p w14:paraId="451F9E82">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医疗机构应当建立并完善本机构医疗器械临床使用管理制度，确保医疗器械合理使用。</w:t>
      </w:r>
    </w:p>
    <w:p w14:paraId="3DABC64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第五条</w:t>
      </w:r>
      <w:r>
        <w:rPr>
          <w:rStyle w:val="10"/>
          <w:rFonts w:hint="eastAsia"/>
          <w:lang w:val="en-US" w:eastAsia="zh-CN"/>
        </w:rPr>
        <w:t xml:space="preserve">  </w:t>
      </w:r>
      <w:r>
        <w:rPr>
          <w:rStyle w:val="8"/>
          <w:rFonts w:hint="eastAsia"/>
        </w:rPr>
        <w:t>县级以上地方卫生健康主管部门和医疗机构应当依据国家有关规定建立医疗器械应急保障机制，保障突发事件的应急救治需求。</w:t>
      </w:r>
    </w:p>
    <w:p w14:paraId="38E71995">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xml:space="preserve">    </w:t>
      </w:r>
      <w:r>
        <w:rPr>
          <w:rStyle w:val="10"/>
          <w:rFonts w:hint="eastAsia"/>
        </w:rPr>
        <w:t>第六条</w:t>
      </w:r>
      <w:r>
        <w:rPr>
          <w:rStyle w:val="10"/>
          <w:rFonts w:hint="eastAsia"/>
          <w:lang w:val="en-US" w:eastAsia="zh-CN"/>
        </w:rPr>
        <w:t xml:space="preserve">  </w:t>
      </w:r>
      <w:r>
        <w:rPr>
          <w:rStyle w:val="8"/>
          <w:rFonts w:hint="eastAsia"/>
        </w:rPr>
        <w:t>医疗机构应当根据国家发布的医疗器械分类目录，对医疗器械实行分类管理。</w:t>
      </w:r>
    </w:p>
    <w:p w14:paraId="1D000F3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第七条</w:t>
      </w:r>
      <w:r>
        <w:rPr>
          <w:rStyle w:val="10"/>
          <w:rFonts w:hint="eastAsia"/>
          <w:lang w:val="en-US" w:eastAsia="zh-CN"/>
        </w:rPr>
        <w:t xml:space="preserve">  </w:t>
      </w:r>
      <w:r>
        <w:rPr>
          <w:rStyle w:val="8"/>
          <w:rFonts w:hint="eastAsia"/>
        </w:rPr>
        <w:t>卫生健康主管部门应当逐步完善人工智能医疗器械临床使用规范，鼓励医疗机构加强人工智能医疗器械临床使用培训。</w:t>
      </w:r>
    </w:p>
    <w:p w14:paraId="6C9334E2">
      <w:pPr>
        <w:keepNext w:val="0"/>
        <w:keepLines w:val="0"/>
        <w:pageBreakBefore w:val="0"/>
        <w:widowControl w:val="0"/>
        <w:kinsoku/>
        <w:wordWrap/>
        <w:overflowPunct/>
        <w:topLinePunct w:val="0"/>
        <w:autoSpaceDE/>
        <w:autoSpaceDN/>
        <w:bidi w:val="0"/>
        <w:adjustRightInd/>
        <w:snapToGrid/>
        <w:spacing w:line="760" w:lineRule="exact"/>
        <w:textAlignment w:val="auto"/>
        <w:rPr>
          <w:rStyle w:val="8"/>
          <w:rFonts w:hint="eastAsia"/>
        </w:rPr>
      </w:pPr>
    </w:p>
    <w:p w14:paraId="211F43A1">
      <w:pPr>
        <w:pStyle w:val="2"/>
        <w:keepNext w:val="0"/>
        <w:keepLines w:val="0"/>
        <w:pageBreakBefore w:val="0"/>
        <w:widowControl w:val="0"/>
        <w:numPr>
          <w:ilvl w:val="0"/>
          <w:numId w:val="1"/>
        </w:numPr>
        <w:kinsoku/>
        <w:wordWrap/>
        <w:overflowPunct/>
        <w:topLinePunct w:val="0"/>
        <w:autoSpaceDE/>
        <w:autoSpaceDN/>
        <w:bidi w:val="0"/>
        <w:adjustRightInd/>
        <w:snapToGrid/>
        <w:spacing w:line="760" w:lineRule="exact"/>
        <w:textAlignment w:val="auto"/>
        <w:rPr>
          <w:rFonts w:hint="eastAsia"/>
        </w:rPr>
      </w:pPr>
      <w:r>
        <w:rPr>
          <w:rFonts w:hint="eastAsia"/>
          <w:lang w:val="en-US" w:eastAsia="zh-CN"/>
        </w:rPr>
        <w:t xml:space="preserve"> </w:t>
      </w:r>
      <w:r>
        <w:rPr>
          <w:rFonts w:hint="eastAsia"/>
        </w:rPr>
        <w:t>组织机构与职责</w:t>
      </w:r>
    </w:p>
    <w:p w14:paraId="24FB6C71">
      <w:pPr>
        <w:pStyle w:val="2"/>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jc w:val="both"/>
        <w:textAlignment w:val="auto"/>
        <w:rPr>
          <w:rFonts w:hint="eastAsia"/>
        </w:rPr>
      </w:pPr>
    </w:p>
    <w:p w14:paraId="41C22DF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第八条</w:t>
      </w:r>
      <w:r>
        <w:rPr>
          <w:rStyle w:val="10"/>
          <w:rFonts w:hint="eastAsia"/>
          <w:lang w:val="en-US" w:eastAsia="zh-CN"/>
        </w:rPr>
        <w:t xml:space="preserve">  </w:t>
      </w:r>
      <w:r>
        <w:rPr>
          <w:rStyle w:val="8"/>
          <w:rFonts w:hint="eastAsia"/>
        </w:rPr>
        <w:t>国家卫生健康委组织成立国家医疗器械临床使用专家委员会。国家医疗器械临床使用专家委员会负责分析全国医疗器械临床使用情况，研究医疗器械临床使用中的重点问题，提供政策咨询及建议，指导医疗器械临床合理使用。</w:t>
      </w:r>
    </w:p>
    <w:p w14:paraId="216E905C">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省级卫生健康主管部门组织成立省级医疗器械临床使用专家委员会或者委托相关组织、机构负责本行政区域内医疗器械临床使用的监测、评价等工作。</w:t>
      </w:r>
    </w:p>
    <w:p w14:paraId="4486D048">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第九条</w:t>
      </w:r>
      <w:r>
        <w:rPr>
          <w:rStyle w:val="10"/>
          <w:rFonts w:hint="eastAsia"/>
          <w:lang w:val="en-US" w:eastAsia="zh-CN"/>
        </w:rPr>
        <w:t xml:space="preserve"> </w:t>
      </w:r>
      <w:r>
        <w:rPr>
          <w:rStyle w:val="8"/>
          <w:rFonts w:hint="eastAsia"/>
          <w:lang w:val="en-US" w:eastAsia="zh-CN"/>
        </w:rPr>
        <w:t xml:space="preserve"> </w:t>
      </w:r>
      <w:r>
        <w:rPr>
          <w:rStyle w:val="8"/>
          <w:rFonts w:hint="eastAsia"/>
        </w:rPr>
        <w:t>二级以上医疗机构应当设立医疗器械临床使用管理委员会；其他医疗机构应当根据本机构实际情况，配备负责医疗器械临床使用管理的专（兼）职人员。</w:t>
      </w:r>
    </w:p>
    <w:p w14:paraId="5BB720B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医疗器械临床使用管理委员会由本机构负责医疗管理、质量控制、医院感染管理、医学工程、信息等工作的相关职能部门负责人以及相关临床、医技等科室负责人组成，负责指导和监督本机构医疗器械临床使用行为，日常管理工作依托本机构的相关部门负责。</w:t>
      </w:r>
    </w:p>
    <w:p w14:paraId="1996CB9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第十条</w:t>
      </w:r>
      <w:r>
        <w:rPr>
          <w:rStyle w:val="10"/>
          <w:rFonts w:hint="eastAsia"/>
          <w:lang w:val="en-US" w:eastAsia="zh-CN"/>
        </w:rPr>
        <w:t xml:space="preserve">  </w:t>
      </w:r>
      <w:r>
        <w:rPr>
          <w:rStyle w:val="8"/>
          <w:rFonts w:hint="eastAsia"/>
        </w:rPr>
        <w:t>医疗机构医疗器械临床使用管理委员会和配备的专（兼）职人员对本机构医疗器械临床使用管理承担以下职责：</w:t>
      </w:r>
    </w:p>
    <w:p w14:paraId="065B41D8">
      <w:pPr>
        <w:keepNext w:val="0"/>
        <w:keepLines w:val="0"/>
        <w:pageBreakBefore w:val="0"/>
        <w:kinsoku/>
        <w:wordWrap/>
        <w:overflowPunct/>
        <w:topLinePunct w:val="0"/>
        <w:autoSpaceDE/>
        <w:autoSpaceDN/>
        <w:bidi w:val="0"/>
        <w:adjustRightInd/>
        <w:snapToGrid/>
        <w:spacing w:line="760" w:lineRule="exact"/>
        <w:ind w:firstLine="840" w:firstLineChars="200"/>
        <w:textAlignment w:val="auto"/>
        <w:rPr>
          <w:rStyle w:val="8"/>
          <w:rFonts w:hint="eastAsia"/>
        </w:rPr>
      </w:pPr>
      <w:r>
        <w:rPr>
          <w:rStyle w:val="8"/>
          <w:rFonts w:hint="eastAsia"/>
        </w:rPr>
        <w:t>（一）依法拟订医疗器械临床使用工作制度并组织实施；</w:t>
      </w:r>
    </w:p>
    <w:p w14:paraId="1C2B604C">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（二）组织开展医疗器械临床使用安全管理、技术评估与论证；</w:t>
      </w:r>
    </w:p>
    <w:p w14:paraId="401DEA9B">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三）监测、评价医疗器械临床使用情况，对临床科室在用医疗器械的使用效能进行分析、评估和反馈；监督、指导高风险医疗器械的临床使用与安全管理；提出干预和改进医疗器械临床使用措施，指导临床合理使用；</w:t>
      </w:r>
    </w:p>
    <w:p w14:paraId="455CD7BB">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xml:space="preserve">　　（四）监测识别医疗器械临床使用安全风险，分析、评估使用安全事件，并提供咨询与指导；   </w:t>
      </w:r>
    </w:p>
    <w:p w14:paraId="56CB5FCB">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（五）组织开展医疗器械管理法律、法规、规章和合理使用相关制度、规范的业务知识培训，宣传医疗器械临床使用安全知识。</w:t>
      </w:r>
    </w:p>
    <w:p w14:paraId="626ED59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第十一条</w:t>
      </w:r>
      <w:r>
        <w:rPr>
          <w:rStyle w:val="10"/>
          <w:rFonts w:hint="eastAsia"/>
          <w:lang w:val="en-US" w:eastAsia="zh-CN"/>
        </w:rPr>
        <w:t xml:space="preserve">  </w:t>
      </w:r>
      <w:r>
        <w:rPr>
          <w:rStyle w:val="8"/>
          <w:rFonts w:hint="eastAsia"/>
        </w:rPr>
        <w:t>二级以上医疗机构应当明确本机构各相关职能部门和各相关科室的医疗器械临床使用管理职责；相关职能部门、相关科室应当指定专人负责本部门或者本科室的医疗器械临床使用管理工作。</w:t>
      </w:r>
    </w:p>
    <w:p w14:paraId="6F972021">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其他医疗机构应当根据本机构实际情况，明确相关部门、科室和人员的职责。</w:t>
      </w:r>
    </w:p>
    <w:p w14:paraId="58087E1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第十二条</w:t>
      </w:r>
      <w:r>
        <w:rPr>
          <w:rStyle w:val="10"/>
          <w:rFonts w:hint="eastAsia"/>
          <w:lang w:val="en-US" w:eastAsia="zh-CN"/>
        </w:rPr>
        <w:t xml:space="preserve"> </w:t>
      </w:r>
      <w:r>
        <w:rPr>
          <w:rStyle w:val="8"/>
          <w:rFonts w:hint="eastAsia"/>
          <w:lang w:val="en-US" w:eastAsia="zh-CN"/>
        </w:rPr>
        <w:t xml:space="preserve"> </w:t>
      </w:r>
      <w:r>
        <w:rPr>
          <w:rStyle w:val="8"/>
          <w:rFonts w:hint="eastAsia"/>
        </w:rPr>
        <w:t>二级以上医疗机构应当配备与其功能、任务、规模相适应的医学工程及其他专业技术人员、设备和设施。</w:t>
      </w:r>
    </w:p>
    <w:p w14:paraId="1E17D6F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第十三条</w:t>
      </w:r>
      <w:r>
        <w:rPr>
          <w:rStyle w:val="10"/>
          <w:rFonts w:hint="eastAsia"/>
          <w:lang w:val="en-US" w:eastAsia="zh-CN"/>
        </w:rPr>
        <w:t xml:space="preserve">  </w:t>
      </w:r>
      <w:r>
        <w:rPr>
          <w:rStyle w:val="8"/>
          <w:rFonts w:hint="eastAsia"/>
        </w:rPr>
        <w:t>医疗器械使用科室负责医疗器械日常管理工作，做好医疗器械的登记、定期核对、日常使用维护保养等工作。</w:t>
      </w:r>
    </w:p>
    <w:p w14:paraId="06DE3BA0">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第十四条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医疗机构从事医疗器械相关工作的卫生专业技术人员，应当具备相应的专业学历、卫生专业技术职务任职资格或者依法取得相应资格。</w:t>
      </w:r>
    </w:p>
    <w:p w14:paraId="64AEB903">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第十五条</w:t>
      </w:r>
      <w:r>
        <w:rPr>
          <w:rStyle w:val="10"/>
          <w:rFonts w:hint="eastAsia"/>
          <w:lang w:val="en-US" w:eastAsia="zh-CN"/>
        </w:rPr>
        <w:t xml:space="preserve">  </w:t>
      </w:r>
      <w:r>
        <w:rPr>
          <w:rStyle w:val="8"/>
          <w:rFonts w:hint="eastAsia"/>
        </w:rPr>
        <w:t>医疗机构应当组织开展医疗器械临床使用管理的继续教育和培训，开展医疗器械临床使用范围、质量控制、操作规程、效果评价等培训工作。</w:t>
      </w:r>
    </w:p>
    <w:p w14:paraId="4BB19D8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第十六条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医疗机构应当加强医疗器械信息管理，建立医疗器械及其使用信息档案。</w:t>
      </w:r>
    </w:p>
    <w:p w14:paraId="315F014A">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第十七条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医疗机构应当每年开展医疗器械临床使用管理自查、评估、评价工作，确保医疗器械临床使用的安全、有效。</w:t>
      </w:r>
    </w:p>
    <w:p w14:paraId="5271ED6D">
      <w:pPr>
        <w:keepNext w:val="0"/>
        <w:keepLines w:val="0"/>
        <w:pageBreakBefore w:val="0"/>
        <w:widowControl w:val="0"/>
        <w:kinsoku/>
        <w:wordWrap/>
        <w:overflowPunct/>
        <w:topLinePunct w:val="0"/>
        <w:autoSpaceDE/>
        <w:autoSpaceDN/>
        <w:bidi w:val="0"/>
        <w:adjustRightInd/>
        <w:snapToGrid/>
        <w:spacing w:line="760" w:lineRule="exact"/>
        <w:textAlignment w:val="auto"/>
        <w:rPr>
          <w:rStyle w:val="8"/>
          <w:rFonts w:hint="eastAsia"/>
        </w:rPr>
      </w:pPr>
    </w:p>
    <w:p w14:paraId="34D9BAE9">
      <w:pPr>
        <w:pStyle w:val="2"/>
        <w:keepNext w:val="0"/>
        <w:keepLines w:val="0"/>
        <w:pageBreakBefore w:val="0"/>
        <w:widowControl w:val="0"/>
        <w:numPr>
          <w:ilvl w:val="0"/>
          <w:numId w:val="1"/>
        </w:numPr>
        <w:kinsoku/>
        <w:wordWrap/>
        <w:overflowPunct/>
        <w:topLinePunct w:val="0"/>
        <w:autoSpaceDE/>
        <w:autoSpaceDN/>
        <w:bidi w:val="0"/>
        <w:adjustRightInd/>
        <w:snapToGrid/>
        <w:spacing w:line="760" w:lineRule="exact"/>
        <w:textAlignment w:val="auto"/>
        <w:rPr>
          <w:rFonts w:hint="eastAsia"/>
        </w:rPr>
      </w:pPr>
      <w:r>
        <w:rPr>
          <w:rFonts w:hint="eastAsia"/>
          <w:lang w:val="en-US" w:eastAsia="zh-CN"/>
        </w:rPr>
        <w:t xml:space="preserve"> </w:t>
      </w:r>
      <w:r>
        <w:rPr>
          <w:rFonts w:hint="eastAsia"/>
        </w:rPr>
        <w:t>临床使用管理</w:t>
      </w:r>
    </w:p>
    <w:p w14:paraId="0AB9E256">
      <w:pPr>
        <w:pStyle w:val="2"/>
        <w:keepNext w:val="0"/>
        <w:keepLines w:val="0"/>
        <w:pageBreakBefore w:val="0"/>
        <w:widowControl w:val="0"/>
        <w:numPr>
          <w:ilvl w:val="0"/>
          <w:numId w:val="0"/>
        </w:numPr>
        <w:kinsoku/>
        <w:wordWrap/>
        <w:overflowPunct/>
        <w:topLinePunct w:val="0"/>
        <w:autoSpaceDE/>
        <w:autoSpaceDN/>
        <w:bidi w:val="0"/>
        <w:adjustRightInd/>
        <w:snapToGrid/>
        <w:spacing w:line="760" w:lineRule="exact"/>
        <w:jc w:val="both"/>
        <w:textAlignment w:val="auto"/>
        <w:rPr>
          <w:rFonts w:hint="eastAsia"/>
        </w:rPr>
      </w:pPr>
    </w:p>
    <w:p w14:paraId="6F19421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第十八条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医疗机构应当建立医疗器械临床使用技术评估与论证制度并组织实施，开展技术需求分析和成本效益评估，确保医疗器械满足临床需求。</w:t>
      </w:r>
    </w:p>
    <w:p w14:paraId="00C73433">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第十九条</w:t>
      </w:r>
      <w:r>
        <w:rPr>
          <w:rStyle w:val="10"/>
          <w:rFonts w:hint="eastAsia"/>
          <w:lang w:val="en-US" w:eastAsia="zh-CN"/>
        </w:rPr>
        <w:t xml:space="preserve">  </w:t>
      </w:r>
      <w:r>
        <w:rPr>
          <w:rStyle w:val="8"/>
          <w:rFonts w:hint="eastAsia"/>
        </w:rPr>
        <w:t>医疗机构购进医疗器械，应当查验供货者的资质和医疗器械的合格证明文件，建立进货查验记录制度。</w:t>
      </w:r>
    </w:p>
    <w:p w14:paraId="4BE15F6F">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医疗机构应当妥善保存购入第三类医疗器械的原始资料，并确保信息具有可追溯性。</w:t>
      </w:r>
    </w:p>
    <w:p w14:paraId="50951F9D">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第二十条</w:t>
      </w:r>
      <w:r>
        <w:rPr>
          <w:rStyle w:val="10"/>
          <w:rFonts w:hint="eastAsia"/>
          <w:lang w:val="en-US" w:eastAsia="zh-CN"/>
        </w:rPr>
        <w:t xml:space="preserve"> </w:t>
      </w:r>
      <w:r>
        <w:rPr>
          <w:rStyle w:val="8"/>
          <w:rFonts w:hint="eastAsia"/>
          <w:lang w:val="en-US" w:eastAsia="zh-CN"/>
        </w:rPr>
        <w:t xml:space="preserve"> </w:t>
      </w:r>
      <w:r>
        <w:rPr>
          <w:rStyle w:val="8"/>
          <w:rFonts w:hint="eastAsia"/>
        </w:rPr>
        <w:t>医疗器械需要安装或者集成的，应当由生产厂家或者其授权的具备相关服务资质的单位、医疗机构负责医学工程工作的部门依据国家有关标准实施。</w:t>
      </w:r>
    </w:p>
    <w:p w14:paraId="789993BE">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医疗机构应当对医疗器械相关硬件、软件的安装、更新、升级情况进行登记和审核，并应当进行临床验证和技术评估。</w:t>
      </w:r>
    </w:p>
    <w:p w14:paraId="24F51FE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第二十一条</w:t>
      </w:r>
      <w:r>
        <w:rPr>
          <w:rStyle w:val="8"/>
          <w:rFonts w:hint="eastAsia"/>
          <w:lang w:val="en-US" w:eastAsia="zh-CN"/>
        </w:rPr>
        <w:t xml:space="preserve">  </w:t>
      </w:r>
      <w:r>
        <w:rPr>
          <w:rStyle w:val="8"/>
          <w:rFonts w:hint="eastAsia"/>
        </w:rPr>
        <w:t>医疗机构应当建立医疗器械验收验证制度，保证医疗器械的功能、性能、配置要求符合购置合同以及临床诊疗的要求。医疗器械经验收验证合格后方可应用于临床。</w:t>
      </w:r>
    </w:p>
    <w:p w14:paraId="5333B393">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第二十二条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医疗机构及其医务人员临床使用医疗器械，应当遵循安全、有效、经济的原则，采用与患者疾病相适应的医疗器械进行诊疗活动。</w:t>
      </w:r>
    </w:p>
    <w:p w14:paraId="5B95144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需要向患者说明医疗器械临床使用相关事项的，应当如实告知，不得隐瞒或者虚假宣传，误导患者。</w:t>
      </w:r>
    </w:p>
    <w:p w14:paraId="0C99EB6F">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第二十三条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医疗机构及其医务人员临床使用医疗器械，应当按照诊疗规范、操作指南、医疗器械使用说明书等，遵守医疗器械适用范围、禁忌症及注意事项，注意主要风险和关键性能指标。</w:t>
      </w:r>
    </w:p>
    <w:p w14:paraId="7AB56968">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第二十四条</w:t>
      </w:r>
      <w:r>
        <w:rPr>
          <w:rStyle w:val="10"/>
          <w:rFonts w:hint="eastAsia"/>
          <w:lang w:val="en-US" w:eastAsia="zh-CN"/>
        </w:rPr>
        <w:t xml:space="preserve">  </w:t>
      </w:r>
      <w:r>
        <w:rPr>
          <w:rStyle w:val="8"/>
          <w:rFonts w:hint="eastAsia"/>
        </w:rPr>
        <w:t>医疗机构应当建立医疗器械临床使用风险管理制度，持续改进医疗器械临床使用行为。</w:t>
      </w:r>
    </w:p>
    <w:p w14:paraId="39F7FD0E">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第二十五条</w:t>
      </w:r>
      <w:r>
        <w:rPr>
          <w:rStyle w:val="10"/>
          <w:rFonts w:hint="eastAsia"/>
          <w:lang w:val="en-US" w:eastAsia="zh-CN"/>
        </w:rPr>
        <w:t xml:space="preserve">  </w:t>
      </w:r>
      <w:r>
        <w:rPr>
          <w:rStyle w:val="8"/>
          <w:rFonts w:hint="eastAsia"/>
        </w:rPr>
        <w:t>医疗机构应当开展医疗器械临床使用安全管理，对生命支持类、急救类、植入类、辐射类、灭菌类和大型医疗器械实行使用安全监测与报告制度。</w:t>
      </w:r>
    </w:p>
    <w:p w14:paraId="412AEE1E">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第二十六条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医疗机构应当制订与其规模、功能相匹配的生命支持医疗器械和相关重要医疗器械故障紧急替代流程，配备必要的替代设备设施，并对急救的医疗器械实行专管专用，保证临床急救工作正常开展。</w:t>
      </w:r>
    </w:p>
    <w:p w14:paraId="53B25A4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第二十七条</w:t>
      </w:r>
      <w:r>
        <w:rPr>
          <w:rStyle w:val="10"/>
          <w:rFonts w:hint="eastAsia"/>
          <w:lang w:val="en-US" w:eastAsia="zh-CN"/>
        </w:rPr>
        <w:t xml:space="preserve">  </w:t>
      </w:r>
      <w:r>
        <w:rPr>
          <w:rStyle w:val="8"/>
          <w:rFonts w:hint="eastAsia"/>
        </w:rPr>
        <w:t>发现使用的医疗器械存在安全隐患的，医疗机构应当立即停止使用，并通知医疗器械注册人、备案人或者其他负责产品质量的机构进行检修；经检修仍不能达到使用安全标准的医疗器械，不得继续使用。</w:t>
      </w:r>
    </w:p>
    <w:p w14:paraId="7D5FE863">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第二十八条</w:t>
      </w:r>
      <w:r>
        <w:rPr>
          <w:rStyle w:val="10"/>
          <w:rFonts w:hint="eastAsia"/>
          <w:lang w:val="en-US" w:eastAsia="zh-CN"/>
        </w:rPr>
        <w:t xml:space="preserve">  </w:t>
      </w:r>
      <w:r>
        <w:rPr>
          <w:rStyle w:val="8"/>
          <w:rFonts w:hint="eastAsia"/>
        </w:rPr>
        <w:t>医疗机构应当严格执行医院感染管理有关法律法规的规定，使用符合国家规定的消毒器械和一次性使用的医疗器械。按规定可以重复使用的医疗器械，应当严格按照规定清洗、消毒或者灭菌，并进行效果监测；一次性使用的医疗器械不得重复使用，使用过的应当按照国家有关规定销毁并记录。</w:t>
      </w:r>
    </w:p>
    <w:p w14:paraId="1C1046E0">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使用无菌医疗器械前，应当对直接接触医疗器械的包装及其有效期进行常规检查，认真核对其规格、型号、消毒或者灭菌有效日期等。包装破损、标示不清、超过有效期或者可能影响使用安全的，不得使用。</w:t>
      </w:r>
    </w:p>
    <w:p w14:paraId="30D3982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第二十九条</w:t>
      </w:r>
      <w:r>
        <w:rPr>
          <w:rStyle w:val="10"/>
          <w:rFonts w:hint="eastAsia"/>
          <w:lang w:val="en-US" w:eastAsia="zh-CN"/>
        </w:rPr>
        <w:t xml:space="preserve"> </w:t>
      </w:r>
      <w:r>
        <w:rPr>
          <w:rStyle w:val="8"/>
          <w:rFonts w:hint="eastAsia"/>
          <w:lang w:val="en-US" w:eastAsia="zh-CN"/>
        </w:rPr>
        <w:t xml:space="preserve"> </w:t>
      </w:r>
      <w:r>
        <w:rPr>
          <w:rStyle w:val="8"/>
          <w:rFonts w:hint="eastAsia"/>
        </w:rPr>
        <w:t>临床使用大型医疗器械以及植入和介入类医疗器械的，应当将医疗器械的名称、关键性技术参数等信息以及与使用质量安全密切相关的必要信息记载到病历等相关记录中。</w:t>
      </w:r>
    </w:p>
    <w:p w14:paraId="4E898D60">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第三十条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医疗机构应当按照规定开展医疗器械临床使用评价工作，重点加强医疗器械的临床实效性、可靠性和可用性评价。</w:t>
      </w:r>
    </w:p>
    <w:p w14:paraId="597F6AA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p>
    <w:p w14:paraId="1C6B28B5">
      <w:pPr>
        <w:pStyle w:val="2"/>
        <w:keepNext w:val="0"/>
        <w:keepLines w:val="0"/>
        <w:pageBreakBefore w:val="0"/>
        <w:widowControl w:val="0"/>
        <w:numPr>
          <w:ilvl w:val="0"/>
          <w:numId w:val="1"/>
        </w:numPr>
        <w:kinsoku/>
        <w:wordWrap/>
        <w:overflowPunct/>
        <w:topLinePunct w:val="0"/>
        <w:autoSpaceDE/>
        <w:autoSpaceDN/>
        <w:bidi w:val="0"/>
        <w:adjustRightInd/>
        <w:snapToGrid/>
        <w:spacing w:line="760" w:lineRule="exact"/>
        <w:textAlignment w:val="auto"/>
        <w:rPr>
          <w:rFonts w:hint="eastAsia"/>
        </w:rPr>
      </w:pPr>
      <w:r>
        <w:rPr>
          <w:rFonts w:hint="eastAsia"/>
          <w:lang w:val="en-US" w:eastAsia="zh-CN"/>
        </w:rPr>
        <w:t xml:space="preserve"> </w:t>
      </w:r>
      <w:r>
        <w:rPr>
          <w:rFonts w:hint="eastAsia"/>
        </w:rPr>
        <w:t>保障维护管理</w:t>
      </w:r>
    </w:p>
    <w:p w14:paraId="2F60E526">
      <w:pPr>
        <w:pStyle w:val="2"/>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jc w:val="both"/>
        <w:textAlignment w:val="auto"/>
        <w:rPr>
          <w:rFonts w:hint="eastAsia"/>
        </w:rPr>
      </w:pPr>
    </w:p>
    <w:p w14:paraId="2D87B46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第三十一条</w:t>
      </w:r>
      <w:r>
        <w:rPr>
          <w:rStyle w:val="10"/>
          <w:rFonts w:hint="eastAsia"/>
          <w:lang w:val="en-US" w:eastAsia="zh-CN"/>
        </w:rPr>
        <w:t xml:space="preserve"> </w:t>
      </w:r>
      <w:r>
        <w:rPr>
          <w:rStyle w:val="8"/>
          <w:rFonts w:hint="eastAsia"/>
          <w:lang w:val="en-US" w:eastAsia="zh-CN"/>
        </w:rPr>
        <w:t xml:space="preserve"> </w:t>
      </w:r>
      <w:r>
        <w:rPr>
          <w:rStyle w:val="8"/>
          <w:rFonts w:hint="eastAsia"/>
        </w:rPr>
        <w:t>医疗器械保障维护管理应当重点进行检测和预防性维护。通过开展性能检测和安全监测，验证医疗器械性能的适当性和使用的安全性；通过开展部件更换、清洁等预防性维护，延长医疗器械使用寿命并预防故障发生。</w:t>
      </w:r>
    </w:p>
    <w:p w14:paraId="21C5DDED">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第三十二条</w:t>
      </w:r>
      <w:r>
        <w:rPr>
          <w:rStyle w:val="10"/>
          <w:rFonts w:hint="eastAsia"/>
          <w:lang w:val="en-US" w:eastAsia="zh-CN"/>
        </w:rPr>
        <w:t xml:space="preserve">  </w:t>
      </w:r>
      <w:r>
        <w:rPr>
          <w:rStyle w:val="8"/>
          <w:rFonts w:hint="eastAsia"/>
        </w:rPr>
        <w:t>医疗机构应当监测医疗器械的运行状态，对维护与维修的全部过程进行跟踪记录，定期分析评价医疗器械整体维护情况。</w:t>
      </w:r>
    </w:p>
    <w:p w14:paraId="4C71C8DA">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第三十三条</w:t>
      </w:r>
      <w:r>
        <w:rPr>
          <w:rStyle w:val="10"/>
          <w:rFonts w:hint="eastAsia"/>
          <w:lang w:val="en-US" w:eastAsia="zh-CN"/>
        </w:rPr>
        <w:t xml:space="preserve">  </w:t>
      </w:r>
      <w:r>
        <w:rPr>
          <w:rStyle w:val="8"/>
          <w:rFonts w:hint="eastAsia"/>
        </w:rPr>
        <w:t>医疗机构应当遵照国家有关医疗器械标准、规程、技术指南等，确保系统环境电源、温湿度、辐射防护、磁场屏蔽、光照亮度等因素与医疗器械相适应，定期对医疗器械使用环境进行测试、评估和维护。</w:t>
      </w:r>
    </w:p>
    <w:p w14:paraId="2E092BD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第三十四条</w:t>
      </w:r>
      <w:r>
        <w:rPr>
          <w:rStyle w:val="10"/>
          <w:rFonts w:hint="eastAsia"/>
          <w:lang w:val="en-US" w:eastAsia="zh-CN"/>
        </w:rPr>
        <w:t xml:space="preserve">  </w:t>
      </w:r>
      <w:r>
        <w:rPr>
          <w:rStyle w:val="8"/>
          <w:rFonts w:hint="eastAsia"/>
        </w:rPr>
        <w:t>医疗机构应当具备与医疗器械品种、数量相适应的贮存场所和条件。对温度、湿度等环境条件有特殊要求的，应当采取相应措施，保证医疗器械安全、有效。</w:t>
      </w:r>
    </w:p>
    <w:p w14:paraId="5A9699A3">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第三十五条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医疗机构应当真实记录医疗器械保障情况并存入医疗器械信息档案，档案保存期限不得少于医疗器械规定使用期限终止后五年。</w:t>
      </w:r>
    </w:p>
    <w:p w14:paraId="7E7A5ECF">
      <w:pPr>
        <w:keepNext w:val="0"/>
        <w:keepLines w:val="0"/>
        <w:pageBreakBefore w:val="0"/>
        <w:widowControl w:val="0"/>
        <w:kinsoku/>
        <w:wordWrap/>
        <w:overflowPunct/>
        <w:topLinePunct w:val="0"/>
        <w:autoSpaceDE/>
        <w:autoSpaceDN/>
        <w:bidi w:val="0"/>
        <w:adjustRightInd/>
        <w:snapToGrid/>
        <w:spacing w:line="760" w:lineRule="exact"/>
        <w:textAlignment w:val="auto"/>
        <w:rPr>
          <w:rStyle w:val="8"/>
          <w:rFonts w:hint="eastAsia"/>
        </w:rPr>
      </w:pPr>
    </w:p>
    <w:p w14:paraId="45FD1C4B">
      <w:pPr>
        <w:pStyle w:val="2"/>
        <w:keepNext w:val="0"/>
        <w:keepLines w:val="0"/>
        <w:pageBreakBefore w:val="0"/>
        <w:widowControl w:val="0"/>
        <w:numPr>
          <w:ilvl w:val="0"/>
          <w:numId w:val="1"/>
        </w:numPr>
        <w:kinsoku/>
        <w:wordWrap/>
        <w:overflowPunct/>
        <w:topLinePunct w:val="0"/>
        <w:autoSpaceDE/>
        <w:autoSpaceDN/>
        <w:bidi w:val="0"/>
        <w:adjustRightInd/>
        <w:snapToGrid/>
        <w:spacing w:line="760" w:lineRule="exact"/>
        <w:textAlignment w:val="auto"/>
        <w:rPr>
          <w:rFonts w:hint="eastAsia"/>
        </w:rPr>
      </w:pPr>
      <w:r>
        <w:rPr>
          <w:rFonts w:hint="eastAsia"/>
          <w:lang w:val="en-US" w:eastAsia="zh-CN"/>
        </w:rPr>
        <w:t xml:space="preserve"> </w:t>
      </w:r>
      <w:r>
        <w:rPr>
          <w:rFonts w:hint="eastAsia"/>
        </w:rPr>
        <w:t>使用安全事件处理</w:t>
      </w:r>
    </w:p>
    <w:p w14:paraId="74934645">
      <w:pPr>
        <w:pStyle w:val="2"/>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jc w:val="both"/>
        <w:textAlignment w:val="auto"/>
        <w:rPr>
          <w:rFonts w:hint="eastAsia"/>
        </w:rPr>
      </w:pPr>
    </w:p>
    <w:p w14:paraId="7738B6A1">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第三十六条</w:t>
      </w:r>
      <w:r>
        <w:rPr>
          <w:rStyle w:val="10"/>
          <w:rFonts w:hint="eastAsia"/>
          <w:lang w:val="en-US" w:eastAsia="zh-CN"/>
        </w:rPr>
        <w:t xml:space="preserve">  </w:t>
      </w:r>
      <w:r>
        <w:rPr>
          <w:rStyle w:val="8"/>
          <w:rFonts w:hint="eastAsia"/>
        </w:rPr>
        <w:t>医疗机构应当对医疗器械使用安全事件进行收集、分析、评价及控制，遵循可疑即报的原则，及时报告。</w:t>
      </w:r>
    </w:p>
    <w:p w14:paraId="5790F00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第三十七条</w:t>
      </w:r>
      <w:r>
        <w:rPr>
          <w:rStyle w:val="10"/>
          <w:rFonts w:hint="eastAsia"/>
          <w:lang w:val="en-US" w:eastAsia="zh-CN"/>
        </w:rPr>
        <w:t xml:space="preserve">  </w:t>
      </w:r>
      <w:r>
        <w:rPr>
          <w:rStyle w:val="8"/>
          <w:rFonts w:hint="eastAsia"/>
        </w:rPr>
        <w:t>发生或者发现医疗器械使用安全事件或者可疑医疗器械使用安全事件时，医疗机构及其医务人员应当立即采取有效措施，避免或者减轻对患者身体健康的损害，防止损害扩大，并向所在地县级卫生健康主管部门报告。</w:t>
      </w:r>
    </w:p>
    <w:p w14:paraId="409F4E03">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第三十八条</w:t>
      </w:r>
      <w:r>
        <w:rPr>
          <w:rStyle w:val="10"/>
          <w:rFonts w:hint="eastAsia"/>
          <w:lang w:val="en-US" w:eastAsia="zh-CN"/>
        </w:rPr>
        <w:t xml:space="preserve">  </w:t>
      </w:r>
      <w:r>
        <w:rPr>
          <w:rStyle w:val="8"/>
          <w:rFonts w:hint="eastAsia"/>
        </w:rPr>
        <w:t>发生或者发现因医疗器械使用行为导致或者可能导致患者死亡、残疾或者二人以上人身损害时，医疗机构应当在二十四小时内报告所在地县级卫生健康主管部门，必要时可以同时向上级卫生健康主管部门报告。医疗机构应当立即对医疗器械使用行为进行调查、核实；必要时，应当对发生使用安全事件的医疗器械同批次同规格型号库存产品暂缓使用，对剩余产品进行登记封存。</w:t>
      </w:r>
    </w:p>
    <w:p w14:paraId="6F801D5E">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第三十九条</w:t>
      </w:r>
      <w:r>
        <w:rPr>
          <w:rStyle w:val="10"/>
          <w:rFonts w:hint="eastAsia"/>
          <w:lang w:val="en-US" w:eastAsia="zh-CN"/>
        </w:rPr>
        <w:t xml:space="preserve">  </w:t>
      </w:r>
      <w:r>
        <w:rPr>
          <w:rStyle w:val="8"/>
          <w:rFonts w:hint="eastAsia"/>
        </w:rPr>
        <w:t>县级及设区的市级卫生健康主管部门获知医疗机构医疗器械使用安全事件或者可疑医疗器械使用安全事件后，应当进行核实，必要时应当进行调查；对医疗机构医疗器械使用行为导致或者可能导致患者死亡、残疾或者二人以上人身损害的，应当进行现场调查，并将调查结果逐级上报至省级卫生健康主管部门。</w:t>
      </w:r>
    </w:p>
    <w:p w14:paraId="4086393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省级以上卫生健康主管部门获知医疗机构医疗器械使用安全事件或者可疑医疗器械使用安全事件，认为应当开展现场调查的，应当组织开展调查。省级卫生健康主管部门开展相关调查的，应将调查结果及时报送国家卫生健康委。</w:t>
      </w:r>
    </w:p>
    <w:p w14:paraId="318EFE5B">
      <w:pPr>
        <w:keepNext w:val="0"/>
        <w:keepLines w:val="0"/>
        <w:pageBreakBefore w:val="0"/>
        <w:kinsoku/>
        <w:wordWrap/>
        <w:overflowPunct/>
        <w:topLinePunct w:val="0"/>
        <w:autoSpaceDE/>
        <w:autoSpaceDN/>
        <w:bidi w:val="0"/>
        <w:adjustRightInd/>
        <w:snapToGrid/>
        <w:spacing w:line="760" w:lineRule="exact"/>
        <w:ind w:firstLine="840" w:firstLineChars="200"/>
        <w:textAlignment w:val="auto"/>
        <w:rPr>
          <w:rStyle w:val="8"/>
          <w:rFonts w:hint="eastAsia"/>
        </w:rPr>
      </w:pPr>
      <w:r>
        <w:rPr>
          <w:rStyle w:val="8"/>
          <w:rFonts w:hint="eastAsia"/>
        </w:rPr>
        <w:t>对卫生健康主管部门开展的医疗器械使用安全事件调查，医疗机构应当配合。</w:t>
      </w:r>
    </w:p>
    <w:p w14:paraId="58AB381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第四十条</w:t>
      </w:r>
      <w:r>
        <w:rPr>
          <w:rStyle w:val="10"/>
          <w:rFonts w:hint="eastAsia"/>
          <w:lang w:val="en-US" w:eastAsia="zh-CN"/>
        </w:rPr>
        <w:t xml:space="preserve">  </w:t>
      </w:r>
      <w:r>
        <w:rPr>
          <w:rStyle w:val="8"/>
          <w:rFonts w:hint="eastAsia"/>
        </w:rPr>
        <w:t>县级以上地方卫生健康主管部门在医疗器械使用安全事件调查结果确定前，对可疑医疗器械质量问题造成患者损害的，应当根据影响采取相应措施；对影响较大的，可以采取风险性提示、暂停辖区内医疗机构使用同批次同规格型号的医疗器械等措施，以有效降低风险，并通报同级药品监督管理部门。</w:t>
      </w:r>
    </w:p>
    <w:p w14:paraId="295ECB1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经调查不属于医疗器械使用安全事件的，卫生健康主管部门应当移交同级药品监督管理部门处理。</w:t>
      </w:r>
    </w:p>
    <w:p w14:paraId="2FCDF1F8">
      <w:pPr>
        <w:keepNext w:val="0"/>
        <w:keepLines w:val="0"/>
        <w:pageBreakBefore w:val="0"/>
        <w:widowControl w:val="0"/>
        <w:kinsoku/>
        <w:wordWrap/>
        <w:overflowPunct/>
        <w:topLinePunct w:val="0"/>
        <w:autoSpaceDE/>
        <w:autoSpaceDN/>
        <w:bidi w:val="0"/>
        <w:adjustRightInd/>
        <w:snapToGrid/>
        <w:spacing w:line="760" w:lineRule="exact"/>
        <w:textAlignment w:val="auto"/>
        <w:rPr>
          <w:rStyle w:val="8"/>
          <w:rFonts w:hint="eastAsia"/>
        </w:rPr>
      </w:pPr>
    </w:p>
    <w:p w14:paraId="6F878E5E">
      <w:pPr>
        <w:pStyle w:val="2"/>
        <w:keepNext w:val="0"/>
        <w:keepLines w:val="0"/>
        <w:pageBreakBefore w:val="0"/>
        <w:widowControl w:val="0"/>
        <w:numPr>
          <w:ilvl w:val="0"/>
          <w:numId w:val="1"/>
        </w:numPr>
        <w:kinsoku/>
        <w:wordWrap/>
        <w:overflowPunct/>
        <w:topLinePunct w:val="0"/>
        <w:autoSpaceDE/>
        <w:autoSpaceDN/>
        <w:bidi w:val="0"/>
        <w:adjustRightInd/>
        <w:snapToGrid/>
        <w:spacing w:line="760" w:lineRule="exact"/>
        <w:textAlignment w:val="auto"/>
        <w:rPr>
          <w:rFonts w:hint="eastAsia"/>
        </w:rPr>
      </w:pPr>
      <w:r>
        <w:rPr>
          <w:rFonts w:hint="eastAsia"/>
          <w:lang w:val="en-US" w:eastAsia="zh-CN"/>
        </w:rPr>
        <w:t xml:space="preserve"> </w:t>
      </w:r>
      <w:r>
        <w:rPr>
          <w:rFonts w:hint="eastAsia"/>
        </w:rPr>
        <w:t>监督管理</w:t>
      </w:r>
    </w:p>
    <w:p w14:paraId="2BB675E2">
      <w:pPr>
        <w:pStyle w:val="2"/>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jc w:val="both"/>
        <w:textAlignment w:val="auto"/>
        <w:rPr>
          <w:rFonts w:hint="eastAsia"/>
        </w:rPr>
      </w:pPr>
    </w:p>
    <w:p w14:paraId="5F785190">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第四十一条</w:t>
      </w:r>
      <w:r>
        <w:rPr>
          <w:rStyle w:val="10"/>
          <w:rFonts w:hint="eastAsia"/>
          <w:lang w:val="en-US" w:eastAsia="zh-CN"/>
        </w:rPr>
        <w:t xml:space="preserve">  </w:t>
      </w:r>
      <w:r>
        <w:rPr>
          <w:rStyle w:val="8"/>
          <w:rFonts w:hint="eastAsia"/>
        </w:rPr>
        <w:t>县级以上地方卫生健康主管部门应当编制并实施本行政区域医疗机构医疗器械使用年度监督检查计划，确定监督检查的重点、频次和覆盖率。对使用风险较高、有特殊保存管理要求医疗器械的医疗机构应当实施重点监管。</w:t>
      </w:r>
    </w:p>
    <w:p w14:paraId="0F796008">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第四十二条</w:t>
      </w:r>
      <w:r>
        <w:rPr>
          <w:rStyle w:val="10"/>
          <w:rFonts w:hint="eastAsia"/>
          <w:lang w:val="en-US" w:eastAsia="zh-CN"/>
        </w:rPr>
        <w:t xml:space="preserve"> </w:t>
      </w:r>
      <w:r>
        <w:rPr>
          <w:rStyle w:val="8"/>
          <w:rFonts w:hint="eastAsia"/>
          <w:lang w:val="en-US" w:eastAsia="zh-CN"/>
        </w:rPr>
        <w:t xml:space="preserve"> </w:t>
      </w:r>
      <w:r>
        <w:rPr>
          <w:rStyle w:val="8"/>
          <w:rFonts w:hint="eastAsia"/>
        </w:rPr>
        <w:t>县级以上地方卫生健康主管部门应当加强对医疗机构医疗器械临床使用行为的监督管理，并在监督检查中有权行使以下职责：</w:t>
      </w:r>
    </w:p>
    <w:p w14:paraId="042597C6">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（一）进入现场实施检查、抽取样品；</w:t>
      </w:r>
    </w:p>
    <w:p w14:paraId="7C8D4491">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（二）查阅、复制有关档案、记录及其他有关资料；</w:t>
      </w:r>
    </w:p>
    <w:p w14:paraId="6BA9253F">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（三）法律法规规定的其他职责。</w:t>
      </w:r>
    </w:p>
    <w:p w14:paraId="69AE062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医疗机构应当积极配合卫生健康主管部门的监督检查，并对检查中发现的问题及时进行整改。</w:t>
      </w:r>
    </w:p>
    <w:p w14:paraId="70D0A0EC">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第四十三条</w:t>
      </w:r>
      <w:r>
        <w:rPr>
          <w:rStyle w:val="10"/>
          <w:rFonts w:hint="eastAsia"/>
          <w:lang w:val="en-US" w:eastAsia="zh-CN"/>
        </w:rPr>
        <w:t xml:space="preserve"> </w:t>
      </w:r>
      <w:r>
        <w:rPr>
          <w:rStyle w:val="8"/>
          <w:rFonts w:hint="eastAsia"/>
          <w:lang w:val="en-US" w:eastAsia="zh-CN"/>
        </w:rPr>
        <w:t xml:space="preserve"> </w:t>
      </w:r>
      <w:r>
        <w:rPr>
          <w:rStyle w:val="8"/>
          <w:rFonts w:hint="eastAsia"/>
        </w:rPr>
        <w:t>县级以上地方卫生健康主管部门应当组织对医疗机构医疗器械临床使用管理情况进行定期或者不定期抽查，并将抽查结果纳入医疗机构监督管理档案。</w:t>
      </w:r>
    </w:p>
    <w:p w14:paraId="460D0507">
      <w:pPr>
        <w:keepNext w:val="0"/>
        <w:keepLines w:val="0"/>
        <w:pageBreakBefore w:val="0"/>
        <w:widowControl w:val="0"/>
        <w:kinsoku/>
        <w:wordWrap/>
        <w:overflowPunct/>
        <w:topLinePunct w:val="0"/>
        <w:autoSpaceDE/>
        <w:autoSpaceDN/>
        <w:bidi w:val="0"/>
        <w:adjustRightInd/>
        <w:snapToGrid/>
        <w:spacing w:line="760" w:lineRule="exact"/>
        <w:textAlignment w:val="auto"/>
        <w:rPr>
          <w:rStyle w:val="8"/>
          <w:rFonts w:hint="eastAsia"/>
        </w:rPr>
      </w:pPr>
    </w:p>
    <w:p w14:paraId="539A6B85">
      <w:pPr>
        <w:pStyle w:val="2"/>
        <w:keepNext w:val="0"/>
        <w:keepLines w:val="0"/>
        <w:pageBreakBefore w:val="0"/>
        <w:widowControl w:val="0"/>
        <w:numPr>
          <w:ilvl w:val="0"/>
          <w:numId w:val="1"/>
        </w:numPr>
        <w:kinsoku/>
        <w:wordWrap/>
        <w:overflowPunct/>
        <w:topLinePunct w:val="0"/>
        <w:autoSpaceDE/>
        <w:autoSpaceDN/>
        <w:bidi w:val="0"/>
        <w:adjustRightInd/>
        <w:snapToGrid/>
        <w:spacing w:line="760" w:lineRule="exact"/>
        <w:textAlignment w:val="auto"/>
        <w:rPr>
          <w:rStyle w:val="9"/>
          <w:rFonts w:hint="eastAsia"/>
        </w:rPr>
      </w:pPr>
      <w:r>
        <w:rPr>
          <w:rStyle w:val="9"/>
          <w:rFonts w:hint="eastAsia"/>
          <w:lang w:val="en-US" w:eastAsia="zh-CN"/>
        </w:rPr>
        <w:t xml:space="preserve"> </w:t>
      </w:r>
      <w:r>
        <w:rPr>
          <w:rStyle w:val="9"/>
          <w:rFonts w:hint="eastAsia"/>
        </w:rPr>
        <w:t>法律责任</w:t>
      </w:r>
    </w:p>
    <w:p w14:paraId="5C8C8071">
      <w:pPr>
        <w:pStyle w:val="2"/>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jc w:val="both"/>
        <w:textAlignment w:val="auto"/>
        <w:rPr>
          <w:rFonts w:hint="eastAsia"/>
        </w:rPr>
      </w:pPr>
    </w:p>
    <w:p w14:paraId="7B7C023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第四十四条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医疗机构有下列情形之一的，由县级以上地方卫生健康主管部门依据《医疗器械监督管理条例》的有关规定予以处理：</w:t>
      </w:r>
    </w:p>
    <w:p w14:paraId="32F1379F">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（一）未按照规定建立并执行医疗器械进货查验记录制度的；</w:t>
      </w:r>
    </w:p>
    <w:p w14:paraId="186481B3">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（二）对重复使用的医疗器械，未按照消毒和管理的规定进行处理的；</w:t>
      </w:r>
    </w:p>
    <w:p w14:paraId="3BEDD2B9">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（三）重复使用一次性使用的医疗器械，或者未按照规定销毁使用过的一次性使用的医疗器械的；</w:t>
      </w:r>
    </w:p>
    <w:p w14:paraId="79D6A0A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（四）未妥善保存购入第三类医疗器械的原始资料，或者未按照规定将大型医疗器械以及植入和介入类医疗器械的信息记载到病历等相关记录中的；</w:t>
      </w:r>
    </w:p>
    <w:p w14:paraId="6A5BCB3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（五）发现使用的医疗器械存在安全隐患未立即停止使用、通知检修，或者继续使用经检修仍不能达到使用安全标准的医疗器械的。</w:t>
      </w:r>
    </w:p>
    <w:p w14:paraId="0B0B3474">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第四十五条</w:t>
      </w:r>
      <w:r>
        <w:rPr>
          <w:rStyle w:val="10"/>
          <w:rFonts w:hint="eastAsia"/>
          <w:lang w:val="en-US" w:eastAsia="zh-CN"/>
        </w:rPr>
        <w:t xml:space="preserve"> </w:t>
      </w:r>
      <w:r>
        <w:rPr>
          <w:rStyle w:val="8"/>
          <w:rFonts w:hint="eastAsia"/>
          <w:lang w:val="en-US" w:eastAsia="zh-CN"/>
        </w:rPr>
        <w:t xml:space="preserve"> </w:t>
      </w:r>
      <w:r>
        <w:rPr>
          <w:rStyle w:val="8"/>
          <w:rFonts w:hint="eastAsia"/>
        </w:rPr>
        <w:t>医疗机构违反本办法规定，有下列情形之一的，由县级以上地方卫生健康主管部门责令改正，给予警告；情节严重的，可以并处五千元以上三万元以下罚款：</w:t>
      </w:r>
    </w:p>
    <w:p w14:paraId="01F91D6F">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（一）未按照规定建立医疗器械临床使用管理工作制度的；</w:t>
      </w:r>
    </w:p>
    <w:p w14:paraId="0745E70A">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（二）未按照规定设立医疗器械临床使用管理委员会或者配备专（兼）职人员负责本机构医疗器械临床使用管理工作的；</w:t>
      </w:r>
    </w:p>
    <w:p w14:paraId="51F3798D">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（三）未按照规定建立医疗器械验收验证制度的；</w:t>
      </w:r>
    </w:p>
    <w:p w14:paraId="7BFC3DDC">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（四）未按照规定报告医疗器械使用安全事件的；</w:t>
      </w:r>
    </w:p>
    <w:p w14:paraId="593C7BF8">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（五）不配合卫生健康主管部门开展的医疗器械使用安全事件调查和临床使用行为的监督检查的；</w:t>
      </w:r>
    </w:p>
    <w:p w14:paraId="036871F2">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（六）其他违反本办法规定的行为。</w:t>
      </w:r>
    </w:p>
    <w:p w14:paraId="33FC919A">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　第四十六条</w:t>
      </w:r>
      <w:r>
        <w:rPr>
          <w:rStyle w:val="10"/>
          <w:rFonts w:hint="eastAsia"/>
          <w:lang w:val="en-US" w:eastAsia="zh-CN"/>
        </w:rPr>
        <w:t xml:space="preserve">  </w:t>
      </w:r>
      <w:r>
        <w:rPr>
          <w:rStyle w:val="8"/>
          <w:rFonts w:hint="eastAsia"/>
        </w:rPr>
        <w:t>医疗机构及其医务人员在医疗器械临床使用中违反《执业医师法》《医疗机构管理条例》等有关法律法规的，依据有关法律法规的规定进行处理。</w:t>
      </w:r>
    </w:p>
    <w:p w14:paraId="50DC660A">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第四十七条</w:t>
      </w:r>
      <w:r>
        <w:rPr>
          <w:rStyle w:val="10"/>
          <w:rFonts w:hint="eastAsia"/>
          <w:lang w:val="en-US" w:eastAsia="zh-CN"/>
        </w:rPr>
        <w:t xml:space="preserve">  </w:t>
      </w:r>
      <w:r>
        <w:rPr>
          <w:rStyle w:val="8"/>
          <w:rFonts w:hint="eastAsia"/>
        </w:rPr>
        <w:t>县级以上地方卫生健康主管部门工作人员不履行医疗机构医疗器械临床使用监督管理职责或者滥用职权、玩忽职守、徇私舞弊的，上级卫生健康主管部门可以建议有管理权限的监察机关或者任免机关对直接负责的主管人员和其他直接责任人员依法给予处分；构成犯罪的，依法追究刑事责任。</w:t>
      </w:r>
    </w:p>
    <w:p w14:paraId="37084431">
      <w:pPr>
        <w:keepNext w:val="0"/>
        <w:keepLines w:val="0"/>
        <w:pageBreakBefore w:val="0"/>
        <w:widowControl w:val="0"/>
        <w:kinsoku/>
        <w:wordWrap/>
        <w:overflowPunct/>
        <w:topLinePunct w:val="0"/>
        <w:autoSpaceDE/>
        <w:autoSpaceDN/>
        <w:bidi w:val="0"/>
        <w:adjustRightInd/>
        <w:snapToGrid/>
        <w:spacing w:line="760" w:lineRule="exact"/>
        <w:textAlignment w:val="auto"/>
        <w:rPr>
          <w:rStyle w:val="8"/>
          <w:rFonts w:hint="eastAsia"/>
        </w:rPr>
      </w:pPr>
    </w:p>
    <w:p w14:paraId="10F17B7B">
      <w:pPr>
        <w:pStyle w:val="2"/>
        <w:keepNext w:val="0"/>
        <w:keepLines w:val="0"/>
        <w:pageBreakBefore w:val="0"/>
        <w:widowControl w:val="0"/>
        <w:numPr>
          <w:ilvl w:val="0"/>
          <w:numId w:val="1"/>
        </w:numPr>
        <w:kinsoku/>
        <w:wordWrap/>
        <w:overflowPunct/>
        <w:topLinePunct w:val="0"/>
        <w:autoSpaceDE/>
        <w:autoSpaceDN/>
        <w:bidi w:val="0"/>
        <w:adjustRightInd/>
        <w:snapToGrid/>
        <w:spacing w:line="760" w:lineRule="exact"/>
        <w:textAlignment w:val="auto"/>
        <w:rPr>
          <w:rFonts w:hint="eastAsia"/>
        </w:rPr>
      </w:pPr>
      <w:r>
        <w:rPr>
          <w:rFonts w:hint="eastAsia"/>
          <w:lang w:val="en-US" w:eastAsia="zh-CN"/>
        </w:rPr>
        <w:t xml:space="preserve"> </w:t>
      </w:r>
      <w:r>
        <w:rPr>
          <w:rFonts w:hint="eastAsia"/>
        </w:rPr>
        <w:t>附则</w:t>
      </w:r>
    </w:p>
    <w:p w14:paraId="5127A259">
      <w:pPr>
        <w:pStyle w:val="2"/>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jc w:val="both"/>
        <w:textAlignment w:val="auto"/>
        <w:rPr>
          <w:rFonts w:hint="eastAsia"/>
        </w:rPr>
      </w:pPr>
    </w:p>
    <w:p w14:paraId="43789657">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8"/>
          <w:rFonts w:hint="eastAsia"/>
        </w:rPr>
        <w:t>　　</w:t>
      </w:r>
      <w:r>
        <w:rPr>
          <w:rStyle w:val="10"/>
          <w:rFonts w:hint="eastAsia"/>
        </w:rPr>
        <w:t>第四十八条</w:t>
      </w:r>
      <w:r>
        <w:rPr>
          <w:rStyle w:val="10"/>
          <w:rFonts w:hint="eastAsia"/>
          <w:lang w:val="en-US" w:eastAsia="zh-CN"/>
        </w:rPr>
        <w:t xml:space="preserve">  </w:t>
      </w:r>
      <w:r>
        <w:rPr>
          <w:rStyle w:val="8"/>
          <w:rFonts w:hint="eastAsia"/>
        </w:rPr>
        <w:t>本办法所称医疗器械使用安全事件，是指医疗机构及其医务人员在诊疗活动中，因医疗器械使用行为存在过错，造成患者人身损害的事件。</w:t>
      </w:r>
    </w:p>
    <w:p w14:paraId="3AB2615F">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第四十九条</w:t>
      </w:r>
      <w:r>
        <w:rPr>
          <w:rStyle w:val="10"/>
          <w:rFonts w:hint="eastAsia"/>
          <w:lang w:val="en-US" w:eastAsia="zh-CN"/>
        </w:rPr>
        <w:t xml:space="preserve"> </w:t>
      </w:r>
      <w:r>
        <w:rPr>
          <w:rStyle w:val="8"/>
          <w:rFonts w:hint="eastAsia"/>
          <w:lang w:val="en-US" w:eastAsia="zh-CN"/>
        </w:rPr>
        <w:t xml:space="preserve"> </w:t>
      </w:r>
      <w:r>
        <w:rPr>
          <w:rStyle w:val="8"/>
          <w:rFonts w:hint="eastAsia"/>
        </w:rPr>
        <w:t>取得计划生育技术服务机构执业许可证的计划生育技术服务机构，以及依法执业的血站、单采血浆站等单位的医疗器械使用管理参照本办法执行。</w:t>
      </w:r>
    </w:p>
    <w:p w14:paraId="29B8772D">
      <w:pPr>
        <w:keepNext w:val="0"/>
        <w:keepLines w:val="0"/>
        <w:pageBreakBefore w:val="0"/>
        <w:kinsoku/>
        <w:wordWrap/>
        <w:overflowPunct/>
        <w:topLinePunct w:val="0"/>
        <w:autoSpaceDE/>
        <w:autoSpaceDN/>
        <w:bidi w:val="0"/>
        <w:adjustRightInd/>
        <w:snapToGrid/>
        <w:spacing w:line="760" w:lineRule="exact"/>
        <w:textAlignment w:val="auto"/>
        <w:rPr>
          <w:rStyle w:val="8"/>
          <w:rFonts w:hint="eastAsia"/>
        </w:rPr>
      </w:pPr>
      <w:r>
        <w:rPr>
          <w:rStyle w:val="10"/>
          <w:rFonts w:hint="eastAsia"/>
        </w:rPr>
        <w:t>　　第五十条</w:t>
      </w:r>
      <w:r>
        <w:rPr>
          <w:rStyle w:val="10"/>
          <w:rFonts w:hint="eastAsia"/>
          <w:lang w:val="en-US" w:eastAsia="zh-CN"/>
        </w:rPr>
        <w:t xml:space="preserve"> </w:t>
      </w:r>
      <w:r>
        <w:rPr>
          <w:rStyle w:val="8"/>
          <w:rFonts w:hint="eastAsia"/>
          <w:lang w:val="en-US" w:eastAsia="zh-CN"/>
        </w:rPr>
        <w:t xml:space="preserve"> </w:t>
      </w:r>
      <w:r>
        <w:rPr>
          <w:rStyle w:val="8"/>
          <w:rFonts w:hint="eastAsia"/>
        </w:rPr>
        <w:t>对使用环节的医疗器械质量的监督管理，按照国务院药品监督管理部门的有关规定执行。</w:t>
      </w:r>
    </w:p>
    <w:p w14:paraId="2F77A9BC">
      <w:pPr>
        <w:keepNext w:val="0"/>
        <w:keepLines w:val="0"/>
        <w:pageBreakBefore w:val="0"/>
        <w:kinsoku/>
        <w:wordWrap/>
        <w:overflowPunct/>
        <w:topLinePunct w:val="0"/>
        <w:autoSpaceDE/>
        <w:autoSpaceDN/>
        <w:bidi w:val="0"/>
        <w:adjustRightInd/>
        <w:snapToGrid/>
        <w:spacing w:line="760" w:lineRule="exact"/>
        <w:textAlignment w:val="auto"/>
        <w:rPr>
          <w:rStyle w:val="8"/>
        </w:rPr>
      </w:pPr>
      <w:r>
        <w:rPr>
          <w:rStyle w:val="10"/>
          <w:rFonts w:hint="eastAsia"/>
        </w:rPr>
        <w:t>　　第五十一条</w:t>
      </w:r>
      <w:r>
        <w:rPr>
          <w:rStyle w:val="10"/>
          <w:rFonts w:hint="eastAsia"/>
          <w:lang w:val="en-US" w:eastAsia="zh-CN"/>
        </w:rPr>
        <w:t xml:space="preserve">  </w:t>
      </w:r>
      <w:r>
        <w:rPr>
          <w:rStyle w:val="8"/>
          <w:rFonts w:hint="eastAsia"/>
        </w:rPr>
        <w:t>本办法自2021年3月1日起施行。</w:t>
      </w:r>
    </w:p>
    <w:p w14:paraId="295DDE53">
      <w:pPr>
        <w:keepNext w:val="0"/>
        <w:keepLines w:val="0"/>
        <w:pageBreakBefore w:val="0"/>
        <w:kinsoku/>
        <w:wordWrap/>
        <w:overflowPunct/>
        <w:topLinePunct w:val="0"/>
        <w:autoSpaceDE/>
        <w:autoSpaceDN/>
        <w:bidi w:val="0"/>
        <w:adjustRightInd/>
        <w:snapToGrid/>
        <w:spacing w:line="760" w:lineRule="exact"/>
        <w:textAlignment w:val="auto"/>
        <w:rPr>
          <w:rStyle w:val="8"/>
        </w:rPr>
      </w:pPr>
    </w:p>
    <w:p w14:paraId="67525C22">
      <w:pPr>
        <w:keepNext w:val="0"/>
        <w:keepLines w:val="0"/>
        <w:pageBreakBefore w:val="0"/>
        <w:widowControl w:val="0"/>
        <w:kinsoku/>
        <w:wordWrap/>
        <w:overflowPunct/>
        <w:topLinePunct w:val="0"/>
        <w:autoSpaceDE/>
        <w:autoSpaceDN/>
        <w:bidi w:val="0"/>
        <w:adjustRightInd/>
        <w:snapToGrid/>
        <w:spacing w:line="760" w:lineRule="exact"/>
        <w:textAlignment w:val="auto"/>
        <w:rPr>
          <w:rStyle w:val="8"/>
        </w:rPr>
      </w:pP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0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7C747">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210B05">
                          <w:pPr>
                            <w:pStyle w:val="5"/>
                          </w:pPr>
                          <w:r>
                            <w:fldChar w:fldCharType="begin"/>
                          </w:r>
                          <w:r>
                            <w:instrText xml:space="preserve">PAGE   \* MERGEFORMAT</w:instrText>
                          </w:r>
                          <w:r>
                            <w:fldChar w:fldCharType="separate"/>
                          </w:r>
                          <w:r>
                            <w:rPr>
                              <w:lang w:val="zh-CN"/>
                            </w:rPr>
                            <w:t>2</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EREUCndAQAAvgMAAA4AAAAAAAAA&#10;AQAgAAAAHgEAAGRycy9lMm9Eb2MueG1sUEsFBgAAAAAGAAYAWQEAAG0FAAAAAA==&#10;">
              <v:fill on="f" focussize="0,0"/>
              <v:stroke on="f"/>
              <v:imagedata o:title=""/>
              <o:lock v:ext="edit" aspectratio="f"/>
              <v:textbox inset="0mm,0mm,0mm,0mm" style="mso-fit-shape-to-text:t;">
                <w:txbxContent>
                  <w:p w14:paraId="07210B05">
                    <w:pPr>
                      <w:pStyle w:val="5"/>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14:paraId="03597479">
    <w:pPr>
      <w:pStyle w:val="5"/>
      <w:pBdr>
        <w:top w:val="single" w:color="2F5496" w:sz="8" w:space="1"/>
      </w:pBdr>
      <w:jc w:val="right"/>
      <w:rPr>
        <w:rFonts w:ascii="宋体" w:hAnsi="宋体" w:eastAsia="宋体"/>
        <w:color w:val="1F4E79"/>
        <w:sz w:val="24"/>
        <w:lang/>
      </w:rPr>
    </w:pPr>
  </w:p>
  <w:p w14:paraId="1D9743EE">
    <w:pPr>
      <w:pStyle w:val="5"/>
      <w:pBdr>
        <w:top w:val="single" w:color="2F5496" w:sz="8" w:space="1"/>
      </w:pBdr>
      <w:spacing w:line="192" w:lineRule="auto"/>
      <w:jc w:val="right"/>
      <w:rPr>
        <w:rFonts w:hint="default"/>
        <w:lang w:val="en-US"/>
      </w:rPr>
    </w:pPr>
    <w:r>
      <w:rPr>
        <w:rFonts w:hint="eastAsia" w:ascii="宋体" w:hAnsi="宋体" w:eastAsia="宋体" w:cs="Times New Roman"/>
        <w:color w:val="1F4E79"/>
        <w:sz w:val="24"/>
        <w:lang w:val="en-US" w:eastAsia="zh-CN"/>
      </w:rPr>
      <w:t>国家卫生健康委员会发布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49BA9">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FED3C">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5EADB">
    <w:pPr>
      <w:pStyle w:val="6"/>
      <w:pBdr>
        <w:bottom w:val="single" w:color="2F5496" w:sz="8" w:space="0"/>
      </w:pBdr>
      <w:tabs>
        <w:tab w:val="left" w:pos="2930"/>
        <w:tab w:val="clear" w:pos="4153"/>
        <w:tab w:val="clear" w:pos="8306"/>
      </w:tabs>
      <w:spacing w:line="360" w:lineRule="auto"/>
      <w:jc w:val="left"/>
      <w:textAlignment w:val="center"/>
      <w:rPr>
        <w:rFonts w:hint="eastAsia"/>
        <w:sz w:val="15"/>
      </w:rPr>
    </w:pPr>
    <w:r>
      <w:rPr>
        <w:lang/>
      </w:rPr>
      <w:drawing>
        <wp:inline distT="0" distB="0" distL="114300" distR="114300">
          <wp:extent cx="234950" cy="248285"/>
          <wp:effectExtent l="0" t="0" r="1270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34950" cy="248285"/>
                  </a:xfrm>
                  <a:prstGeom prst="rect">
                    <a:avLst/>
                  </a:prstGeom>
                  <a:noFill/>
                  <a:ln>
                    <a:noFill/>
                  </a:ln>
                </pic:spPr>
              </pic:pic>
            </a:graphicData>
          </a:graphic>
        </wp:inline>
      </w:drawing>
    </w:r>
    <w:r>
      <w:rPr>
        <w:lang/>
      </w:rPr>
      <w:t xml:space="preserve"> </w:t>
    </w:r>
    <w:r>
      <w:rPr>
        <w:rFonts w:hint="eastAsia" w:ascii="宋体" w:hAnsi="宋体" w:eastAsia="宋体" w:cs="Times New Roman"/>
        <w:color w:val="1F4E79"/>
        <w:sz w:val="24"/>
        <w:lang w:val="en-US" w:eastAsia="zh-CN"/>
      </w:rPr>
      <w:t>国家卫生健康委员会</w:t>
    </w:r>
    <w:r>
      <w:rPr>
        <w:rFonts w:ascii="宋体" w:hAnsi="宋体" w:eastAsia="宋体"/>
        <w:color w:val="1F4E79"/>
        <w:sz w:val="24"/>
        <w:lang/>
      </w:rPr>
      <w:t>规章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643C5">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AC2A5">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ED22F"/>
    <w:multiLevelType w:val="singleLevel"/>
    <w:tmpl w:val="C9FED22F"/>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0C7"/>
    <w:rsid w:val="00144FB4"/>
    <w:rsid w:val="001B7E17"/>
    <w:rsid w:val="00262FF4"/>
    <w:rsid w:val="002B4D2F"/>
    <w:rsid w:val="0067132F"/>
    <w:rsid w:val="006C6D81"/>
    <w:rsid w:val="006E7C6D"/>
    <w:rsid w:val="00714FBB"/>
    <w:rsid w:val="008561ED"/>
    <w:rsid w:val="008A696C"/>
    <w:rsid w:val="00902BFA"/>
    <w:rsid w:val="00BA3C4B"/>
    <w:rsid w:val="00C710C7"/>
    <w:rsid w:val="00C82593"/>
    <w:rsid w:val="00DF2BA2"/>
    <w:rsid w:val="00E20A26"/>
    <w:rsid w:val="00F357E3"/>
    <w:rsid w:val="00F460B4"/>
    <w:rsid w:val="00FB100E"/>
    <w:rsid w:val="0778691D"/>
    <w:rsid w:val="3BAF45E9"/>
    <w:rsid w:val="40194B81"/>
    <w:rsid w:val="7FBF98C3"/>
    <w:rsid w:val="7FFF0A34"/>
    <w:rsid w:val="DEFFF41A"/>
    <w:rsid w:val="FFEE6A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next w:val="2"/>
    <w:qFormat/>
    <w:uiPriority w:val="0"/>
    <w:pPr>
      <w:widowControl w:val="0"/>
      <w:jc w:val="both"/>
    </w:pPr>
    <w:rPr>
      <w:kern w:val="2"/>
      <w:sz w:val="21"/>
      <w:szCs w:val="22"/>
      <w:lang w:val="en-US" w:eastAsia="zh-CN" w:bidi="ar-SA"/>
    </w:rPr>
  </w:style>
  <w:style w:type="paragraph" w:styleId="4">
    <w:name w:val="heading 1"/>
    <w:basedOn w:val="1"/>
    <w:next w:val="1"/>
    <w:link w:val="10"/>
    <w:qFormat/>
    <w:uiPriority w:val="9"/>
    <w:pPr>
      <w:keepNext/>
      <w:keepLines/>
      <w:spacing w:before="340" w:beforeLines="0" w:beforeAutospacing="0" w:after="330" w:afterLines="0" w:afterAutospacing="0" w:line="576" w:lineRule="auto"/>
      <w:outlineLvl w:val="0"/>
    </w:pPr>
    <w:rPr>
      <w:rFonts w:ascii="等线" w:hAnsi="等线" w:eastAsia="黑体"/>
      <w:kern w:val="44"/>
      <w:sz w:val="42"/>
    </w:rPr>
  </w:style>
  <w:style w:type="character" w:default="1" w:styleId="8">
    <w:name w:val="Default Paragraph Font"/>
    <w:unhideWhenUsed/>
    <w:uiPriority w:val="1"/>
    <w:rPr>
      <w:rFonts w:ascii="等线" w:hAnsi="等线" w:eastAsia="仿宋"/>
      <w:sz w:val="42"/>
    </w:rPr>
  </w:style>
  <w:style w:type="table" w:default="1" w:styleId="7">
    <w:name w:val="Normal Table"/>
    <w:unhideWhenUsed/>
    <w:uiPriority w:val="99"/>
    <w:tblPr>
      <w:tblStyle w:val="7"/>
      <w:tblCellMar>
        <w:top w:w="0" w:type="dxa"/>
        <w:left w:w="108" w:type="dxa"/>
        <w:bottom w:w="0" w:type="dxa"/>
        <w:right w:w="108" w:type="dxa"/>
      </w:tblCellMar>
    </w:tblPr>
  </w:style>
  <w:style w:type="paragraph" w:styleId="2">
    <w:name w:val="Title"/>
    <w:next w:val="3"/>
    <w:link w:val="9"/>
    <w:qFormat/>
    <w:uiPriority w:val="0"/>
    <w:pPr>
      <w:widowControl w:val="0"/>
      <w:spacing w:beforeLines="0" w:afterLines="0" w:line="0" w:lineRule="atLeast"/>
      <w:ind w:firstLine="0" w:firstLineChars="0"/>
      <w:jc w:val="center"/>
    </w:pPr>
    <w:rPr>
      <w:rFonts w:ascii="Arial" w:hAnsi="Arial" w:eastAsia="黑体" w:cs="Times New Roman"/>
      <w:kern w:val="2"/>
      <w:sz w:val="42"/>
      <w:szCs w:val="24"/>
      <w:lang w:val="en-US" w:eastAsia="zh-CN" w:bidi="ar-SA"/>
    </w:rPr>
  </w:style>
  <w:style w:type="paragraph" w:styleId="3">
    <w:name w:val="Body Text Indent"/>
    <w:next w:val="1"/>
    <w:qFormat/>
    <w:uiPriority w:val="0"/>
    <w:pPr>
      <w:widowControl w:val="0"/>
      <w:spacing w:after="120"/>
      <w:ind w:left="420" w:leftChars="200"/>
      <w:jc w:val="both"/>
    </w:pPr>
    <w:rPr>
      <w:rFonts w:ascii="Calibri" w:hAnsi="Calibri" w:eastAsia="仿宋_GB2312" w:cs="Times New Roman"/>
      <w:kern w:val="2"/>
      <w:sz w:val="32"/>
      <w:szCs w:val="24"/>
      <w:lang w:val="en-US" w:eastAsia="zh-CN" w:bidi="ar-SA"/>
    </w:rPr>
  </w:style>
  <w:style w:type="paragraph" w:styleId="5">
    <w:name w:val="footer"/>
    <w:basedOn w:val="1"/>
    <w:link w:val="11"/>
    <w:unhideWhenUsed/>
    <w:uiPriority w:val="99"/>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Char"/>
    <w:link w:val="2"/>
    <w:uiPriority w:val="0"/>
    <w:rPr>
      <w:rFonts w:ascii="Arial" w:hAnsi="Arial" w:eastAsia="黑体" w:cs="Times New Roman"/>
      <w:kern w:val="2"/>
      <w:sz w:val="42"/>
      <w:szCs w:val="24"/>
      <w:lang w:val="en-US" w:eastAsia="zh-CN" w:bidi="ar-SA"/>
    </w:rPr>
  </w:style>
  <w:style w:type="character" w:customStyle="1" w:styleId="10">
    <w:name w:val="标题 1 Char"/>
    <w:link w:val="4"/>
    <w:uiPriority w:val="0"/>
    <w:rPr>
      <w:rFonts w:ascii="等线" w:hAnsi="等线" w:eastAsia="黑体"/>
      <w:kern w:val="44"/>
      <w:sz w:val="42"/>
    </w:rPr>
  </w:style>
  <w:style w:type="character" w:customStyle="1" w:styleId="11">
    <w:name w:val="页脚 字符"/>
    <w:link w:val="5"/>
    <w:uiPriority w:val="99"/>
    <w:rPr>
      <w:sz w:val="18"/>
      <w:szCs w:val="18"/>
    </w:rPr>
  </w:style>
  <w:style w:type="character" w:customStyle="1" w:styleId="12">
    <w:name w:val="页眉 字符"/>
    <w:link w:val="6"/>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5200</Words>
  <Characters>5210</Characters>
  <Lines>0</Lines>
  <Paragraphs>0</Paragraphs>
  <TotalTime>11.6666666666667</TotalTime>
  <ScaleCrop>false</ScaleCrop>
  <LinksUpToDate>false</LinksUpToDate>
  <CharactersWithSpaces>5483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2021-12-14T18:53:00Z</dcterms:created>
  <dc:creator>吴 琼</dc:creator>
  <cp:lastModifiedBy>纳图拉尔纳</cp:lastModifiedBy>
  <dcterms:modified xsi:type="dcterms:W3CDTF">2026-05-11T15:20:33Z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8583CC66F80A4689AB2A548877D167C5_13</vt:lpwstr>
  </property>
</Properties>
</file>