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7418" w:rsidRPr="00F47418" w:rsidRDefault="00F47418" w:rsidP="00F47418">
      <w:pPr>
        <w:spacing w:before="380" w:after="140" w:line="288" w:lineRule="auto"/>
        <w:jc w:val="left"/>
        <w:outlineLvl w:val="0"/>
        <w:rPr>
          <w:rFonts w:hint="eastAsia"/>
          <w:highlight w:val="yellow"/>
        </w:rPr>
      </w:pPr>
      <w:bookmarkStart w:id="0" w:name="heading_12"/>
      <w:r>
        <w:rPr>
          <w:rFonts w:ascii="Arial" w:eastAsia="DengXian" w:hAnsi="Arial" w:cs="Arial"/>
          <w:b/>
          <w:sz w:val="36"/>
          <w:highlight w:val="yellow"/>
        </w:rPr>
        <w:t>Banking &amp; Finance</w:t>
      </w:r>
      <w:bookmarkEnd w:id="0"/>
    </w:p>
    <w:p w:rsidR="00F47418" w:rsidRDefault="00F47418" w:rsidP="00F47418">
      <w:pPr>
        <w:spacing w:before="320" w:after="120" w:line="288" w:lineRule="auto"/>
        <w:jc w:val="left"/>
        <w:outlineLvl w:val="1"/>
      </w:pPr>
      <w:bookmarkStart w:id="1" w:name="heading_14"/>
      <w:r>
        <w:rPr>
          <w:rFonts w:ascii="Arial" w:eastAsia="DengXian" w:hAnsi="Arial" w:cs="Arial"/>
          <w:b/>
          <w:sz w:val="32"/>
        </w:rPr>
        <w:t xml:space="preserve"> UAE Banking Wealth Management Business Report &amp; Wealth Management Company Yearbook </w:t>
      </w:r>
      <w:bookmarkEnd w:id="1"/>
    </w:p>
    <w:p w:rsidR="00F47418" w:rsidRDefault="00F47418" w:rsidP="00F47418">
      <w:pPr>
        <w:spacing w:before="120" w:after="120" w:line="288" w:lineRule="auto"/>
        <w:jc w:val="left"/>
      </w:pPr>
      <w:r>
        <w:rPr>
          <w:rFonts w:ascii="Arial" w:eastAsia="DengXian" w:hAnsi="Arial" w:cs="Arial"/>
          <w:sz w:val="22"/>
        </w:rPr>
        <w:t xml:space="preserve"> I. Industry Scale and Market Structure</w:t>
      </w:r>
    </w:p>
    <w:p w:rsidR="00F47418" w:rsidRDefault="00F47418" w:rsidP="00F47418">
      <w:pPr>
        <w:spacing w:before="120" w:after="120" w:line="288" w:lineRule="auto"/>
        <w:jc w:val="left"/>
      </w:pPr>
      <w:r>
        <w:rPr>
          <w:rFonts w:ascii="Arial" w:eastAsia="DengXian" w:hAnsi="Arial" w:cs="Arial"/>
          <w:sz w:val="22"/>
        </w:rPr>
        <w:t>In 2024, the UAE banking wealth management market maintained steady growth driven by regional economic recovery and financial liberalization policies. By the end of the year, the outstanding scale reached AED 895 billion (approximately USD 24.4 billion), up 9.2% from the start of the year. Among this, local bank wealth management subsidiaries accounted for 78.5% of assets under management, while foreign bank branches in the UAE held 21.5%, indicating further market concentration.</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A total of 42 banks and 11 licensed wealth management companies launched 1,280 new products throughout the year, raising AED 2.1 trillion. The number of investors exceeded 1.8 million, a 12.3% increase from the beginning of the year, with total returns to investors reaching AED 19.2 billion. In terms of product structure:</w:t>
      </w:r>
    </w:p>
    <w:p w:rsidR="00F47418" w:rsidRDefault="00F47418" w:rsidP="00F47418">
      <w:pPr>
        <w:spacing w:before="120" w:after="120" w:line="288" w:lineRule="auto"/>
        <w:jc w:val="left"/>
      </w:pPr>
      <w:r>
        <w:rPr>
          <w:rFonts w:ascii="Arial" w:eastAsia="DengXian" w:hAnsi="Arial" w:cs="Arial"/>
          <w:sz w:val="22"/>
        </w:rPr>
        <w:t>- Structured products linked to core local industries (oil, infrastructure) accounted for 42%;</w:t>
      </w:r>
    </w:p>
    <w:p w:rsidR="00F47418" w:rsidRDefault="00F47418" w:rsidP="00F47418">
      <w:pPr>
        <w:spacing w:before="120" w:after="120" w:line="288" w:lineRule="auto"/>
        <w:jc w:val="left"/>
      </w:pPr>
      <w:r>
        <w:rPr>
          <w:rFonts w:ascii="Arial" w:eastAsia="DengXian" w:hAnsi="Arial" w:cs="Arial"/>
          <w:sz w:val="22"/>
        </w:rPr>
        <w:t>- Fixed-income products made up 38%;</w:t>
      </w:r>
    </w:p>
    <w:p w:rsidR="00F47418" w:rsidRDefault="00F47418" w:rsidP="00F47418">
      <w:pPr>
        <w:spacing w:before="120" w:after="120" w:line="288" w:lineRule="auto"/>
        <w:jc w:val="left"/>
      </w:pPr>
      <w:r>
        <w:rPr>
          <w:rFonts w:ascii="Arial" w:eastAsia="DengXian" w:hAnsi="Arial" w:cs="Arial"/>
          <w:sz w:val="22"/>
        </w:rPr>
        <w:t>- Cross-border multi-asset allocation products constituted 20%, reflecting market demand for both regional economic resilience and global asset diversification.</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 xml:space="preserve"> II. Regulatory Dynamics and Policy Orientation</w:t>
      </w:r>
    </w:p>
    <w:p w:rsidR="00F47418" w:rsidRDefault="00F47418" w:rsidP="00F47418">
      <w:pPr>
        <w:spacing w:before="120" w:after="120" w:line="288" w:lineRule="auto"/>
        <w:jc w:val="left"/>
      </w:pPr>
      <w:r>
        <w:rPr>
          <w:rFonts w:ascii="Arial" w:eastAsia="DengXian" w:hAnsi="Arial" w:cs="Arial"/>
          <w:b/>
          <w:sz w:val="22"/>
        </w:rPr>
        <w:t>The Central Bank of the UAE (CBUAE) and Dubai Financial Services Authority (DFSA)</w:t>
      </w:r>
      <w:r>
        <w:rPr>
          <w:rFonts w:ascii="Arial" w:eastAsia="DengXian" w:hAnsi="Arial" w:cs="Arial"/>
          <w:sz w:val="22"/>
        </w:rPr>
        <w:t xml:space="preserve"> continued to refine regulatory frameworks:</w:t>
      </w:r>
    </w:p>
    <w:p w:rsidR="00F47418" w:rsidRDefault="00F47418" w:rsidP="00F47418">
      <w:pPr>
        <w:spacing w:before="120" w:after="120" w:line="288" w:lineRule="auto"/>
        <w:jc w:val="left"/>
      </w:pPr>
      <w:r>
        <w:rPr>
          <w:rFonts w:ascii="Arial" w:eastAsia="DengXian" w:hAnsi="Arial" w:cs="Arial"/>
          <w:sz w:val="22"/>
        </w:rPr>
        <w:t>1. Compliance &amp; Transparency: Mandated monthly disclosure of underlying assets for all net-value products and capped derivative exposure at 30% for structured products to mitigate risks from complex instruments.</w:t>
      </w:r>
    </w:p>
    <w:p w:rsidR="00F47418" w:rsidRDefault="00F47418" w:rsidP="00F47418">
      <w:pPr>
        <w:spacing w:before="120" w:after="120" w:line="288" w:lineRule="auto"/>
        <w:jc w:val="left"/>
      </w:pPr>
      <w:r>
        <w:rPr>
          <w:rFonts w:ascii="Arial" w:eastAsia="DengXian" w:hAnsi="Arial" w:cs="Arial"/>
          <w:sz w:val="22"/>
        </w:rPr>
        <w:t xml:space="preserve">2. Cross-border Capital Flows: Raised limits on overseas investments, allowing </w:t>
      </w:r>
      <w:r>
        <w:rPr>
          <w:rFonts w:ascii="Arial" w:eastAsia="DengXian" w:hAnsi="Arial" w:cs="Arial"/>
          <w:sz w:val="22"/>
        </w:rPr>
        <w:lastRenderedPageBreak/>
        <w:t>qualified wealth managers to allocate up to 40% of funds to emerging market bonds and developed market equities, promoting internationalization.</w:t>
      </w:r>
    </w:p>
    <w:p w:rsidR="00F47418" w:rsidRDefault="00F47418" w:rsidP="00F47418">
      <w:pPr>
        <w:spacing w:before="120" w:after="120" w:line="288" w:lineRule="auto"/>
        <w:jc w:val="left"/>
      </w:pPr>
      <w:r>
        <w:rPr>
          <w:rFonts w:ascii="Arial" w:eastAsia="DengXian" w:hAnsi="Arial" w:cs="Arial"/>
          <w:sz w:val="22"/>
        </w:rPr>
        <w:t xml:space="preserve">3. Sustainable Finance: Introduced "Green Wealth Management Certification," requiring certified products to allocate at least 70% of assets to projects aligned with the </w:t>
      </w:r>
      <w:r>
        <w:rPr>
          <w:rFonts w:ascii="Arial" w:eastAsia="DengXian" w:hAnsi="Arial" w:cs="Arial"/>
          <w:i/>
          <w:sz w:val="22"/>
        </w:rPr>
        <w:t>UAE Net Zero 2050 Strategy</w:t>
      </w:r>
      <w:r>
        <w:rPr>
          <w:rFonts w:ascii="Arial" w:eastAsia="DengXian" w:hAnsi="Arial" w:cs="Arial"/>
          <w:sz w:val="22"/>
        </w:rPr>
        <w:t xml:space="preserve"> (e.g., solar power plants, carbon capture). By end-2024, green wealth management scale reached AED 120 billion, up 45% YoY.</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 xml:space="preserve"> III. Competition Between Local and Foreign Institutions</w:t>
      </w:r>
    </w:p>
    <w:p w:rsidR="00F47418" w:rsidRDefault="00F47418" w:rsidP="00F47418">
      <w:pPr>
        <w:spacing w:before="120" w:after="120" w:line="288" w:lineRule="auto"/>
        <w:jc w:val="left"/>
      </w:pPr>
      <w:r>
        <w:rPr>
          <w:rFonts w:ascii="Arial" w:eastAsia="DengXian" w:hAnsi="Arial" w:cs="Arial"/>
          <w:b/>
          <w:sz w:val="22"/>
        </w:rPr>
        <w:t>Local Banks Dominate with Regional Resource Integration</w:t>
      </w:r>
    </w:p>
    <w:p w:rsidR="00F47418" w:rsidRDefault="00F47418" w:rsidP="00F47418">
      <w:pPr>
        <w:spacing w:before="120" w:after="120" w:line="288" w:lineRule="auto"/>
        <w:jc w:val="left"/>
      </w:pPr>
      <w:r>
        <w:rPr>
          <w:rFonts w:ascii="Arial" w:eastAsia="DengXian" w:hAnsi="Arial" w:cs="Arial"/>
          <w:sz w:val="22"/>
        </w:rPr>
        <w:t>Leading institutions like National Bank of Abu Dhabi (NBAD) and Dubai Islamic Bank (DIB) leveraged local network advantages to launch customized products linked to Emirati sovereign fund projects and free zone infrastructure. For example:</w:t>
      </w:r>
    </w:p>
    <w:p w:rsidR="00F47418" w:rsidRDefault="00F47418" w:rsidP="00F47418">
      <w:pPr>
        <w:spacing w:before="120" w:after="120" w:line="288" w:lineRule="auto"/>
        <w:jc w:val="left"/>
      </w:pPr>
      <w:r>
        <w:rPr>
          <w:rFonts w:ascii="Arial" w:eastAsia="DengXian" w:hAnsi="Arial" w:cs="Arial"/>
          <w:sz w:val="22"/>
        </w:rPr>
        <w:t>- NBAD’s "Abu Dhabi Vision 2030 Special Wealth Plan" prioritizes investments in local healthcare and education infrastructure, delivering stable annualized returns of 4.2%-5.5%, attracting significant institutional capital.</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Islamic wealth management performed strongly, with Sharia-compliant products reaching AED 320 billion (35.8% of the market). DIB’s "Profit-Sharing Real Estate Fund," investing in Dubai free zone commercial properties, achieved a 5.8% annual dividend rate, becoming a top choice for retail clients.</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 xml:space="preserve"> </w:t>
      </w:r>
      <w:r>
        <w:rPr>
          <w:rFonts w:ascii="Arial" w:eastAsia="DengXian" w:hAnsi="Arial" w:cs="Arial"/>
          <w:b/>
          <w:sz w:val="22"/>
        </w:rPr>
        <w:t>Foreign Institutions Accelerate Layout with Cross-border and Digital Focus</w:t>
      </w:r>
    </w:p>
    <w:p w:rsidR="00F47418" w:rsidRDefault="00F47418" w:rsidP="00F47418">
      <w:pPr>
        <w:spacing w:before="120" w:after="120" w:line="288" w:lineRule="auto"/>
        <w:jc w:val="left"/>
      </w:pPr>
      <w:r>
        <w:rPr>
          <w:rFonts w:ascii="Arial" w:eastAsia="DengXian" w:hAnsi="Arial" w:cs="Arial"/>
          <w:sz w:val="22"/>
        </w:rPr>
        <w:t>HSBC, Standard Chartered, and other foreign branches targeted high-net-worth clients with "global allocation + local service" bundles. HSBC’s "Middle East-Asia Dual Core Plan," for instance, allocated 50% to UAE blue chips and 50% to Chinese new economy sectors, yielding 6.3% in 2024.</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Digital channels became a competitive focus: 85% of foreign institutions enabled full online onboarding for wealth products. Standard Chartered Dubai’s AI advisor "Smart Wealth Manager," which automatically adjusts allocations across oil, gold, and US equities based on risk preferences, gained 50,000 users within six months of launch.</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lastRenderedPageBreak/>
        <w:t xml:space="preserve"> IV. Product Innovation and Customer Demand Trends</w:t>
      </w:r>
    </w:p>
    <w:p w:rsidR="00F47418" w:rsidRDefault="00F47418" w:rsidP="00F47418">
      <w:pPr>
        <w:spacing w:before="120" w:after="120" w:line="288" w:lineRule="auto"/>
        <w:jc w:val="left"/>
      </w:pPr>
      <w:r>
        <w:rPr>
          <w:rFonts w:ascii="Arial" w:eastAsia="DengXian" w:hAnsi="Arial" w:cs="Arial"/>
          <w:sz w:val="22"/>
        </w:rPr>
        <w:t xml:space="preserve"> </w:t>
      </w:r>
      <w:r>
        <w:rPr>
          <w:rFonts w:ascii="Arial" w:eastAsia="DengXian" w:hAnsi="Arial" w:cs="Arial"/>
          <w:b/>
          <w:sz w:val="22"/>
        </w:rPr>
        <w:t>1. Key Thematic Product Directions</w:t>
      </w:r>
    </w:p>
    <w:p w:rsidR="00F47418" w:rsidRDefault="00F47418" w:rsidP="00F47418">
      <w:pPr>
        <w:spacing w:before="120" w:after="120" w:line="288" w:lineRule="auto"/>
        <w:jc w:val="left"/>
      </w:pPr>
      <w:r>
        <w:rPr>
          <w:rFonts w:ascii="Arial" w:eastAsia="DengXian" w:hAnsi="Arial" w:cs="Arial"/>
          <w:sz w:val="22"/>
        </w:rPr>
        <w:t>- Energy Transition: Abu Dhabi Commercial Bank (ADCB) launched a "Hydrogen Industry Chain Plan," investing in UAE hydrogen project equity and related equipment suppliers’ bonds, with an expected 6.8% annual return.</w:t>
      </w:r>
    </w:p>
    <w:p w:rsidR="00F47418" w:rsidRDefault="00F47418" w:rsidP="00F47418">
      <w:pPr>
        <w:spacing w:before="120" w:after="120" w:line="288" w:lineRule="auto"/>
        <w:jc w:val="left"/>
      </w:pPr>
      <w:r>
        <w:rPr>
          <w:rFonts w:ascii="Arial" w:eastAsia="DengXian" w:hAnsi="Arial" w:cs="Arial"/>
          <w:sz w:val="22"/>
        </w:rPr>
        <w:t>- Cross-border Linkages: Dubai Islamic Bank (DIB) partnered with India’s ICICI Bank to launch "India-UAE Trade Bridge," linked to Dubai-Mumbai freight indices and Indian export bills, balancing returns with regional economic synergies.</w:t>
      </w:r>
    </w:p>
    <w:p w:rsidR="00F47418" w:rsidRDefault="00F47418" w:rsidP="00F47418">
      <w:pPr>
        <w:spacing w:before="120" w:after="120" w:line="288" w:lineRule="auto"/>
        <w:jc w:val="left"/>
      </w:pPr>
      <w:r>
        <w:rPr>
          <w:rFonts w:ascii="Arial" w:eastAsia="DengXian" w:hAnsi="Arial" w:cs="Arial"/>
          <w:sz w:val="22"/>
        </w:rPr>
        <w:t xml:space="preserve">- Islamic Finance Innovation: </w:t>
      </w:r>
      <w:proofErr w:type="spellStart"/>
      <w:r>
        <w:rPr>
          <w:rFonts w:ascii="Arial" w:eastAsia="DengXian" w:hAnsi="Arial" w:cs="Arial"/>
          <w:sz w:val="22"/>
        </w:rPr>
        <w:t>RAKBank</w:t>
      </w:r>
      <w:proofErr w:type="spellEnd"/>
      <w:r>
        <w:rPr>
          <w:rFonts w:ascii="Arial" w:eastAsia="DengXian" w:hAnsi="Arial" w:cs="Arial"/>
          <w:sz w:val="22"/>
        </w:rPr>
        <w:t xml:space="preserve"> developed a "Sukuk + Ijarah Hybrid Product," combining Islamic bonds and commercial property leases to deliver stable cash flow, meeting religious compliance needs.</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 xml:space="preserve"> </w:t>
      </w:r>
      <w:r>
        <w:rPr>
          <w:rFonts w:ascii="Arial" w:eastAsia="DengXian" w:hAnsi="Arial" w:cs="Arial"/>
          <w:b/>
          <w:sz w:val="22"/>
        </w:rPr>
        <w:t>2. Divergent Customer Segments</w:t>
      </w:r>
    </w:p>
    <w:p w:rsidR="00F47418" w:rsidRDefault="00F47418" w:rsidP="00F47418">
      <w:pPr>
        <w:spacing w:before="120" w:after="120" w:line="288" w:lineRule="auto"/>
        <w:jc w:val="left"/>
      </w:pPr>
      <w:r>
        <w:rPr>
          <w:rFonts w:ascii="Arial" w:eastAsia="DengXian" w:hAnsi="Arial" w:cs="Arial"/>
          <w:sz w:val="22"/>
        </w:rPr>
        <w:t>- Retail clients preferred low-risk liquid products, with open-ended schemes accounting for 62% and average holding periods of 3-6 months.</w:t>
      </w:r>
    </w:p>
    <w:p w:rsidR="00F47418" w:rsidRDefault="00F47418" w:rsidP="00F47418">
      <w:pPr>
        <w:spacing w:before="120" w:after="120" w:line="288" w:lineRule="auto"/>
        <w:jc w:val="left"/>
      </w:pPr>
      <w:r>
        <w:rPr>
          <w:rFonts w:ascii="Arial" w:eastAsia="DengXian" w:hAnsi="Arial" w:cs="Arial"/>
          <w:sz w:val="22"/>
        </w:rPr>
        <w:t>- Institutional clients (e.g., Emirati pension funds, family offices) favored long-term closed-ended products, with 10-year+ products growing 28% YoY, primarily invested in free zone development and renewable energy.</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 xml:space="preserve"> V. Risks, Challenges, and Development Recommendations</w:t>
      </w:r>
    </w:p>
    <w:p w:rsidR="00F47418" w:rsidRDefault="00F47418" w:rsidP="00F47418">
      <w:pPr>
        <w:spacing w:before="120" w:after="120" w:line="288" w:lineRule="auto"/>
        <w:jc w:val="left"/>
      </w:pPr>
      <w:r>
        <w:rPr>
          <w:rFonts w:ascii="Arial" w:eastAsia="DengXian" w:hAnsi="Arial" w:cs="Arial"/>
          <w:sz w:val="22"/>
        </w:rPr>
        <w:t xml:space="preserve"> </w:t>
      </w:r>
      <w:r>
        <w:rPr>
          <w:rFonts w:ascii="Arial" w:eastAsia="DengXian" w:hAnsi="Arial" w:cs="Arial"/>
          <w:b/>
          <w:sz w:val="22"/>
        </w:rPr>
        <w:t>Key Challenges</w:t>
      </w:r>
    </w:p>
    <w:p w:rsidR="00F47418" w:rsidRDefault="00F47418" w:rsidP="00F47418">
      <w:pPr>
        <w:spacing w:before="120" w:after="120" w:line="288" w:lineRule="auto"/>
        <w:jc w:val="left"/>
      </w:pPr>
      <w:r>
        <w:rPr>
          <w:rFonts w:ascii="Arial" w:eastAsia="DengXian" w:hAnsi="Arial" w:cs="Arial"/>
          <w:sz w:val="22"/>
        </w:rPr>
        <w:t>1. Geopolitical &amp; Market Volatility: Red Sea shipping crises caused a 3.2% rise in Q4 cross-border redemption rates; oil price fluctuations impacted energy product stability.</w:t>
      </w:r>
    </w:p>
    <w:p w:rsidR="00F47418" w:rsidRDefault="00F47418" w:rsidP="00F47418">
      <w:pPr>
        <w:spacing w:before="120" w:after="120" w:line="288" w:lineRule="auto"/>
        <w:jc w:val="left"/>
      </w:pPr>
      <w:r>
        <w:rPr>
          <w:rFonts w:ascii="Arial" w:eastAsia="DengXian" w:hAnsi="Arial" w:cs="Arial"/>
          <w:sz w:val="22"/>
        </w:rPr>
        <w:t>2. Talent Gaps: Shortages of professionals with dual expertise in Islamic finance and cross-border investment increased recruitment difficulties by 25% YoY.</w:t>
      </w:r>
    </w:p>
    <w:p w:rsidR="00F47418" w:rsidRDefault="00F47418" w:rsidP="00F47418">
      <w:pPr>
        <w:spacing w:before="120" w:after="120" w:line="288" w:lineRule="auto"/>
        <w:jc w:val="left"/>
      </w:pPr>
      <w:r>
        <w:rPr>
          <w:rFonts w:ascii="Arial" w:eastAsia="DengXian" w:hAnsi="Arial" w:cs="Arial"/>
          <w:sz w:val="22"/>
        </w:rPr>
        <w:t>3. Product Homogenization: ~60% of fixed-income products concentrated in government bonds, with less than 1% return differentiation, limiting competitiveness.</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 xml:space="preserve"> </w:t>
      </w:r>
      <w:r>
        <w:rPr>
          <w:rFonts w:ascii="Arial" w:eastAsia="DengXian" w:hAnsi="Arial" w:cs="Arial"/>
          <w:b/>
          <w:sz w:val="22"/>
        </w:rPr>
        <w:t>Recommendations</w:t>
      </w:r>
    </w:p>
    <w:p w:rsidR="00F47418" w:rsidRDefault="00F47418" w:rsidP="00F47418">
      <w:pPr>
        <w:spacing w:before="120" w:after="120" w:line="288" w:lineRule="auto"/>
        <w:jc w:val="left"/>
      </w:pPr>
      <w:r>
        <w:rPr>
          <w:rFonts w:ascii="Arial" w:eastAsia="DengXian" w:hAnsi="Arial" w:cs="Arial"/>
          <w:sz w:val="22"/>
        </w:rPr>
        <w:t xml:space="preserve">1. Strengthen Regional Synergy: Launch a "GCC Unified Wealth Market" to enable </w:t>
      </w:r>
      <w:r>
        <w:rPr>
          <w:rFonts w:ascii="Arial" w:eastAsia="DengXian" w:hAnsi="Arial" w:cs="Arial"/>
          <w:sz w:val="22"/>
        </w:rPr>
        <w:lastRenderedPageBreak/>
        <w:t>cross-border product recognition and reduce capital flow costs.</w:t>
      </w:r>
    </w:p>
    <w:p w:rsidR="00F47418" w:rsidRDefault="00F47418" w:rsidP="00F47418">
      <w:pPr>
        <w:spacing w:before="120" w:after="120" w:line="288" w:lineRule="auto"/>
        <w:jc w:val="left"/>
      </w:pPr>
      <w:r>
        <w:rPr>
          <w:rFonts w:ascii="Arial" w:eastAsia="DengXian" w:hAnsi="Arial" w:cs="Arial"/>
          <w:sz w:val="22"/>
        </w:rPr>
        <w:t xml:space="preserve">2. Deepen ESG Focus: Leverage Dubai Expo’s green legacy to develop carbon footprint-linked products, e.g., "Carbon-Neutral Wealth Plans" </w:t>
      </w:r>
      <w:proofErr w:type="gramStart"/>
      <w:r>
        <w:rPr>
          <w:rFonts w:ascii="Arial" w:eastAsia="DengXian" w:hAnsi="Arial" w:cs="Arial"/>
          <w:sz w:val="22"/>
        </w:rPr>
        <w:t>where</w:t>
      </w:r>
      <w:proofErr w:type="gramEnd"/>
      <w:r>
        <w:rPr>
          <w:rFonts w:ascii="Arial" w:eastAsia="DengXian" w:hAnsi="Arial" w:cs="Arial"/>
          <w:sz w:val="22"/>
        </w:rPr>
        <w:t xml:space="preserve"> returns correlate with portfolio emission reductions.</w:t>
      </w:r>
    </w:p>
    <w:p w:rsidR="00F47418" w:rsidRDefault="00F47418" w:rsidP="00F47418">
      <w:pPr>
        <w:spacing w:before="120" w:after="120" w:line="288" w:lineRule="auto"/>
        <w:jc w:val="left"/>
      </w:pPr>
      <w:r>
        <w:rPr>
          <w:rFonts w:ascii="Arial" w:eastAsia="DengXian" w:hAnsi="Arial" w:cs="Arial"/>
          <w:sz w:val="22"/>
        </w:rPr>
        <w:t>3. Tech-Enable Operations: Adopt blockchain for cross-border settlement to cut processing time from 3 days to 4 hours, reducing operational risks.</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 xml:space="preserve"> VI. Future Outlook</w:t>
      </w:r>
    </w:p>
    <w:p w:rsidR="00F47418" w:rsidRDefault="00F47418" w:rsidP="00F47418">
      <w:pPr>
        <w:spacing w:before="120" w:after="120" w:line="288" w:lineRule="auto"/>
        <w:jc w:val="left"/>
      </w:pPr>
      <w:r>
        <w:rPr>
          <w:rFonts w:ascii="Arial" w:eastAsia="DengXian" w:hAnsi="Arial" w:cs="Arial"/>
          <w:sz w:val="22"/>
        </w:rPr>
        <w:t>The UAE wealth management market is projected to exceed AED 1 trillion in 2025, with green and cross-border products driving growth. As Dubai solidifies its position as a "global wealth hub," competition between local and foreign players will center on integrating "local resources + international capabilities." Regulators may further relax foreign ownership limits, propelling the industry into a higher-quality, open development phase.</w:t>
      </w:r>
    </w:p>
    <w:p w:rsidR="00F47418" w:rsidRDefault="00F47418" w:rsidP="00F47418">
      <w:pPr>
        <w:spacing w:before="320" w:after="120" w:line="288" w:lineRule="auto"/>
        <w:jc w:val="left"/>
        <w:outlineLvl w:val="1"/>
      </w:pPr>
      <w:bookmarkStart w:id="2" w:name="heading_16"/>
      <w:r>
        <w:rPr>
          <w:rFonts w:ascii="Arial" w:eastAsia="DengXian" w:hAnsi="Arial" w:cs="Arial"/>
          <w:b/>
          <w:sz w:val="32"/>
        </w:rPr>
        <w:t xml:space="preserve">UAE Banking Sector Digital Transformation Development Report </w:t>
      </w:r>
      <w:bookmarkEnd w:id="2"/>
    </w:p>
    <w:p w:rsidR="00F47418" w:rsidRDefault="00F47418" w:rsidP="00F47418">
      <w:pPr>
        <w:spacing w:before="120" w:after="120" w:line="288" w:lineRule="auto"/>
        <w:jc w:val="left"/>
      </w:pPr>
      <w:r>
        <w:rPr>
          <w:rFonts w:ascii="Arial" w:eastAsia="DengXian" w:hAnsi="Arial" w:cs="Arial"/>
          <w:b/>
          <w:sz w:val="22"/>
        </w:rPr>
        <w:t>I. Current Status and Scale of Digital Transformation</w:t>
      </w:r>
    </w:p>
    <w:p w:rsidR="00F47418" w:rsidRDefault="00F47418" w:rsidP="00F47418">
      <w:pPr>
        <w:spacing w:before="120" w:after="120" w:line="288" w:lineRule="auto"/>
        <w:jc w:val="left"/>
      </w:pPr>
      <w:r>
        <w:rPr>
          <w:rFonts w:ascii="Arial" w:eastAsia="DengXian" w:hAnsi="Arial" w:cs="Arial"/>
          <w:sz w:val="22"/>
        </w:rPr>
        <w:t>In 2024, the digital transformation of the UAE banking sector accelerated, with annual fintech investments reaching AED 4.5 billion, a 30% increase from the previous year. By the end of the year, 90% of banks' core businesses were digitized, and mobile banking user penetration reached 82%, up 7 percentage points from the start of the year.</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In terms of transaction volume, digital channels processed over AED 12 trillion in transactions throughout the year, accounting for 68% of the industry's total transactions. Mobile payment transactions grew by 45% to AED 3.2 trillion. ATM and branch transactions continued to decline, with the number of traditional branches decreasing by 35% compared to 2020. However, the number of smart branches (equipped with video teller machines and biometric devices) increased to 210, accounting for 28% of total branches.</w:t>
      </w:r>
    </w:p>
    <w:p w:rsidR="00F47418" w:rsidRDefault="00F47418" w:rsidP="00F47418">
      <w:pPr>
        <w:spacing w:before="120" w:after="120" w:line="288" w:lineRule="auto"/>
        <w:jc w:val="left"/>
      </w:pPr>
      <w:r>
        <w:rPr>
          <w:rFonts w:ascii="Arial" w:eastAsia="DengXian" w:hAnsi="Arial" w:cs="Arial"/>
          <w:b/>
          <w:sz w:val="22"/>
        </w:rPr>
        <w:t>II. Core Technology Applications and Scenario Innovation</w:t>
      </w:r>
    </w:p>
    <w:p w:rsidR="00F47418" w:rsidRDefault="00F47418" w:rsidP="00F47418">
      <w:pPr>
        <w:numPr>
          <w:ilvl w:val="0"/>
          <w:numId w:val="24"/>
        </w:numPr>
        <w:spacing w:before="120" w:after="120" w:line="288" w:lineRule="auto"/>
        <w:jc w:val="left"/>
      </w:pPr>
      <w:r>
        <w:rPr>
          <w:rFonts w:ascii="Arial" w:eastAsia="DengXian" w:hAnsi="Arial" w:cs="Arial"/>
          <w:sz w:val="22"/>
        </w:rPr>
        <w:lastRenderedPageBreak/>
        <w:t>Artificial Intelligence and Big Data</w:t>
      </w:r>
    </w:p>
    <w:p w:rsidR="00F47418" w:rsidRDefault="00F47418" w:rsidP="00F47418">
      <w:pPr>
        <w:numPr>
          <w:ilvl w:val="0"/>
          <w:numId w:val="25"/>
        </w:numPr>
        <w:spacing w:before="120" w:after="120" w:line="288" w:lineRule="auto"/>
        <w:jc w:val="left"/>
      </w:pPr>
      <w:r>
        <w:rPr>
          <w:rFonts w:ascii="Arial" w:eastAsia="DengXian" w:hAnsi="Arial" w:cs="Arial"/>
          <w:sz w:val="22"/>
        </w:rPr>
        <w:t>Customer Service: 85% of banks deployed AI chatbots. Dubai Islamic Bank's "Sharia Smart Assistant" handles 70% of daily inquiries, including Sharia-compliant finance queries, with response times shortened to under 10 seconds.</w:t>
      </w:r>
    </w:p>
    <w:p w:rsidR="00F47418" w:rsidRDefault="00F47418" w:rsidP="00F47418">
      <w:pPr>
        <w:numPr>
          <w:ilvl w:val="0"/>
          <w:numId w:val="26"/>
        </w:numPr>
        <w:spacing w:before="120" w:after="120" w:line="288" w:lineRule="auto"/>
        <w:jc w:val="left"/>
      </w:pPr>
      <w:r>
        <w:rPr>
          <w:rFonts w:ascii="Arial" w:eastAsia="DengXian" w:hAnsi="Arial" w:cs="Arial"/>
          <w:sz w:val="22"/>
        </w:rPr>
        <w:t>Risk Control: National Bank of Abu Dhabi uses big data to analyze customers' cross-border transaction patterns, increasing fraud detection accuracy to 92% and reducing fraud losses by 28% in 2024.</w:t>
      </w:r>
    </w:p>
    <w:p w:rsidR="00F47418" w:rsidRDefault="00F47418" w:rsidP="00F47418">
      <w:pPr>
        <w:numPr>
          <w:ilvl w:val="0"/>
          <w:numId w:val="27"/>
        </w:numPr>
        <w:spacing w:before="120" w:after="120" w:line="288" w:lineRule="auto"/>
        <w:jc w:val="left"/>
      </w:pPr>
      <w:r>
        <w:rPr>
          <w:rFonts w:ascii="Arial" w:eastAsia="DengXian" w:hAnsi="Arial" w:cs="Arial"/>
          <w:sz w:val="22"/>
        </w:rPr>
        <w:t>Investment Advisory: HSBC (Dubai) launched an AI-driven "Smart Wealth Planning" tool that automatically recommends asset portfolios including crude oil and gold ETFs based on customer risk preferences, with a user retention rate of 65%.</w:t>
      </w:r>
    </w:p>
    <w:p w:rsidR="00F47418" w:rsidRDefault="00F47418" w:rsidP="00F47418">
      <w:pPr>
        <w:numPr>
          <w:ilvl w:val="0"/>
          <w:numId w:val="28"/>
        </w:numPr>
        <w:spacing w:before="120" w:after="120" w:line="288" w:lineRule="auto"/>
        <w:jc w:val="left"/>
      </w:pPr>
      <w:r>
        <w:rPr>
          <w:rFonts w:ascii="Arial" w:eastAsia="DengXian" w:hAnsi="Arial" w:cs="Arial"/>
          <w:sz w:val="22"/>
        </w:rPr>
        <w:t>Blockchain and Digital Currencies</w:t>
      </w:r>
    </w:p>
    <w:p w:rsidR="00F47418" w:rsidRDefault="00F47418" w:rsidP="00F47418">
      <w:pPr>
        <w:numPr>
          <w:ilvl w:val="0"/>
          <w:numId w:val="29"/>
        </w:numPr>
        <w:spacing w:before="120" w:after="120" w:line="288" w:lineRule="auto"/>
        <w:jc w:val="left"/>
      </w:pPr>
      <w:r>
        <w:rPr>
          <w:rFonts w:ascii="Arial" w:eastAsia="DengXian" w:hAnsi="Arial" w:cs="Arial"/>
          <w:sz w:val="22"/>
        </w:rPr>
        <w:t>Cross-border Settlement: The blockchain settlement system jointly developed by National Bank of UAE and National Bank of Saudi Arabia reduced remittance time between the two countries from 2 hours to 5 minutes, lowering costs by 40%. It processed AED 80 billion in 2024.</w:t>
      </w:r>
    </w:p>
    <w:p w:rsidR="00F47418" w:rsidRDefault="00F47418" w:rsidP="00F47418">
      <w:pPr>
        <w:numPr>
          <w:ilvl w:val="0"/>
          <w:numId w:val="30"/>
        </w:numPr>
        <w:spacing w:before="120" w:after="120" w:line="288" w:lineRule="auto"/>
        <w:jc w:val="left"/>
      </w:pPr>
      <w:r>
        <w:rPr>
          <w:rFonts w:ascii="Arial" w:eastAsia="DengXian" w:hAnsi="Arial" w:cs="Arial"/>
          <w:sz w:val="22"/>
        </w:rPr>
        <w:t>Digital Currency Pilots: The Dubai Financial Services Authority approved three banks to offer digital currency custody services. Abu Dhabi Commercial Bank provides compliant storage for institutional clients' Bitcoin and Ethereum, with assets under management reaching AED 1.2 billion.</w:t>
      </w:r>
    </w:p>
    <w:p w:rsidR="00F47418" w:rsidRDefault="00F47418" w:rsidP="00F47418">
      <w:pPr>
        <w:numPr>
          <w:ilvl w:val="0"/>
          <w:numId w:val="31"/>
        </w:numPr>
        <w:spacing w:before="120" w:after="120" w:line="288" w:lineRule="auto"/>
        <w:jc w:val="left"/>
      </w:pPr>
      <w:r>
        <w:rPr>
          <w:rFonts w:ascii="Arial" w:eastAsia="DengXian" w:hAnsi="Arial" w:cs="Arial"/>
          <w:sz w:val="22"/>
        </w:rPr>
        <w:t>Biometrics and Security Technology</w:t>
      </w:r>
    </w:p>
    <w:p w:rsidR="00F47418" w:rsidRDefault="00F47418" w:rsidP="00F47418">
      <w:pPr>
        <w:numPr>
          <w:ilvl w:val="0"/>
          <w:numId w:val="32"/>
        </w:numPr>
        <w:spacing w:before="120" w:after="120" w:line="288" w:lineRule="auto"/>
        <w:jc w:val="left"/>
      </w:pPr>
      <w:r>
        <w:rPr>
          <w:rFonts w:ascii="Arial" w:eastAsia="DengXian" w:hAnsi="Arial" w:cs="Arial"/>
          <w:sz w:val="22"/>
        </w:rPr>
        <w:t>Identity Verification: 70% of banks support fingerprint or facial recognition login. Emirates NBD's "Blink Payment" feature enables transfers via iris scanning, with over 1 million users in 2024.</w:t>
      </w:r>
    </w:p>
    <w:p w:rsidR="00F47418" w:rsidRDefault="00F47418" w:rsidP="00F47418">
      <w:pPr>
        <w:numPr>
          <w:ilvl w:val="0"/>
          <w:numId w:val="33"/>
        </w:numPr>
        <w:spacing w:before="120" w:after="120" w:line="288" w:lineRule="auto"/>
        <w:jc w:val="left"/>
      </w:pPr>
      <w:r>
        <w:rPr>
          <w:rFonts w:ascii="Arial" w:eastAsia="DengXian" w:hAnsi="Arial" w:cs="Arial"/>
          <w:sz w:val="22"/>
        </w:rPr>
        <w:t>Security Protection: 60% of banks adopted a zero-trust architecture. Standard Chartered (Dubai) uses behavioral biometrics (e.g., typing speed analysis) to detect abnormal logins, increasing interception rates by 35%.</w:t>
      </w:r>
    </w:p>
    <w:p w:rsidR="00F47418" w:rsidRDefault="00F47418" w:rsidP="00F47418">
      <w:pPr>
        <w:spacing w:before="120" w:after="120" w:line="288" w:lineRule="auto"/>
        <w:jc w:val="left"/>
      </w:pPr>
      <w:r>
        <w:rPr>
          <w:rFonts w:ascii="Arial" w:eastAsia="DengXian" w:hAnsi="Arial" w:cs="Arial"/>
          <w:b/>
          <w:sz w:val="22"/>
        </w:rPr>
        <w:t>III. Digital Strategies of Local and Foreign Banks</w:t>
      </w:r>
    </w:p>
    <w:p w:rsidR="00F47418" w:rsidRDefault="00F47418" w:rsidP="00F47418">
      <w:pPr>
        <w:spacing w:before="120" w:after="120" w:line="288" w:lineRule="auto"/>
        <w:jc w:val="left"/>
      </w:pPr>
      <w:r>
        <w:rPr>
          <w:rFonts w:ascii="Arial" w:eastAsia="DengXian" w:hAnsi="Arial" w:cs="Arial"/>
          <w:b/>
          <w:sz w:val="22"/>
        </w:rPr>
        <w:t>Local Banks: Leveraging Scenario Integration and Policy Benefits</w:t>
      </w:r>
    </w:p>
    <w:p w:rsidR="00F47418" w:rsidRDefault="00F47418" w:rsidP="00F47418">
      <w:pPr>
        <w:numPr>
          <w:ilvl w:val="0"/>
          <w:numId w:val="34"/>
        </w:numPr>
        <w:spacing w:before="120" w:after="120" w:line="288" w:lineRule="auto"/>
        <w:jc w:val="left"/>
      </w:pPr>
      <w:r>
        <w:rPr>
          <w:rFonts w:ascii="Arial" w:eastAsia="DengXian" w:hAnsi="Arial" w:cs="Arial"/>
          <w:sz w:val="22"/>
        </w:rPr>
        <w:t>Dubai Islamic Bank: Integrated digitization with Islamic finance, launching a "Digital Waqf" (charitable trust) platform where users can donate online and track fund flows. The platform processed AED 500 million in 2024.</w:t>
      </w:r>
    </w:p>
    <w:p w:rsidR="00F47418" w:rsidRDefault="00F47418" w:rsidP="00F47418">
      <w:pPr>
        <w:numPr>
          <w:ilvl w:val="0"/>
          <w:numId w:val="35"/>
        </w:numPr>
        <w:spacing w:before="120" w:after="120" w:line="288" w:lineRule="auto"/>
        <w:jc w:val="left"/>
      </w:pPr>
      <w:r>
        <w:rPr>
          <w:rFonts w:ascii="Arial" w:eastAsia="DengXian" w:hAnsi="Arial" w:cs="Arial"/>
          <w:sz w:val="22"/>
        </w:rPr>
        <w:t xml:space="preserve">Abu Dhabi Commercial Bank: Partnered with local e-commerce platform Noon to launch "Buy Now Pay Later" services embedded in payment scenarios, gaining </w:t>
      </w:r>
      <w:r>
        <w:rPr>
          <w:rFonts w:ascii="Arial" w:eastAsia="DengXian" w:hAnsi="Arial" w:cs="Arial"/>
          <w:sz w:val="22"/>
        </w:rPr>
        <w:lastRenderedPageBreak/>
        <w:t>800,000 users and processing AED 1.2 billion in six months.</w:t>
      </w:r>
    </w:p>
    <w:p w:rsidR="00F47418" w:rsidRDefault="00F47418" w:rsidP="00F47418">
      <w:pPr>
        <w:spacing w:before="120" w:after="120" w:line="288" w:lineRule="auto"/>
        <w:jc w:val="left"/>
      </w:pPr>
      <w:r>
        <w:rPr>
          <w:rFonts w:ascii="Arial" w:eastAsia="DengXian" w:hAnsi="Arial" w:cs="Arial"/>
          <w:b/>
          <w:sz w:val="22"/>
        </w:rPr>
        <w:t>Foreign Banks: Exporting Global Technology and Cross-border Linkages</w:t>
      </w:r>
    </w:p>
    <w:p w:rsidR="00F47418" w:rsidRDefault="00F47418" w:rsidP="00F47418">
      <w:pPr>
        <w:numPr>
          <w:ilvl w:val="0"/>
          <w:numId w:val="36"/>
        </w:numPr>
        <w:spacing w:before="120" w:after="120" w:line="288" w:lineRule="auto"/>
        <w:jc w:val="left"/>
      </w:pPr>
      <w:r>
        <w:rPr>
          <w:rFonts w:ascii="Arial" w:eastAsia="DengXian" w:hAnsi="Arial" w:cs="Arial"/>
          <w:sz w:val="22"/>
        </w:rPr>
        <w:t>HSBC: Established its global "Digital Wealth Hub" in Dubai, offering multi-currency digital accounts and cross-border investment services supporting real-time exchange of 15 currencies. It added 2,000 high-net-worth clients in 2024.</w:t>
      </w:r>
    </w:p>
    <w:p w:rsidR="00F47418" w:rsidRDefault="00F47418" w:rsidP="00F47418">
      <w:pPr>
        <w:numPr>
          <w:ilvl w:val="0"/>
          <w:numId w:val="37"/>
        </w:numPr>
        <w:spacing w:before="120" w:after="120" w:line="288" w:lineRule="auto"/>
        <w:jc w:val="left"/>
      </w:pPr>
      <w:r>
        <w:rPr>
          <w:rFonts w:ascii="Arial" w:eastAsia="DengXian" w:hAnsi="Arial" w:cs="Arial"/>
          <w:sz w:val="22"/>
        </w:rPr>
        <w:t>Citibank: Connected with Middle Eastern fintech companies through its API open platform, integrating with 30 local payment service providers to enable payments in ride-hailing and food delivery apps.</w:t>
      </w:r>
    </w:p>
    <w:p w:rsidR="00F47418" w:rsidRDefault="00F47418" w:rsidP="00F47418">
      <w:pPr>
        <w:spacing w:before="120" w:after="120" w:line="288" w:lineRule="auto"/>
        <w:jc w:val="left"/>
      </w:pPr>
      <w:r>
        <w:rPr>
          <w:rFonts w:ascii="Arial" w:eastAsia="DengXian" w:hAnsi="Arial" w:cs="Arial"/>
          <w:b/>
          <w:sz w:val="22"/>
        </w:rPr>
        <w:t>IV. Regulatory Framework and Policy Support</w:t>
      </w:r>
    </w:p>
    <w:p w:rsidR="00F47418" w:rsidRDefault="00F47418" w:rsidP="00F47418">
      <w:pPr>
        <w:numPr>
          <w:ilvl w:val="0"/>
          <w:numId w:val="38"/>
        </w:numPr>
        <w:spacing w:before="120" w:after="120" w:line="288" w:lineRule="auto"/>
        <w:jc w:val="left"/>
      </w:pPr>
      <w:r>
        <w:rPr>
          <w:rFonts w:ascii="Arial" w:eastAsia="DengXian" w:hAnsi="Arial" w:cs="Arial"/>
          <w:sz w:val="22"/>
        </w:rPr>
        <w:t>Regulatory Sandboxes and Innovation Pilots</w:t>
      </w:r>
    </w:p>
    <w:p w:rsidR="00F47418" w:rsidRDefault="00F47418" w:rsidP="00F47418">
      <w:pPr>
        <w:spacing w:before="120" w:after="120" w:line="288" w:lineRule="auto"/>
        <w:jc w:val="left"/>
      </w:pPr>
      <w:r>
        <w:rPr>
          <w:rFonts w:ascii="Arial" w:eastAsia="DengXian" w:hAnsi="Arial" w:cs="Arial"/>
          <w:sz w:val="22"/>
        </w:rPr>
        <w:t>The Dubai International Financial Centre (DIFC) fintech sandbox has admitted 75 projects, with 40% led by banks, including Emirates NBD's "Metaverse Bank Branch" pilot, allowing users to open accounts via VR devices.</w:t>
      </w:r>
    </w:p>
    <w:p w:rsidR="00F47418" w:rsidRDefault="00F47418" w:rsidP="00F47418">
      <w:pPr>
        <w:numPr>
          <w:ilvl w:val="0"/>
          <w:numId w:val="39"/>
        </w:numPr>
        <w:spacing w:before="120" w:after="120" w:line="288" w:lineRule="auto"/>
        <w:jc w:val="left"/>
      </w:pPr>
      <w:r>
        <w:rPr>
          <w:rFonts w:ascii="Arial" w:eastAsia="DengXian" w:hAnsi="Arial" w:cs="Arial"/>
          <w:sz w:val="22"/>
        </w:rPr>
        <w:t>Data and Privacy Protection</w:t>
      </w:r>
    </w:p>
    <w:p w:rsidR="00F47418" w:rsidRDefault="00F47418" w:rsidP="00F47418">
      <w:pPr>
        <w:spacing w:before="120" w:after="120" w:line="288" w:lineRule="auto"/>
        <w:jc w:val="left"/>
      </w:pPr>
      <w:r>
        <w:rPr>
          <w:rFonts w:ascii="Arial" w:eastAsia="DengXian" w:hAnsi="Arial" w:cs="Arial"/>
          <w:sz w:val="22"/>
        </w:rPr>
        <w:t>After the implementation of the UAE Data Privacy Law, banks strengthened customer data management. 60% of institutions established data desensitization systems to hide customers' real information in data analysis while meeting regulatory and business needs.</w:t>
      </w:r>
    </w:p>
    <w:p w:rsidR="00F47418" w:rsidRDefault="00F47418" w:rsidP="00F47418">
      <w:pPr>
        <w:numPr>
          <w:ilvl w:val="0"/>
          <w:numId w:val="40"/>
        </w:numPr>
        <w:spacing w:before="120" w:after="120" w:line="288" w:lineRule="auto"/>
        <w:jc w:val="left"/>
      </w:pPr>
      <w:r>
        <w:rPr>
          <w:rFonts w:ascii="Arial" w:eastAsia="DengXian" w:hAnsi="Arial" w:cs="Arial"/>
          <w:sz w:val="22"/>
        </w:rPr>
        <w:t>Digital Currency Regulation</w:t>
      </w:r>
    </w:p>
    <w:p w:rsidR="00F47418" w:rsidRDefault="00F47418" w:rsidP="00F47418">
      <w:pPr>
        <w:spacing w:before="120" w:after="120" w:line="288" w:lineRule="auto"/>
        <w:jc w:val="left"/>
      </w:pPr>
      <w:r>
        <w:rPr>
          <w:rFonts w:ascii="Arial" w:eastAsia="DengXian" w:hAnsi="Arial" w:cs="Arial"/>
          <w:sz w:val="22"/>
        </w:rPr>
        <w:t>The Central Bank of the UAE released a "Digital Currency Regulatory Framework," clarifying qualification requirements for banks participating in digital currency transactions. It allows eligible banks to issue stablecoins pegged to the dirham, with 2 banks currently holding pilot licenses.</w:t>
      </w:r>
    </w:p>
    <w:p w:rsidR="00F47418" w:rsidRDefault="00F47418" w:rsidP="00F47418">
      <w:pPr>
        <w:spacing w:before="120" w:after="120" w:line="288" w:lineRule="auto"/>
        <w:jc w:val="left"/>
      </w:pPr>
      <w:r>
        <w:rPr>
          <w:rFonts w:ascii="Arial" w:eastAsia="DengXian" w:hAnsi="Arial" w:cs="Arial"/>
          <w:b/>
          <w:sz w:val="22"/>
        </w:rPr>
        <w:t>V. Challenges and Recommendations</w:t>
      </w:r>
    </w:p>
    <w:p w:rsidR="00F47418" w:rsidRDefault="00F47418" w:rsidP="00F47418">
      <w:pPr>
        <w:spacing w:before="120" w:after="120" w:line="288" w:lineRule="auto"/>
        <w:jc w:val="left"/>
      </w:pPr>
      <w:r>
        <w:rPr>
          <w:rFonts w:ascii="Arial" w:eastAsia="DengXian" w:hAnsi="Arial" w:cs="Arial"/>
          <w:b/>
          <w:sz w:val="22"/>
        </w:rPr>
        <w:t>Key Challenges</w:t>
      </w:r>
    </w:p>
    <w:p w:rsidR="00F47418" w:rsidRDefault="00F47418" w:rsidP="00F47418">
      <w:pPr>
        <w:numPr>
          <w:ilvl w:val="0"/>
          <w:numId w:val="41"/>
        </w:numPr>
        <w:spacing w:before="120" w:after="120" w:line="288" w:lineRule="auto"/>
        <w:jc w:val="left"/>
      </w:pPr>
      <w:r>
        <w:rPr>
          <w:rFonts w:ascii="Arial" w:eastAsia="DengXian" w:hAnsi="Arial" w:cs="Arial"/>
          <w:sz w:val="22"/>
        </w:rPr>
        <w:t>Digital Divide: Only 30% of people over 65 use mobile banking. Some customers have low technical dependence, and demand for traditional services remains.</w:t>
      </w:r>
    </w:p>
    <w:p w:rsidR="00F47418" w:rsidRDefault="00F47418" w:rsidP="00F47418">
      <w:pPr>
        <w:numPr>
          <w:ilvl w:val="0"/>
          <w:numId w:val="42"/>
        </w:numPr>
        <w:spacing w:before="120" w:after="120" w:line="288" w:lineRule="auto"/>
        <w:jc w:val="left"/>
      </w:pPr>
      <w:r>
        <w:rPr>
          <w:rFonts w:ascii="Arial" w:eastAsia="DengXian" w:hAnsi="Arial" w:cs="Arial"/>
          <w:sz w:val="22"/>
        </w:rPr>
        <w:t>Technical Talent Shortage: There is a shortage of 1,200 AI and blockchain professionals. Banks' average salaries are 15%-20% lower than fintech companies, making recruitment difficult.</w:t>
      </w:r>
    </w:p>
    <w:p w:rsidR="00F47418" w:rsidRDefault="00F47418" w:rsidP="00F47418">
      <w:pPr>
        <w:numPr>
          <w:ilvl w:val="0"/>
          <w:numId w:val="43"/>
        </w:numPr>
        <w:spacing w:before="120" w:after="120" w:line="288" w:lineRule="auto"/>
        <w:jc w:val="left"/>
      </w:pPr>
      <w:r>
        <w:rPr>
          <w:rFonts w:ascii="Arial" w:eastAsia="DengXian" w:hAnsi="Arial" w:cs="Arial"/>
          <w:sz w:val="22"/>
        </w:rPr>
        <w:t xml:space="preserve">Cross-border Data Flows: Differences between the EU's General Data Protection Regulation (GDPR) and local regulations affect the efficiency of data sharing for </w:t>
      </w:r>
      <w:r>
        <w:rPr>
          <w:rFonts w:ascii="Arial" w:eastAsia="DengXian" w:hAnsi="Arial" w:cs="Arial"/>
          <w:sz w:val="22"/>
        </w:rPr>
        <w:lastRenderedPageBreak/>
        <w:t>foreign banks.</w:t>
      </w:r>
    </w:p>
    <w:p w:rsidR="00F47418" w:rsidRDefault="00F47418" w:rsidP="00F47418">
      <w:pPr>
        <w:spacing w:before="120" w:after="120" w:line="288" w:lineRule="auto"/>
        <w:jc w:val="left"/>
      </w:pPr>
      <w:r>
        <w:rPr>
          <w:rFonts w:ascii="Arial" w:eastAsia="DengXian" w:hAnsi="Arial" w:cs="Arial"/>
          <w:b/>
          <w:sz w:val="22"/>
        </w:rPr>
        <w:t>Development Recommendations</w:t>
      </w:r>
    </w:p>
    <w:p w:rsidR="00F47418" w:rsidRDefault="00F47418" w:rsidP="00F47418">
      <w:pPr>
        <w:numPr>
          <w:ilvl w:val="0"/>
          <w:numId w:val="44"/>
        </w:numPr>
        <w:spacing w:before="120" w:after="120" w:line="288" w:lineRule="auto"/>
        <w:jc w:val="left"/>
      </w:pPr>
      <w:r>
        <w:rPr>
          <w:rFonts w:ascii="Arial" w:eastAsia="DengXian" w:hAnsi="Arial" w:cs="Arial"/>
          <w:sz w:val="22"/>
        </w:rPr>
        <w:t>Promote Age-friendly Design: Simplify mobile banking interfaces, retain voice navigation, and launch "Senior Mode" like First Abu Dhabi Bank, which enlarges fonts and reduces operation steps.</w:t>
      </w:r>
    </w:p>
    <w:p w:rsidR="00F47418" w:rsidRDefault="00F47418" w:rsidP="00F47418">
      <w:pPr>
        <w:numPr>
          <w:ilvl w:val="0"/>
          <w:numId w:val="45"/>
        </w:numPr>
        <w:spacing w:before="120" w:after="120" w:line="288" w:lineRule="auto"/>
        <w:jc w:val="left"/>
      </w:pPr>
      <w:r>
        <w:rPr>
          <w:rFonts w:ascii="Arial" w:eastAsia="DengXian" w:hAnsi="Arial" w:cs="Arial"/>
          <w:sz w:val="22"/>
        </w:rPr>
        <w:t>Strengthen Talent Cultivation: Collaborate with Dubai Institute of Technology to offer "Banking Technology Programs" for targeted talent supply, and attract international talent through equity incentives.</w:t>
      </w:r>
    </w:p>
    <w:p w:rsidR="00F47418" w:rsidRDefault="00F47418" w:rsidP="00F47418">
      <w:pPr>
        <w:numPr>
          <w:ilvl w:val="0"/>
          <w:numId w:val="46"/>
        </w:numPr>
        <w:spacing w:before="120" w:after="120" w:line="288" w:lineRule="auto"/>
        <w:jc w:val="left"/>
      </w:pPr>
      <w:r>
        <w:rPr>
          <w:rFonts w:ascii="Arial" w:eastAsia="DengXian" w:hAnsi="Arial" w:cs="Arial"/>
          <w:sz w:val="22"/>
        </w:rPr>
        <w:t>Establish Regional Data Alliances: Jointly develop unified cross-border data rules with Gulf countries to reduce compliance costs and enhance regional fintech collaboration efficiency.</w:t>
      </w:r>
    </w:p>
    <w:p w:rsidR="00F47418" w:rsidRDefault="00F47418" w:rsidP="00F47418">
      <w:pPr>
        <w:spacing w:before="120" w:after="120" w:line="288" w:lineRule="auto"/>
        <w:jc w:val="left"/>
      </w:pPr>
      <w:r>
        <w:rPr>
          <w:rFonts w:ascii="Arial" w:eastAsia="DengXian" w:hAnsi="Arial" w:cs="Arial"/>
          <w:b/>
          <w:sz w:val="22"/>
        </w:rPr>
        <w:t>VI. Future Trends</w:t>
      </w:r>
    </w:p>
    <w:p w:rsidR="00F47418" w:rsidRDefault="00F47418" w:rsidP="00F47418">
      <w:pPr>
        <w:spacing w:before="120" w:after="120" w:line="288" w:lineRule="auto"/>
        <w:jc w:val="left"/>
      </w:pPr>
      <w:r>
        <w:rPr>
          <w:rFonts w:ascii="Arial" w:eastAsia="DengXian" w:hAnsi="Arial" w:cs="Arial"/>
          <w:sz w:val="22"/>
        </w:rPr>
        <w:t>In 2025, digitalization in the UAE banking sector will show three trends: first, metaverse banking services will become popular, with 5 banks expected to launch virtual branches supporting customer transactions via digital avatars; second, central bank digital currency (CBDC) pilots will expand, potentially being used for government welfare distribution; third, ESG will integrate with digitalization, as banks use big data to track the actual emission reduction effects of green loans and launch innovative products like "carbon-neutral credit cards."</w:t>
      </w:r>
    </w:p>
    <w:p w:rsidR="00F47418" w:rsidRDefault="00F47418" w:rsidP="00F47418">
      <w:pPr>
        <w:spacing w:before="120" w:after="120" w:line="288" w:lineRule="auto"/>
        <w:jc w:val="left"/>
      </w:pPr>
    </w:p>
    <w:p w:rsidR="00F47418" w:rsidRDefault="00F47418" w:rsidP="00F47418">
      <w:pPr>
        <w:spacing w:before="120" w:after="120" w:line="288" w:lineRule="auto"/>
        <w:jc w:val="left"/>
      </w:pPr>
      <w:r>
        <w:rPr>
          <w:rFonts w:ascii="Arial" w:eastAsia="DengXian" w:hAnsi="Arial" w:cs="Arial"/>
          <w:sz w:val="22"/>
        </w:rPr>
        <w:t>As Dubai advances its construction as a "global fintech hub," the digitalization level of the banking sector is expected to enter the world's top 10, becoming a benchmark for regional financial innovation.</w:t>
      </w:r>
    </w:p>
    <w:p w:rsidR="00F47418" w:rsidRDefault="00F47418" w:rsidP="00F47418">
      <w:pPr>
        <w:pBdr>
          <w:bottom w:val="single" w:sz="2" w:space="0" w:color="DEE0E3"/>
          <w:between w:val="single" w:sz="2" w:space="0" w:color="DEE0E3"/>
        </w:pBdr>
        <w:spacing w:before="120" w:after="120" w:line="288" w:lineRule="auto"/>
      </w:pPr>
    </w:p>
    <w:p w:rsidR="00F47418" w:rsidRDefault="00F47418" w:rsidP="00F47418">
      <w:pPr>
        <w:spacing w:before="320" w:after="120" w:line="288" w:lineRule="auto"/>
        <w:jc w:val="left"/>
        <w:outlineLvl w:val="1"/>
      </w:pPr>
      <w:bookmarkStart w:id="3" w:name="heading_18"/>
      <w:r>
        <w:rPr>
          <w:rFonts w:ascii="Arial" w:eastAsia="DengXian" w:hAnsi="Arial" w:cs="Arial"/>
          <w:b/>
          <w:sz w:val="32"/>
        </w:rPr>
        <w:t xml:space="preserve"> Global Banking &amp; Finance Industry Development Trends Report</w:t>
      </w:r>
      <w:bookmarkEnd w:id="3"/>
    </w:p>
    <w:p w:rsidR="00F47418" w:rsidRDefault="00F47418" w:rsidP="00F47418">
      <w:pPr>
        <w:spacing w:before="120" w:after="120" w:line="288" w:lineRule="auto"/>
        <w:jc w:val="left"/>
      </w:pPr>
      <w:r>
        <w:rPr>
          <w:rFonts w:ascii="Arial" w:eastAsia="DengXian" w:hAnsi="Arial" w:cs="Arial"/>
          <w:b/>
          <w:sz w:val="22"/>
        </w:rPr>
        <w:t>Industry Status &amp; Market Size</w:t>
      </w:r>
      <w:r>
        <w:rPr>
          <w:rFonts w:ascii="Arial" w:eastAsia="DengXian" w:hAnsi="Arial" w:cs="Arial"/>
          <w:sz w:val="22"/>
        </w:rPr>
        <w:br/>
        <w:t xml:space="preserve"> The global banking and finance industry remains the backbone of the world economy. In 2023, global banking assets exceeded USD 180 trillion, and financial services contributed roughly 20% of global GDP. China holds the largest banking sector with assets around USD 55 trillion, while the U.S. leads in capital markets, and the EU maintains strength in cross-border banking and regulatory integration.</w:t>
      </w:r>
      <w:r>
        <w:rPr>
          <w:rFonts w:ascii="Arial" w:eastAsia="DengXian" w:hAnsi="Arial" w:cs="Arial"/>
          <w:sz w:val="22"/>
        </w:rPr>
        <w:br/>
      </w:r>
      <w:r>
        <w:rPr>
          <w:rFonts w:ascii="Arial" w:eastAsia="DengXian" w:hAnsi="Arial" w:cs="Arial"/>
          <w:sz w:val="22"/>
        </w:rPr>
        <w:lastRenderedPageBreak/>
        <w:t xml:space="preserve"> FinTech, digital payments, and virtual banking are transforming the landscape. According to McKinsey, global digital payment transactions reached USD 9.5 trillion in 2022, projected to double to USD 19 trillion by 2027. Meanwhile, interest rate volatility, tighter regulations, and enhanced risk management are reshaping the sector.</w:t>
      </w:r>
    </w:p>
    <w:p w:rsidR="00F47418" w:rsidRDefault="00F47418" w:rsidP="00F47418">
      <w:pPr>
        <w:spacing w:before="120" w:after="120" w:line="288" w:lineRule="auto"/>
        <w:jc w:val="left"/>
      </w:pPr>
      <w:r>
        <w:rPr>
          <w:rFonts w:ascii="Arial" w:eastAsia="DengXian" w:hAnsi="Arial" w:cs="Arial"/>
          <w:b/>
          <w:sz w:val="22"/>
        </w:rPr>
        <w:t>Key Trends &amp; Drivers</w:t>
      </w:r>
    </w:p>
    <w:p w:rsidR="00F47418" w:rsidRDefault="00F47418" w:rsidP="00F47418">
      <w:pPr>
        <w:numPr>
          <w:ilvl w:val="0"/>
          <w:numId w:val="65"/>
        </w:numPr>
        <w:spacing w:before="120" w:after="120" w:line="288" w:lineRule="auto"/>
        <w:jc w:val="left"/>
      </w:pPr>
      <w:r>
        <w:rPr>
          <w:rFonts w:ascii="Arial" w:eastAsia="DengXian" w:hAnsi="Arial" w:cs="Arial"/>
          <w:sz w:val="22"/>
        </w:rPr>
        <w:t>Digitalization &amp; FinTech</w:t>
      </w:r>
    </w:p>
    <w:p w:rsidR="00F47418" w:rsidRDefault="00F47418" w:rsidP="00F47418">
      <w:pPr>
        <w:numPr>
          <w:ilvl w:val="0"/>
          <w:numId w:val="66"/>
        </w:numPr>
        <w:spacing w:before="120" w:after="120" w:line="288" w:lineRule="auto"/>
        <w:ind w:left="453"/>
        <w:jc w:val="left"/>
      </w:pPr>
      <w:r>
        <w:rPr>
          <w:rFonts w:ascii="Arial" w:eastAsia="DengXian" w:hAnsi="Arial" w:cs="Arial"/>
          <w:sz w:val="22"/>
        </w:rPr>
        <w:t>Mobile and cashless payments are mainstream: Alipay, WeChat Pay, and Apple Pay dominate.</w:t>
      </w:r>
    </w:p>
    <w:p w:rsidR="00F47418" w:rsidRDefault="00F47418" w:rsidP="00F47418">
      <w:pPr>
        <w:numPr>
          <w:ilvl w:val="0"/>
          <w:numId w:val="67"/>
        </w:numPr>
        <w:spacing w:before="120" w:after="120" w:line="288" w:lineRule="auto"/>
        <w:ind w:left="453"/>
        <w:jc w:val="left"/>
      </w:pPr>
      <w:r>
        <w:rPr>
          <w:rFonts w:ascii="Arial" w:eastAsia="DengXian" w:hAnsi="Arial" w:cs="Arial"/>
          <w:sz w:val="22"/>
        </w:rPr>
        <w:t>Virtual banks: Hong Kong issued 8 digital banking licenses, attracting rapid user adoption.</w:t>
      </w:r>
    </w:p>
    <w:p w:rsidR="00F47418" w:rsidRDefault="00F47418" w:rsidP="00F47418">
      <w:pPr>
        <w:numPr>
          <w:ilvl w:val="0"/>
          <w:numId w:val="68"/>
        </w:numPr>
        <w:spacing w:before="120" w:after="120" w:line="288" w:lineRule="auto"/>
        <w:ind w:left="453"/>
        <w:jc w:val="left"/>
      </w:pPr>
      <w:r>
        <w:rPr>
          <w:rFonts w:ascii="Arial" w:eastAsia="DengXian" w:hAnsi="Arial" w:cs="Arial"/>
          <w:sz w:val="22"/>
        </w:rPr>
        <w:t>Blockchain: Used by banks for cross-border settlements to improve speed and efficiency.</w:t>
      </w:r>
    </w:p>
    <w:p w:rsidR="00F47418" w:rsidRDefault="00F47418" w:rsidP="00F47418">
      <w:pPr>
        <w:numPr>
          <w:ilvl w:val="0"/>
          <w:numId w:val="69"/>
        </w:numPr>
        <w:spacing w:before="120" w:after="120" w:line="288" w:lineRule="auto"/>
        <w:jc w:val="left"/>
      </w:pPr>
      <w:r>
        <w:rPr>
          <w:rFonts w:ascii="Arial" w:eastAsia="DengXian" w:hAnsi="Arial" w:cs="Arial"/>
          <w:sz w:val="22"/>
        </w:rPr>
        <w:t>Regulation &amp; Compliance</w:t>
      </w:r>
      <w:r>
        <w:rPr>
          <w:rFonts w:ascii="Arial" w:eastAsia="DengXian" w:hAnsi="Arial" w:cs="Arial"/>
          <w:sz w:val="22"/>
        </w:rPr>
        <w:br/>
        <w:t xml:space="preserve"> </w:t>
      </w:r>
      <w:proofErr w:type="gramStart"/>
      <w:r>
        <w:rPr>
          <w:rFonts w:ascii="Arial" w:eastAsia="DengXian" w:hAnsi="Arial" w:cs="Arial"/>
          <w:sz w:val="22"/>
        </w:rPr>
        <w:t>Post-crisis</w:t>
      </w:r>
      <w:proofErr w:type="gramEnd"/>
      <w:r>
        <w:rPr>
          <w:rFonts w:ascii="Arial" w:eastAsia="DengXian" w:hAnsi="Arial" w:cs="Arial"/>
          <w:sz w:val="22"/>
        </w:rPr>
        <w:t xml:space="preserve">, stricter rules on capital adequacy, AML, and data protection (e.g., GDPR) have emerged. </w:t>
      </w:r>
      <w:proofErr w:type="spellStart"/>
      <w:r>
        <w:rPr>
          <w:rFonts w:ascii="Arial" w:eastAsia="DengXian" w:hAnsi="Arial" w:cs="Arial"/>
          <w:sz w:val="22"/>
        </w:rPr>
        <w:t>RegTech</w:t>
      </w:r>
      <w:proofErr w:type="spellEnd"/>
      <w:r>
        <w:rPr>
          <w:rFonts w:ascii="Arial" w:eastAsia="DengXian" w:hAnsi="Arial" w:cs="Arial"/>
          <w:sz w:val="22"/>
        </w:rPr>
        <w:t xml:space="preserve"> is an expanding market projected to reach USD 27 billion by 2027.</w:t>
      </w:r>
    </w:p>
    <w:p w:rsidR="00F47418" w:rsidRDefault="00F47418" w:rsidP="00F47418">
      <w:pPr>
        <w:numPr>
          <w:ilvl w:val="0"/>
          <w:numId w:val="70"/>
        </w:numPr>
        <w:spacing w:before="120" w:after="120" w:line="288" w:lineRule="auto"/>
        <w:jc w:val="left"/>
      </w:pPr>
      <w:r>
        <w:rPr>
          <w:rFonts w:ascii="Arial" w:eastAsia="DengXian" w:hAnsi="Arial" w:cs="Arial"/>
          <w:sz w:val="22"/>
        </w:rPr>
        <w:t>Sustainable Finance &amp; Green Investment</w:t>
      </w:r>
      <w:r>
        <w:rPr>
          <w:rFonts w:ascii="Arial" w:eastAsia="DengXian" w:hAnsi="Arial" w:cs="Arial"/>
          <w:sz w:val="22"/>
        </w:rPr>
        <w:br/>
        <w:t xml:space="preserve"> Demand for ESG products is surging. In 2022, global green bond issuance exceeded USD 500 billion, with annual growth expected at 15%+ over the next five years.</w:t>
      </w:r>
    </w:p>
    <w:p w:rsidR="00F47418" w:rsidRDefault="00F47418" w:rsidP="00F47418">
      <w:pPr>
        <w:numPr>
          <w:ilvl w:val="0"/>
          <w:numId w:val="71"/>
        </w:numPr>
        <w:spacing w:before="120" w:after="120" w:line="288" w:lineRule="auto"/>
        <w:jc w:val="left"/>
      </w:pPr>
      <w:r>
        <w:rPr>
          <w:rFonts w:ascii="Arial" w:eastAsia="DengXian" w:hAnsi="Arial" w:cs="Arial"/>
          <w:sz w:val="22"/>
        </w:rPr>
        <w:t>Interest Rates &amp; Monetary Policy</w:t>
      </w:r>
      <w:r>
        <w:rPr>
          <w:rFonts w:ascii="Arial" w:eastAsia="DengXian" w:hAnsi="Arial" w:cs="Arial"/>
          <w:sz w:val="22"/>
        </w:rPr>
        <w:br/>
        <w:t xml:space="preserve"> The Fed’s tightening cycle has created global liquidity pressures, with emerging markets facing capital outflows. Interest rate management is increasingly critical for financial institutions.</w:t>
      </w:r>
    </w:p>
    <w:p w:rsidR="00F47418" w:rsidRDefault="00F47418" w:rsidP="00F47418">
      <w:pPr>
        <w:spacing w:before="120" w:after="120" w:line="288" w:lineRule="auto"/>
        <w:jc w:val="left"/>
      </w:pPr>
      <w:r>
        <w:rPr>
          <w:rFonts w:ascii="Arial" w:eastAsia="DengXian" w:hAnsi="Arial" w:cs="Arial"/>
          <w:b/>
          <w:sz w:val="22"/>
        </w:rPr>
        <w:t>Challenges &amp; Risks</w:t>
      </w:r>
    </w:p>
    <w:p w:rsidR="00F47418" w:rsidRDefault="00F47418" w:rsidP="00F47418">
      <w:pPr>
        <w:numPr>
          <w:ilvl w:val="0"/>
          <w:numId w:val="72"/>
        </w:numPr>
        <w:spacing w:before="120" w:after="120" w:line="288" w:lineRule="auto"/>
        <w:jc w:val="left"/>
      </w:pPr>
      <w:r>
        <w:rPr>
          <w:rFonts w:ascii="Arial" w:eastAsia="DengXian" w:hAnsi="Arial" w:cs="Arial"/>
          <w:sz w:val="22"/>
        </w:rPr>
        <w:t>Macroeconomic Uncertainty: Inflation, geopolitical conflicts, and slowing growth fuel volatility.</w:t>
      </w:r>
    </w:p>
    <w:p w:rsidR="00F47418" w:rsidRDefault="00F47418" w:rsidP="00F47418">
      <w:pPr>
        <w:numPr>
          <w:ilvl w:val="0"/>
          <w:numId w:val="73"/>
        </w:numPr>
        <w:spacing w:before="120" w:after="120" w:line="288" w:lineRule="auto"/>
        <w:jc w:val="left"/>
      </w:pPr>
      <w:r>
        <w:rPr>
          <w:rFonts w:ascii="Arial" w:eastAsia="DengXian" w:hAnsi="Arial" w:cs="Arial"/>
          <w:sz w:val="22"/>
        </w:rPr>
        <w:t>Cybersecurity Threats: Attacks on financial institutions rose 38% YoY in 2023, causing USD 10+ billion in losses.</w:t>
      </w:r>
    </w:p>
    <w:p w:rsidR="00F47418" w:rsidRDefault="00F47418" w:rsidP="00F47418">
      <w:pPr>
        <w:numPr>
          <w:ilvl w:val="0"/>
          <w:numId w:val="74"/>
        </w:numPr>
        <w:spacing w:before="120" w:after="120" w:line="288" w:lineRule="auto"/>
        <w:jc w:val="left"/>
      </w:pPr>
      <w:r>
        <w:rPr>
          <w:rFonts w:ascii="Arial" w:eastAsia="DengXian" w:hAnsi="Arial" w:cs="Arial"/>
          <w:sz w:val="22"/>
        </w:rPr>
        <w:t>Interest Rate Risk: Higher financing costs and balance sheet mismatches pose challenges.</w:t>
      </w:r>
    </w:p>
    <w:p w:rsidR="00F47418" w:rsidRDefault="00F47418" w:rsidP="00F47418">
      <w:pPr>
        <w:numPr>
          <w:ilvl w:val="0"/>
          <w:numId w:val="75"/>
        </w:numPr>
        <w:spacing w:before="120" w:after="120" w:line="288" w:lineRule="auto"/>
        <w:jc w:val="left"/>
      </w:pPr>
      <w:r>
        <w:rPr>
          <w:rFonts w:ascii="Arial" w:eastAsia="DengXian" w:hAnsi="Arial" w:cs="Arial"/>
          <w:sz w:val="22"/>
        </w:rPr>
        <w:t xml:space="preserve">Competitive Pressure: Tech firms (Ant Group, Stripe, Square) are entering </w:t>
      </w:r>
      <w:r>
        <w:rPr>
          <w:rFonts w:ascii="Arial" w:eastAsia="DengXian" w:hAnsi="Arial" w:cs="Arial"/>
          <w:sz w:val="22"/>
        </w:rPr>
        <w:lastRenderedPageBreak/>
        <w:t>financial services, competing with traditional banks.</w:t>
      </w:r>
    </w:p>
    <w:p w:rsidR="00F47418" w:rsidRDefault="00F47418" w:rsidP="00F47418">
      <w:pPr>
        <w:spacing w:before="120" w:after="120" w:line="288" w:lineRule="auto"/>
        <w:jc w:val="left"/>
      </w:pPr>
      <w:r>
        <w:rPr>
          <w:rFonts w:ascii="Arial" w:eastAsia="DengXian" w:hAnsi="Arial" w:cs="Arial"/>
          <w:b/>
          <w:sz w:val="22"/>
        </w:rPr>
        <w:t>Outlook &amp; Talent Implications</w:t>
      </w:r>
      <w:r>
        <w:rPr>
          <w:rFonts w:ascii="Arial" w:eastAsia="DengXian" w:hAnsi="Arial" w:cs="Arial"/>
          <w:sz w:val="22"/>
        </w:rPr>
        <w:br/>
        <w:t xml:space="preserve"> Over the next decade:</w:t>
      </w:r>
    </w:p>
    <w:p w:rsidR="00F47418" w:rsidRDefault="00F47418" w:rsidP="00F47418">
      <w:pPr>
        <w:numPr>
          <w:ilvl w:val="0"/>
          <w:numId w:val="76"/>
        </w:numPr>
        <w:spacing w:before="120" w:after="120" w:line="288" w:lineRule="auto"/>
        <w:jc w:val="left"/>
      </w:pPr>
      <w:r>
        <w:rPr>
          <w:rFonts w:ascii="Arial" w:eastAsia="DengXian" w:hAnsi="Arial" w:cs="Arial"/>
          <w:sz w:val="22"/>
        </w:rPr>
        <w:t>Digitalization will drive transformation, with AI, blockchain, and big data embedded in risk, payments, and investment.</w:t>
      </w:r>
    </w:p>
    <w:p w:rsidR="00F47418" w:rsidRDefault="00F47418" w:rsidP="00F47418">
      <w:pPr>
        <w:numPr>
          <w:ilvl w:val="0"/>
          <w:numId w:val="77"/>
        </w:numPr>
        <w:spacing w:before="120" w:after="120" w:line="288" w:lineRule="auto"/>
        <w:jc w:val="left"/>
      </w:pPr>
      <w:r>
        <w:rPr>
          <w:rFonts w:ascii="Arial" w:eastAsia="DengXian" w:hAnsi="Arial" w:cs="Arial"/>
          <w:sz w:val="22"/>
        </w:rPr>
        <w:t>Sustainable finance will become mainstream, with growth in green bonds, carbon markets, and ESG-focused funds.</w:t>
      </w:r>
    </w:p>
    <w:p w:rsidR="00F47418" w:rsidRDefault="00F47418" w:rsidP="00F47418">
      <w:pPr>
        <w:numPr>
          <w:ilvl w:val="0"/>
          <w:numId w:val="78"/>
        </w:numPr>
        <w:spacing w:before="120" w:after="120" w:line="288" w:lineRule="auto"/>
        <w:jc w:val="left"/>
      </w:pPr>
      <w:r>
        <w:rPr>
          <w:rFonts w:ascii="Arial" w:eastAsia="DengXian" w:hAnsi="Arial" w:cs="Arial"/>
          <w:sz w:val="22"/>
        </w:rPr>
        <w:t>Asia-Pacific (China, India, Southeast Asia) will be a major growth engine.</w:t>
      </w:r>
      <w:r>
        <w:rPr>
          <w:rFonts w:ascii="Arial" w:eastAsia="DengXian" w:hAnsi="Arial" w:cs="Arial"/>
          <w:sz w:val="22"/>
        </w:rPr>
        <w:br/>
        <w:t xml:space="preserve"> Talent implications:</w:t>
      </w:r>
    </w:p>
    <w:p w:rsidR="00F47418" w:rsidRDefault="00F47418" w:rsidP="00F47418">
      <w:pPr>
        <w:numPr>
          <w:ilvl w:val="0"/>
          <w:numId w:val="79"/>
        </w:numPr>
        <w:spacing w:before="120" w:after="120" w:line="288" w:lineRule="auto"/>
        <w:jc w:val="left"/>
      </w:pPr>
      <w:r>
        <w:rPr>
          <w:rFonts w:ascii="Arial" w:eastAsia="DengXian" w:hAnsi="Arial" w:cs="Arial"/>
          <w:sz w:val="22"/>
        </w:rPr>
        <w:t>FinTech Talent Shortage: Global shortage may exceed 1 million in 5 years, covering AI, blockchain, and cybersecurity experts.</w:t>
      </w:r>
    </w:p>
    <w:p w:rsidR="00F47418" w:rsidRDefault="00F47418" w:rsidP="00F47418">
      <w:pPr>
        <w:numPr>
          <w:ilvl w:val="0"/>
          <w:numId w:val="80"/>
        </w:numPr>
        <w:spacing w:before="120" w:after="120" w:line="288" w:lineRule="auto"/>
        <w:jc w:val="left"/>
      </w:pPr>
      <w:r>
        <w:rPr>
          <w:rFonts w:ascii="Arial" w:eastAsia="DengXian" w:hAnsi="Arial" w:cs="Arial"/>
          <w:sz w:val="22"/>
        </w:rPr>
        <w:t>Risk &amp; Compliance Professionals: AML, KYC, and regulatory compliance demand is rising.</w:t>
      </w:r>
    </w:p>
    <w:p w:rsidR="00F47418" w:rsidRDefault="00F47418" w:rsidP="00F47418">
      <w:pPr>
        <w:numPr>
          <w:ilvl w:val="0"/>
          <w:numId w:val="81"/>
        </w:numPr>
        <w:spacing w:before="120" w:after="120" w:line="288" w:lineRule="auto"/>
        <w:jc w:val="left"/>
      </w:pPr>
      <w:r>
        <w:rPr>
          <w:rFonts w:ascii="Arial" w:eastAsia="DengXian" w:hAnsi="Arial" w:cs="Arial"/>
          <w:sz w:val="22"/>
        </w:rPr>
        <w:t>Green Finance Talent: ESG and carbon market experts are commanding premium salaries.</w:t>
      </w:r>
    </w:p>
    <w:p w:rsidR="00F47418" w:rsidRDefault="00F47418" w:rsidP="00F47418">
      <w:pPr>
        <w:numPr>
          <w:ilvl w:val="0"/>
          <w:numId w:val="82"/>
        </w:numPr>
        <w:spacing w:before="120" w:after="120" w:line="288" w:lineRule="auto"/>
        <w:jc w:val="left"/>
      </w:pPr>
      <w:r>
        <w:rPr>
          <w:rFonts w:ascii="Arial" w:eastAsia="DengXian" w:hAnsi="Arial" w:cs="Arial"/>
          <w:sz w:val="22"/>
        </w:rPr>
        <w:t>Hybrid Skillsets: Professionals combining finance knowledge with tech expertise will be in highest demand for headhunters.</w:t>
      </w:r>
    </w:p>
    <w:p w:rsidR="00F47418" w:rsidRDefault="00F47418" w:rsidP="00F47418">
      <w:pPr>
        <w:spacing w:before="320" w:after="120" w:line="288" w:lineRule="auto"/>
        <w:jc w:val="left"/>
        <w:outlineLvl w:val="1"/>
      </w:pPr>
      <w:bookmarkStart w:id="4" w:name="heading_20"/>
      <w:r>
        <w:rPr>
          <w:rFonts w:ascii="Arial" w:eastAsia="DengXian" w:hAnsi="Arial" w:cs="Arial"/>
          <w:b/>
          <w:sz w:val="32"/>
        </w:rPr>
        <w:t>Banking &amp; Finance Industry Report – Wealth Management</w:t>
      </w:r>
      <w:bookmarkEnd w:id="4"/>
    </w:p>
    <w:p w:rsidR="00F47418" w:rsidRDefault="00F47418" w:rsidP="00F47418">
      <w:pPr>
        <w:spacing w:before="120" w:after="120" w:line="288" w:lineRule="auto"/>
        <w:jc w:val="left"/>
      </w:pPr>
      <w:r>
        <w:rPr>
          <w:rFonts w:ascii="Arial" w:eastAsia="DengXian" w:hAnsi="Arial" w:cs="Arial"/>
          <w:b/>
          <w:sz w:val="22"/>
        </w:rPr>
        <w:t>Industry Overview</w:t>
      </w:r>
      <w:r>
        <w:rPr>
          <w:rFonts w:ascii="Arial" w:eastAsia="DengXian" w:hAnsi="Arial" w:cs="Arial"/>
          <w:sz w:val="22"/>
        </w:rPr>
        <w:br/>
        <w:t xml:space="preserve"> Wealth management has become one of the fastest-growing segments within the banking and finance sector. Rising numbers of high-net-worth individuals (HNWIs) and ultra-high-net-worth individuals (UHNWIs), especially in Asia and the Middle East, are fueling demand for diversified investment solutions. Traditional banks are expanding their private banking arms, while fintech platforms are democratizing wealth management services.</w:t>
      </w:r>
    </w:p>
    <w:p w:rsidR="00F47418" w:rsidRDefault="00F47418" w:rsidP="00F47418">
      <w:pPr>
        <w:spacing w:before="120" w:after="120" w:line="288" w:lineRule="auto"/>
        <w:jc w:val="left"/>
      </w:pPr>
      <w:r>
        <w:rPr>
          <w:rFonts w:ascii="Arial" w:eastAsia="DengXian" w:hAnsi="Arial" w:cs="Arial"/>
          <w:b/>
          <w:sz w:val="22"/>
        </w:rPr>
        <w:t>Key Trends and Drivers</w:t>
      </w:r>
    </w:p>
    <w:p w:rsidR="00F47418" w:rsidRDefault="00F47418" w:rsidP="00F47418">
      <w:pPr>
        <w:numPr>
          <w:ilvl w:val="0"/>
          <w:numId w:val="90"/>
        </w:numPr>
        <w:spacing w:before="120" w:after="120" w:line="288" w:lineRule="auto"/>
        <w:jc w:val="left"/>
      </w:pPr>
      <w:r>
        <w:rPr>
          <w:rFonts w:ascii="Arial" w:eastAsia="DengXian" w:hAnsi="Arial" w:cs="Arial"/>
          <w:b/>
          <w:sz w:val="22"/>
        </w:rPr>
        <w:t>Global Wealth Expansion</w:t>
      </w:r>
      <w:r>
        <w:rPr>
          <w:rFonts w:ascii="Arial" w:eastAsia="DengXian" w:hAnsi="Arial" w:cs="Arial"/>
          <w:sz w:val="22"/>
        </w:rPr>
        <w:t>: By 2025, the global wealth pool is projected to surpass USD 500 trillion, with Asia accounting for over one-third of the growth.</w:t>
      </w:r>
    </w:p>
    <w:p w:rsidR="00F47418" w:rsidRDefault="00F47418" w:rsidP="00F47418">
      <w:pPr>
        <w:numPr>
          <w:ilvl w:val="0"/>
          <w:numId w:val="91"/>
        </w:numPr>
        <w:spacing w:before="120" w:after="120" w:line="288" w:lineRule="auto"/>
        <w:jc w:val="left"/>
      </w:pPr>
      <w:r>
        <w:rPr>
          <w:rFonts w:ascii="Arial" w:eastAsia="DengXian" w:hAnsi="Arial" w:cs="Arial"/>
          <w:b/>
          <w:sz w:val="22"/>
        </w:rPr>
        <w:t>Digital Platforms</w:t>
      </w:r>
      <w:r>
        <w:rPr>
          <w:rFonts w:ascii="Arial" w:eastAsia="DengXian" w:hAnsi="Arial" w:cs="Arial"/>
          <w:sz w:val="22"/>
        </w:rPr>
        <w:t>: Robo-advisory and AI-driven investment tools are becoming standard, offering scalable and cost-efficient solutions.</w:t>
      </w:r>
    </w:p>
    <w:p w:rsidR="00F47418" w:rsidRDefault="00F47418" w:rsidP="00F47418">
      <w:pPr>
        <w:numPr>
          <w:ilvl w:val="0"/>
          <w:numId w:val="92"/>
        </w:numPr>
        <w:spacing w:before="120" w:after="120" w:line="288" w:lineRule="auto"/>
        <w:jc w:val="left"/>
      </w:pPr>
      <w:r>
        <w:rPr>
          <w:rFonts w:ascii="Arial" w:eastAsia="DengXian" w:hAnsi="Arial" w:cs="Arial"/>
          <w:b/>
          <w:sz w:val="22"/>
        </w:rPr>
        <w:lastRenderedPageBreak/>
        <w:t>Alternative Investments</w:t>
      </w:r>
      <w:r>
        <w:rPr>
          <w:rFonts w:ascii="Arial" w:eastAsia="DengXian" w:hAnsi="Arial" w:cs="Arial"/>
          <w:sz w:val="22"/>
        </w:rPr>
        <w:t>: Demand for private equity, venture capital, and real estate funds is increasing as investors seek higher returns.</w:t>
      </w:r>
    </w:p>
    <w:p w:rsidR="00F47418" w:rsidRDefault="00F47418" w:rsidP="00F47418">
      <w:pPr>
        <w:numPr>
          <w:ilvl w:val="0"/>
          <w:numId w:val="93"/>
        </w:numPr>
        <w:spacing w:before="120" w:after="120" w:line="288" w:lineRule="auto"/>
        <w:jc w:val="left"/>
      </w:pPr>
      <w:r>
        <w:rPr>
          <w:rFonts w:ascii="Arial" w:eastAsia="DengXian" w:hAnsi="Arial" w:cs="Arial"/>
          <w:b/>
          <w:sz w:val="22"/>
        </w:rPr>
        <w:t>Sustainable Investing</w:t>
      </w:r>
      <w:r>
        <w:rPr>
          <w:rFonts w:ascii="Arial" w:eastAsia="DengXian" w:hAnsi="Arial" w:cs="Arial"/>
          <w:sz w:val="22"/>
        </w:rPr>
        <w:t>: ESG-focused portfolios are now mainstream, especially among younger investors.</w:t>
      </w:r>
    </w:p>
    <w:p w:rsidR="00F47418" w:rsidRDefault="00F47418" w:rsidP="00F47418">
      <w:pPr>
        <w:spacing w:before="120" w:after="120" w:line="288" w:lineRule="auto"/>
        <w:jc w:val="left"/>
      </w:pPr>
      <w:r>
        <w:rPr>
          <w:rFonts w:ascii="Arial" w:eastAsia="DengXian" w:hAnsi="Arial" w:cs="Arial"/>
          <w:b/>
          <w:sz w:val="22"/>
        </w:rPr>
        <w:t>Challenges and Risks</w:t>
      </w:r>
    </w:p>
    <w:p w:rsidR="00F47418" w:rsidRDefault="00F47418" w:rsidP="00F47418">
      <w:pPr>
        <w:numPr>
          <w:ilvl w:val="0"/>
          <w:numId w:val="94"/>
        </w:numPr>
        <w:spacing w:before="120" w:after="120" w:line="288" w:lineRule="auto"/>
        <w:jc w:val="left"/>
      </w:pPr>
      <w:r>
        <w:rPr>
          <w:rFonts w:ascii="Arial" w:eastAsia="DengXian" w:hAnsi="Arial" w:cs="Arial"/>
          <w:b/>
          <w:sz w:val="22"/>
        </w:rPr>
        <w:t>Market Volatility</w:t>
      </w:r>
      <w:r>
        <w:rPr>
          <w:rFonts w:ascii="Arial" w:eastAsia="DengXian" w:hAnsi="Arial" w:cs="Arial"/>
          <w:sz w:val="22"/>
        </w:rPr>
        <w:t>: Geopolitical shocks, inflation, and interest rate fluctuations make portfolio stability difficult.</w:t>
      </w:r>
    </w:p>
    <w:p w:rsidR="00F47418" w:rsidRDefault="00F47418" w:rsidP="00F47418">
      <w:pPr>
        <w:numPr>
          <w:ilvl w:val="0"/>
          <w:numId w:val="95"/>
        </w:numPr>
        <w:spacing w:before="120" w:after="120" w:line="288" w:lineRule="auto"/>
        <w:jc w:val="left"/>
      </w:pPr>
      <w:r>
        <w:rPr>
          <w:rFonts w:ascii="Arial" w:eastAsia="DengXian" w:hAnsi="Arial" w:cs="Arial"/>
          <w:b/>
          <w:sz w:val="22"/>
        </w:rPr>
        <w:t>Regulatory Complexity</w:t>
      </w:r>
      <w:r>
        <w:rPr>
          <w:rFonts w:ascii="Arial" w:eastAsia="DengXian" w:hAnsi="Arial" w:cs="Arial"/>
          <w:sz w:val="22"/>
        </w:rPr>
        <w:t>: Wealth managers face stricter compliance obligations across different jurisdictions.</w:t>
      </w:r>
    </w:p>
    <w:p w:rsidR="00F47418" w:rsidRDefault="00F47418" w:rsidP="00F47418">
      <w:pPr>
        <w:numPr>
          <w:ilvl w:val="0"/>
          <w:numId w:val="96"/>
        </w:numPr>
        <w:spacing w:before="120" w:after="120" w:line="288" w:lineRule="auto"/>
        <w:jc w:val="left"/>
      </w:pPr>
      <w:r>
        <w:rPr>
          <w:rFonts w:ascii="Arial" w:eastAsia="DengXian" w:hAnsi="Arial" w:cs="Arial"/>
          <w:b/>
          <w:sz w:val="22"/>
        </w:rPr>
        <w:t>Talent Shortages</w:t>
      </w:r>
      <w:r>
        <w:rPr>
          <w:rFonts w:ascii="Arial" w:eastAsia="DengXian" w:hAnsi="Arial" w:cs="Arial"/>
          <w:sz w:val="22"/>
        </w:rPr>
        <w:t>: Professionals with expertise in ESG investing, cross-border tax planning, and digital platforms are in high demand but short supply.</w:t>
      </w:r>
    </w:p>
    <w:p w:rsidR="00F47418" w:rsidRDefault="00F47418" w:rsidP="00F47418">
      <w:pPr>
        <w:spacing w:before="120" w:after="120" w:line="288" w:lineRule="auto"/>
        <w:jc w:val="left"/>
      </w:pPr>
      <w:r>
        <w:rPr>
          <w:rFonts w:ascii="Arial" w:eastAsia="DengXian" w:hAnsi="Arial" w:cs="Arial"/>
          <w:b/>
          <w:sz w:val="22"/>
        </w:rPr>
        <w:t>Outlook and Talent Implications</w:t>
      </w:r>
      <w:r>
        <w:rPr>
          <w:rFonts w:ascii="Arial" w:eastAsia="DengXian" w:hAnsi="Arial" w:cs="Arial"/>
          <w:sz w:val="22"/>
        </w:rPr>
        <w:br/>
        <w:t xml:space="preserve"> The wealth management industry will continue to grow, driven by digital transformation and global wealth expansion. Firms that can integrate technology with personalized advisory will gain a competitive edge. Talent needs will center on financial advisors skilled in ESG, multi-asset strategies, and digital client engagement.</w:t>
      </w:r>
    </w:p>
    <w:p w:rsidR="00F47418" w:rsidRDefault="00F47418" w:rsidP="00F47418">
      <w:pPr>
        <w:spacing w:before="320" w:after="120" w:line="288" w:lineRule="auto"/>
        <w:jc w:val="left"/>
        <w:outlineLvl w:val="1"/>
      </w:pPr>
      <w:bookmarkStart w:id="5" w:name="heading_22"/>
      <w:r>
        <w:rPr>
          <w:rFonts w:ascii="Arial" w:eastAsia="DengXian" w:hAnsi="Arial" w:cs="Arial"/>
          <w:b/>
          <w:sz w:val="32"/>
        </w:rPr>
        <w:t>Banking &amp; Finance Industry Report – Investment Banking</w:t>
      </w:r>
      <w:bookmarkEnd w:id="5"/>
    </w:p>
    <w:p w:rsidR="00F47418" w:rsidRDefault="00F47418" w:rsidP="00F47418">
      <w:pPr>
        <w:spacing w:before="120" w:after="120" w:line="288" w:lineRule="auto"/>
        <w:jc w:val="left"/>
      </w:pPr>
      <w:r>
        <w:rPr>
          <w:rFonts w:ascii="Arial" w:eastAsia="DengXian" w:hAnsi="Arial" w:cs="Arial"/>
          <w:b/>
          <w:sz w:val="22"/>
        </w:rPr>
        <w:t>English Version</w:t>
      </w:r>
    </w:p>
    <w:p w:rsidR="00F47418" w:rsidRDefault="00F47418" w:rsidP="00F47418">
      <w:pPr>
        <w:spacing w:before="120" w:after="120" w:line="288" w:lineRule="auto"/>
        <w:jc w:val="left"/>
      </w:pPr>
      <w:r>
        <w:rPr>
          <w:rFonts w:ascii="Arial" w:eastAsia="DengXian" w:hAnsi="Arial" w:cs="Arial"/>
          <w:b/>
          <w:sz w:val="22"/>
        </w:rPr>
        <w:t>Industry Overview</w:t>
      </w:r>
      <w:r>
        <w:rPr>
          <w:rFonts w:ascii="Arial" w:eastAsia="DengXian" w:hAnsi="Arial" w:cs="Arial"/>
          <w:sz w:val="22"/>
        </w:rPr>
        <w:br/>
        <w:t xml:space="preserve"> Investment banking remains a critical pillar of global finance, providing services such as capital raising, mergers and acquisitions (M&amp;A), and advisory. In 2025, the sector is experiencing mixed momentum: while equity capital markets show strong activity driven by technology and energy transition companies, debt issuance is slowing under high interest rates. Regional shifts are also evident, with Asia and the Middle East gaining prominence.</w:t>
      </w:r>
    </w:p>
    <w:p w:rsidR="00F47418" w:rsidRDefault="00F47418" w:rsidP="00F47418">
      <w:pPr>
        <w:spacing w:before="120" w:after="120" w:line="288" w:lineRule="auto"/>
        <w:jc w:val="left"/>
      </w:pPr>
      <w:r>
        <w:rPr>
          <w:rFonts w:ascii="Arial" w:eastAsia="DengXian" w:hAnsi="Arial" w:cs="Arial"/>
          <w:b/>
          <w:sz w:val="22"/>
        </w:rPr>
        <w:t>Key Trends and Drivers</w:t>
      </w:r>
    </w:p>
    <w:p w:rsidR="00F47418" w:rsidRDefault="00F47418" w:rsidP="00F47418">
      <w:pPr>
        <w:numPr>
          <w:ilvl w:val="0"/>
          <w:numId w:val="104"/>
        </w:numPr>
        <w:spacing w:before="120" w:after="120" w:line="288" w:lineRule="auto"/>
        <w:jc w:val="left"/>
      </w:pPr>
      <w:r>
        <w:rPr>
          <w:rFonts w:ascii="Arial" w:eastAsia="DengXian" w:hAnsi="Arial" w:cs="Arial"/>
          <w:b/>
          <w:sz w:val="22"/>
        </w:rPr>
        <w:t>M&amp;A Activity</w:t>
      </w:r>
      <w:r>
        <w:rPr>
          <w:rFonts w:ascii="Arial" w:eastAsia="DengXian" w:hAnsi="Arial" w:cs="Arial"/>
          <w:sz w:val="22"/>
        </w:rPr>
        <w:t>: Technology, healthcare, and renewable energy are leading sectors for global mergers and acquisitions, with deal values expected to exceed USD 4 trillion in 2025.</w:t>
      </w:r>
    </w:p>
    <w:p w:rsidR="00F47418" w:rsidRDefault="00F47418" w:rsidP="00F47418">
      <w:pPr>
        <w:numPr>
          <w:ilvl w:val="0"/>
          <w:numId w:val="105"/>
        </w:numPr>
        <w:spacing w:before="120" w:after="120" w:line="288" w:lineRule="auto"/>
        <w:jc w:val="left"/>
      </w:pPr>
      <w:r>
        <w:rPr>
          <w:rFonts w:ascii="Arial" w:eastAsia="DengXian" w:hAnsi="Arial" w:cs="Arial"/>
          <w:b/>
          <w:sz w:val="22"/>
        </w:rPr>
        <w:lastRenderedPageBreak/>
        <w:t>IPO Market Recovery</w:t>
      </w:r>
      <w:r>
        <w:rPr>
          <w:rFonts w:ascii="Arial" w:eastAsia="DengXian" w:hAnsi="Arial" w:cs="Arial"/>
          <w:sz w:val="22"/>
        </w:rPr>
        <w:t>: After a slowdown in 2022–2023, initial public offerings (IPOs) are rebounding, particularly in Hong Kong, Dubai, and Singapore.</w:t>
      </w:r>
    </w:p>
    <w:p w:rsidR="00F47418" w:rsidRDefault="00F47418" w:rsidP="00F47418">
      <w:pPr>
        <w:numPr>
          <w:ilvl w:val="0"/>
          <w:numId w:val="106"/>
        </w:numPr>
        <w:spacing w:before="120" w:after="120" w:line="288" w:lineRule="auto"/>
        <w:jc w:val="left"/>
      </w:pPr>
      <w:r>
        <w:rPr>
          <w:rFonts w:ascii="Arial" w:eastAsia="DengXian" w:hAnsi="Arial" w:cs="Arial"/>
          <w:b/>
          <w:sz w:val="22"/>
        </w:rPr>
        <w:t>Private Capital Growth</w:t>
      </w:r>
      <w:r>
        <w:rPr>
          <w:rFonts w:ascii="Arial" w:eastAsia="DengXian" w:hAnsi="Arial" w:cs="Arial"/>
          <w:sz w:val="22"/>
        </w:rPr>
        <w:t>: Private equity firms are increasingly competing with investment banks for large-scale transactions.</w:t>
      </w:r>
    </w:p>
    <w:p w:rsidR="00F47418" w:rsidRDefault="00F47418" w:rsidP="00F47418">
      <w:pPr>
        <w:numPr>
          <w:ilvl w:val="0"/>
          <w:numId w:val="107"/>
        </w:numPr>
        <w:spacing w:before="120" w:after="120" w:line="288" w:lineRule="auto"/>
        <w:jc w:val="left"/>
      </w:pPr>
      <w:r>
        <w:rPr>
          <w:rFonts w:ascii="Arial" w:eastAsia="DengXian" w:hAnsi="Arial" w:cs="Arial"/>
          <w:b/>
          <w:sz w:val="22"/>
        </w:rPr>
        <w:t>Sustainable Finance</w:t>
      </w:r>
      <w:r>
        <w:rPr>
          <w:rFonts w:ascii="Arial" w:eastAsia="DengXian" w:hAnsi="Arial" w:cs="Arial"/>
          <w:sz w:val="22"/>
        </w:rPr>
        <w:t>: Investment banks are structuring more green bonds and transition finance products to support ESG goals.</w:t>
      </w:r>
    </w:p>
    <w:p w:rsidR="00F47418" w:rsidRDefault="00F47418" w:rsidP="00F47418">
      <w:pPr>
        <w:spacing w:before="120" w:after="120" w:line="288" w:lineRule="auto"/>
        <w:jc w:val="left"/>
      </w:pPr>
      <w:r>
        <w:rPr>
          <w:rFonts w:ascii="Arial" w:eastAsia="DengXian" w:hAnsi="Arial" w:cs="Arial"/>
          <w:b/>
          <w:sz w:val="22"/>
        </w:rPr>
        <w:t>Challenges and Risks</w:t>
      </w:r>
    </w:p>
    <w:p w:rsidR="00F47418" w:rsidRDefault="00F47418" w:rsidP="00F47418">
      <w:pPr>
        <w:numPr>
          <w:ilvl w:val="0"/>
          <w:numId w:val="108"/>
        </w:numPr>
        <w:spacing w:before="120" w:after="120" w:line="288" w:lineRule="auto"/>
        <w:jc w:val="left"/>
      </w:pPr>
      <w:r>
        <w:rPr>
          <w:rFonts w:ascii="Arial" w:eastAsia="DengXian" w:hAnsi="Arial" w:cs="Arial"/>
          <w:b/>
          <w:sz w:val="22"/>
        </w:rPr>
        <w:t>High Interest Rates</w:t>
      </w:r>
      <w:r>
        <w:rPr>
          <w:rFonts w:ascii="Arial" w:eastAsia="DengXian" w:hAnsi="Arial" w:cs="Arial"/>
          <w:sz w:val="22"/>
        </w:rPr>
        <w:t>: Elevated borrowing costs make leveraged buyouts and debt-driven deals more difficult.</w:t>
      </w:r>
    </w:p>
    <w:p w:rsidR="00F47418" w:rsidRDefault="00F47418" w:rsidP="00F47418">
      <w:pPr>
        <w:numPr>
          <w:ilvl w:val="0"/>
          <w:numId w:val="109"/>
        </w:numPr>
        <w:spacing w:before="120" w:after="120" w:line="288" w:lineRule="auto"/>
        <w:jc w:val="left"/>
      </w:pPr>
      <w:r>
        <w:rPr>
          <w:rFonts w:ascii="Arial" w:eastAsia="DengXian" w:hAnsi="Arial" w:cs="Arial"/>
          <w:b/>
          <w:sz w:val="22"/>
        </w:rPr>
        <w:t>Regulatory Pressure</w:t>
      </w:r>
      <w:r>
        <w:rPr>
          <w:rFonts w:ascii="Arial" w:eastAsia="DengXian" w:hAnsi="Arial" w:cs="Arial"/>
          <w:sz w:val="22"/>
        </w:rPr>
        <w:t>: Stricter rules on capital requirements and disclosure increase operational complexity.</w:t>
      </w:r>
    </w:p>
    <w:p w:rsidR="00F47418" w:rsidRDefault="00F47418" w:rsidP="00F47418">
      <w:pPr>
        <w:numPr>
          <w:ilvl w:val="0"/>
          <w:numId w:val="110"/>
        </w:numPr>
        <w:spacing w:before="120" w:after="120" w:line="288" w:lineRule="auto"/>
        <w:jc w:val="left"/>
      </w:pPr>
      <w:r>
        <w:rPr>
          <w:rFonts w:ascii="Arial" w:eastAsia="DengXian" w:hAnsi="Arial" w:cs="Arial"/>
          <w:b/>
          <w:sz w:val="22"/>
        </w:rPr>
        <w:t>Geopolitical Uncertainty</w:t>
      </w:r>
      <w:r>
        <w:rPr>
          <w:rFonts w:ascii="Arial" w:eastAsia="DengXian" w:hAnsi="Arial" w:cs="Arial"/>
          <w:sz w:val="22"/>
        </w:rPr>
        <w:t>: Trade tensions, sanctions, and regional conflicts impact cross-border deal-making.</w:t>
      </w:r>
    </w:p>
    <w:p w:rsidR="00F47418" w:rsidRDefault="00F47418" w:rsidP="00F47418">
      <w:pPr>
        <w:spacing w:before="120" w:after="120" w:line="288" w:lineRule="auto"/>
        <w:jc w:val="left"/>
      </w:pPr>
      <w:r>
        <w:rPr>
          <w:rFonts w:ascii="Arial" w:eastAsia="DengXian" w:hAnsi="Arial" w:cs="Arial"/>
          <w:b/>
          <w:sz w:val="22"/>
        </w:rPr>
        <w:t>Outlook and Talent Implications</w:t>
      </w:r>
      <w:r>
        <w:rPr>
          <w:rFonts w:ascii="Arial" w:eastAsia="DengXian" w:hAnsi="Arial" w:cs="Arial"/>
          <w:sz w:val="22"/>
        </w:rPr>
        <w:br/>
        <w:t xml:space="preserve"> Investment banking is set to consolidate further, with global firms expanding in high-growth regions. Skills in cross-border deal structuring, ESG advisory, and digital capital markets will be in high demand. The sector will face ongoing talent competition from private equity and fintech firms.</w:t>
      </w:r>
    </w:p>
    <w:p w:rsidR="00F47418" w:rsidRDefault="00F47418" w:rsidP="00F47418">
      <w:pPr>
        <w:spacing w:before="120" w:after="120" w:line="288" w:lineRule="auto"/>
        <w:jc w:val="left"/>
      </w:pPr>
    </w:p>
    <w:p w:rsidR="00352BFE" w:rsidRDefault="00352BFE"/>
    <w:sectPr w:rsidR="0035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3FE53C"/>
    <w:multiLevelType w:val="singleLevel"/>
    <w:tmpl w:val="853FE53C"/>
    <w:lvl w:ilvl="0">
      <w:numFmt w:val="bullet"/>
      <w:lvlText w:val="•"/>
      <w:lvlJc w:val="left"/>
      <w:rPr>
        <w:color w:val="3370FF"/>
      </w:rPr>
    </w:lvl>
  </w:abstractNum>
  <w:abstractNum w:abstractNumId="1" w15:restartNumberingAfterBreak="0">
    <w:nsid w:val="8B6CE53B"/>
    <w:multiLevelType w:val="singleLevel"/>
    <w:tmpl w:val="8B6CE53B"/>
    <w:lvl w:ilvl="0">
      <w:numFmt w:val="bullet"/>
      <w:lvlText w:val="•"/>
      <w:lvlJc w:val="left"/>
      <w:rPr>
        <w:color w:val="3370FF"/>
      </w:rPr>
    </w:lvl>
  </w:abstractNum>
  <w:abstractNum w:abstractNumId="2" w15:restartNumberingAfterBreak="0">
    <w:nsid w:val="9D5F4FE1"/>
    <w:multiLevelType w:val="singleLevel"/>
    <w:tmpl w:val="9D5F4FE1"/>
    <w:lvl w:ilvl="0">
      <w:numFmt w:val="bullet"/>
      <w:lvlText w:val="•"/>
      <w:lvlJc w:val="left"/>
      <w:rPr>
        <w:color w:val="3370FF"/>
      </w:rPr>
    </w:lvl>
  </w:abstractNum>
  <w:abstractNum w:abstractNumId="3" w15:restartNumberingAfterBreak="0">
    <w:nsid w:val="9DBC9328"/>
    <w:multiLevelType w:val="singleLevel"/>
    <w:tmpl w:val="9DBC9328"/>
    <w:lvl w:ilvl="0">
      <w:numFmt w:val="bullet"/>
      <w:lvlText w:val="•"/>
      <w:lvlJc w:val="left"/>
      <w:rPr>
        <w:color w:val="3370FF"/>
      </w:rPr>
    </w:lvl>
  </w:abstractNum>
  <w:abstractNum w:abstractNumId="4" w15:restartNumberingAfterBreak="0">
    <w:nsid w:val="9EB007AA"/>
    <w:multiLevelType w:val="singleLevel"/>
    <w:tmpl w:val="9EB007AA"/>
    <w:lvl w:ilvl="0">
      <w:numFmt w:val="bullet"/>
      <w:lvlText w:val="￮"/>
      <w:lvlJc w:val="left"/>
      <w:rPr>
        <w:color w:val="3370FF"/>
      </w:rPr>
    </w:lvl>
  </w:abstractNum>
  <w:abstractNum w:abstractNumId="5" w15:restartNumberingAfterBreak="0">
    <w:nsid w:val="9FF7CAA2"/>
    <w:multiLevelType w:val="singleLevel"/>
    <w:tmpl w:val="9FF7CAA2"/>
    <w:lvl w:ilvl="0">
      <w:start w:val="2"/>
      <w:numFmt w:val="decimal"/>
      <w:lvlText w:val="%1."/>
      <w:lvlJc w:val="left"/>
      <w:rPr>
        <w:color w:val="3370FF"/>
      </w:rPr>
    </w:lvl>
  </w:abstractNum>
  <w:abstractNum w:abstractNumId="6" w15:restartNumberingAfterBreak="0">
    <w:nsid w:val="9FF8938F"/>
    <w:multiLevelType w:val="singleLevel"/>
    <w:tmpl w:val="9FF8938F"/>
    <w:lvl w:ilvl="0">
      <w:numFmt w:val="bullet"/>
      <w:lvlText w:val="•"/>
      <w:lvlJc w:val="left"/>
      <w:rPr>
        <w:color w:val="3370FF"/>
      </w:rPr>
    </w:lvl>
  </w:abstractNum>
  <w:abstractNum w:abstractNumId="7" w15:restartNumberingAfterBreak="0">
    <w:nsid w:val="AF265F2E"/>
    <w:multiLevelType w:val="singleLevel"/>
    <w:tmpl w:val="AF265F2E"/>
    <w:lvl w:ilvl="0">
      <w:numFmt w:val="bullet"/>
      <w:lvlText w:val="•"/>
      <w:lvlJc w:val="left"/>
      <w:rPr>
        <w:color w:val="3370FF"/>
      </w:rPr>
    </w:lvl>
  </w:abstractNum>
  <w:abstractNum w:abstractNumId="8" w15:restartNumberingAfterBreak="0">
    <w:nsid w:val="AF7FDF26"/>
    <w:multiLevelType w:val="singleLevel"/>
    <w:tmpl w:val="AF7FDF26"/>
    <w:lvl w:ilvl="0">
      <w:numFmt w:val="bullet"/>
      <w:lvlText w:val="•"/>
      <w:lvlJc w:val="left"/>
      <w:rPr>
        <w:color w:val="3370FF"/>
      </w:rPr>
    </w:lvl>
  </w:abstractNum>
  <w:abstractNum w:abstractNumId="9" w15:restartNumberingAfterBreak="0">
    <w:nsid w:val="B3BF9325"/>
    <w:multiLevelType w:val="singleLevel"/>
    <w:tmpl w:val="B3BF9325"/>
    <w:lvl w:ilvl="0">
      <w:numFmt w:val="bullet"/>
      <w:lvlText w:val="•"/>
      <w:lvlJc w:val="left"/>
      <w:rPr>
        <w:color w:val="3370FF"/>
      </w:rPr>
    </w:lvl>
  </w:abstractNum>
  <w:abstractNum w:abstractNumId="10" w15:restartNumberingAfterBreak="0">
    <w:nsid w:val="B77A7A4F"/>
    <w:multiLevelType w:val="singleLevel"/>
    <w:tmpl w:val="B77A7A4F"/>
    <w:lvl w:ilvl="0">
      <w:numFmt w:val="bullet"/>
      <w:lvlText w:val="•"/>
      <w:lvlJc w:val="left"/>
      <w:rPr>
        <w:color w:val="3370FF"/>
      </w:rPr>
    </w:lvl>
  </w:abstractNum>
  <w:abstractNum w:abstractNumId="11" w15:restartNumberingAfterBreak="0">
    <w:nsid w:val="BEBA489F"/>
    <w:multiLevelType w:val="singleLevel"/>
    <w:tmpl w:val="BEBA489F"/>
    <w:lvl w:ilvl="0">
      <w:start w:val="1"/>
      <w:numFmt w:val="decimal"/>
      <w:lvlText w:val="%1."/>
      <w:lvlJc w:val="left"/>
      <w:rPr>
        <w:color w:val="3370FF"/>
      </w:rPr>
    </w:lvl>
  </w:abstractNum>
  <w:abstractNum w:abstractNumId="12" w15:restartNumberingAfterBreak="0">
    <w:nsid w:val="BFB62A30"/>
    <w:multiLevelType w:val="singleLevel"/>
    <w:tmpl w:val="BFB62A30"/>
    <w:lvl w:ilvl="0">
      <w:numFmt w:val="bullet"/>
      <w:lvlText w:val="•"/>
      <w:lvlJc w:val="left"/>
      <w:rPr>
        <w:color w:val="3370FF"/>
      </w:rPr>
    </w:lvl>
  </w:abstractNum>
  <w:abstractNum w:abstractNumId="13" w15:restartNumberingAfterBreak="0">
    <w:nsid w:val="BFD7082B"/>
    <w:multiLevelType w:val="singleLevel"/>
    <w:tmpl w:val="BFD7082B"/>
    <w:lvl w:ilvl="0">
      <w:numFmt w:val="bullet"/>
      <w:lvlText w:val="•"/>
      <w:lvlJc w:val="left"/>
      <w:rPr>
        <w:color w:val="3370FF"/>
      </w:rPr>
    </w:lvl>
  </w:abstractNum>
  <w:abstractNum w:abstractNumId="14" w15:restartNumberingAfterBreak="0">
    <w:nsid w:val="BFEF0CEA"/>
    <w:multiLevelType w:val="singleLevel"/>
    <w:tmpl w:val="BFEF0CEA"/>
    <w:lvl w:ilvl="0">
      <w:numFmt w:val="bullet"/>
      <w:lvlText w:val="•"/>
      <w:lvlJc w:val="left"/>
      <w:rPr>
        <w:color w:val="3370FF"/>
      </w:rPr>
    </w:lvl>
  </w:abstractNum>
  <w:abstractNum w:abstractNumId="15" w15:restartNumberingAfterBreak="0">
    <w:nsid w:val="BFFF3AFF"/>
    <w:multiLevelType w:val="singleLevel"/>
    <w:tmpl w:val="BFFF3AFF"/>
    <w:lvl w:ilvl="0">
      <w:numFmt w:val="bullet"/>
      <w:lvlText w:val="•"/>
      <w:lvlJc w:val="left"/>
      <w:rPr>
        <w:color w:val="3370FF"/>
      </w:rPr>
    </w:lvl>
  </w:abstractNum>
  <w:abstractNum w:abstractNumId="16" w15:restartNumberingAfterBreak="0">
    <w:nsid w:val="C7BA4C72"/>
    <w:multiLevelType w:val="singleLevel"/>
    <w:tmpl w:val="C7BA4C72"/>
    <w:lvl w:ilvl="0">
      <w:numFmt w:val="bullet"/>
      <w:lvlText w:val="•"/>
      <w:lvlJc w:val="left"/>
      <w:rPr>
        <w:color w:val="3370FF"/>
      </w:rPr>
    </w:lvl>
  </w:abstractNum>
  <w:abstractNum w:abstractNumId="17" w15:restartNumberingAfterBreak="0">
    <w:nsid w:val="CF5D6C24"/>
    <w:multiLevelType w:val="singleLevel"/>
    <w:tmpl w:val="CF5D6C24"/>
    <w:lvl w:ilvl="0">
      <w:numFmt w:val="bullet"/>
      <w:lvlText w:val="•"/>
      <w:lvlJc w:val="left"/>
      <w:rPr>
        <w:color w:val="3370FF"/>
      </w:rPr>
    </w:lvl>
  </w:abstractNum>
  <w:abstractNum w:abstractNumId="18" w15:restartNumberingAfterBreak="0">
    <w:nsid w:val="CF5E1071"/>
    <w:multiLevelType w:val="singleLevel"/>
    <w:tmpl w:val="CF5E1071"/>
    <w:lvl w:ilvl="0">
      <w:numFmt w:val="bullet"/>
      <w:lvlText w:val="•"/>
      <w:lvlJc w:val="left"/>
      <w:rPr>
        <w:color w:val="3370FF"/>
      </w:rPr>
    </w:lvl>
  </w:abstractNum>
  <w:abstractNum w:abstractNumId="19" w15:restartNumberingAfterBreak="0">
    <w:nsid w:val="CF7E6181"/>
    <w:multiLevelType w:val="singleLevel"/>
    <w:tmpl w:val="CF7E6181"/>
    <w:lvl w:ilvl="0">
      <w:numFmt w:val="bullet"/>
      <w:lvlText w:val="•"/>
      <w:lvlJc w:val="left"/>
      <w:rPr>
        <w:color w:val="3370FF"/>
      </w:rPr>
    </w:lvl>
  </w:abstractNum>
  <w:abstractNum w:abstractNumId="20" w15:restartNumberingAfterBreak="0">
    <w:nsid w:val="CFD15C6C"/>
    <w:multiLevelType w:val="singleLevel"/>
    <w:tmpl w:val="CFD15C6C"/>
    <w:lvl w:ilvl="0">
      <w:numFmt w:val="bullet"/>
      <w:lvlText w:val="•"/>
      <w:lvlJc w:val="left"/>
      <w:rPr>
        <w:color w:val="3370FF"/>
      </w:rPr>
    </w:lvl>
  </w:abstractNum>
  <w:abstractNum w:abstractNumId="21" w15:restartNumberingAfterBreak="0">
    <w:nsid w:val="CFFFAF7A"/>
    <w:multiLevelType w:val="singleLevel"/>
    <w:tmpl w:val="CFFFAF7A"/>
    <w:lvl w:ilvl="0">
      <w:numFmt w:val="bullet"/>
      <w:lvlText w:val="•"/>
      <w:lvlJc w:val="left"/>
      <w:rPr>
        <w:color w:val="3370FF"/>
      </w:rPr>
    </w:lvl>
  </w:abstractNum>
  <w:abstractNum w:abstractNumId="22" w15:restartNumberingAfterBreak="0">
    <w:nsid w:val="D61EB1C9"/>
    <w:multiLevelType w:val="singleLevel"/>
    <w:tmpl w:val="D61EB1C9"/>
    <w:lvl w:ilvl="0">
      <w:numFmt w:val="bullet"/>
      <w:lvlText w:val="•"/>
      <w:lvlJc w:val="left"/>
      <w:rPr>
        <w:color w:val="3370FF"/>
      </w:rPr>
    </w:lvl>
  </w:abstractNum>
  <w:abstractNum w:abstractNumId="23" w15:restartNumberingAfterBreak="0">
    <w:nsid w:val="D76F93A8"/>
    <w:multiLevelType w:val="singleLevel"/>
    <w:tmpl w:val="D76F93A8"/>
    <w:lvl w:ilvl="0">
      <w:start w:val="2"/>
      <w:numFmt w:val="decimal"/>
      <w:lvlText w:val="%1."/>
      <w:lvlJc w:val="left"/>
      <w:rPr>
        <w:color w:val="3370FF"/>
      </w:rPr>
    </w:lvl>
  </w:abstractNum>
  <w:abstractNum w:abstractNumId="24" w15:restartNumberingAfterBreak="0">
    <w:nsid w:val="D7D690E2"/>
    <w:multiLevelType w:val="singleLevel"/>
    <w:tmpl w:val="D7D690E2"/>
    <w:lvl w:ilvl="0">
      <w:start w:val="4"/>
      <w:numFmt w:val="decimal"/>
      <w:lvlText w:val="%1."/>
      <w:lvlJc w:val="left"/>
      <w:rPr>
        <w:color w:val="3370FF"/>
      </w:rPr>
    </w:lvl>
  </w:abstractNum>
  <w:abstractNum w:abstractNumId="25" w15:restartNumberingAfterBreak="0">
    <w:nsid w:val="D7EB225A"/>
    <w:multiLevelType w:val="singleLevel"/>
    <w:tmpl w:val="D7EB225A"/>
    <w:lvl w:ilvl="0">
      <w:start w:val="1"/>
      <w:numFmt w:val="decimal"/>
      <w:lvlText w:val="%1."/>
      <w:lvlJc w:val="left"/>
      <w:rPr>
        <w:color w:val="3370FF"/>
      </w:rPr>
    </w:lvl>
  </w:abstractNum>
  <w:abstractNum w:abstractNumId="26" w15:restartNumberingAfterBreak="0">
    <w:nsid w:val="D7FA0237"/>
    <w:multiLevelType w:val="singleLevel"/>
    <w:tmpl w:val="D7FA0237"/>
    <w:lvl w:ilvl="0">
      <w:numFmt w:val="bullet"/>
      <w:lvlText w:val="•"/>
      <w:lvlJc w:val="left"/>
      <w:rPr>
        <w:color w:val="3370FF"/>
      </w:rPr>
    </w:lvl>
  </w:abstractNum>
  <w:abstractNum w:abstractNumId="27" w15:restartNumberingAfterBreak="0">
    <w:nsid w:val="D7FEB151"/>
    <w:multiLevelType w:val="singleLevel"/>
    <w:tmpl w:val="D7FEB151"/>
    <w:lvl w:ilvl="0">
      <w:numFmt w:val="bullet"/>
      <w:lvlText w:val="•"/>
      <w:lvlJc w:val="left"/>
      <w:rPr>
        <w:color w:val="3370FF"/>
      </w:rPr>
    </w:lvl>
  </w:abstractNum>
  <w:abstractNum w:abstractNumId="28" w15:restartNumberingAfterBreak="0">
    <w:nsid w:val="D7FF2352"/>
    <w:multiLevelType w:val="singleLevel"/>
    <w:tmpl w:val="D7FF2352"/>
    <w:lvl w:ilvl="0">
      <w:start w:val="3"/>
      <w:numFmt w:val="decimal"/>
      <w:lvlText w:val="%1."/>
      <w:lvlJc w:val="left"/>
      <w:rPr>
        <w:color w:val="3370FF"/>
      </w:rPr>
    </w:lvl>
  </w:abstractNum>
  <w:abstractNum w:abstractNumId="29" w15:restartNumberingAfterBreak="0">
    <w:nsid w:val="D9ECCF73"/>
    <w:multiLevelType w:val="singleLevel"/>
    <w:tmpl w:val="D9ECCF73"/>
    <w:lvl w:ilvl="0">
      <w:numFmt w:val="bullet"/>
      <w:lvlText w:val="•"/>
      <w:lvlJc w:val="left"/>
      <w:rPr>
        <w:color w:val="3370FF"/>
      </w:rPr>
    </w:lvl>
  </w:abstractNum>
  <w:abstractNum w:abstractNumId="30" w15:restartNumberingAfterBreak="0">
    <w:nsid w:val="D9F31418"/>
    <w:multiLevelType w:val="singleLevel"/>
    <w:tmpl w:val="D9F31418"/>
    <w:lvl w:ilvl="0">
      <w:start w:val="4"/>
      <w:numFmt w:val="decimal"/>
      <w:lvlText w:val="%1."/>
      <w:lvlJc w:val="left"/>
      <w:rPr>
        <w:color w:val="3370FF"/>
      </w:rPr>
    </w:lvl>
  </w:abstractNum>
  <w:abstractNum w:abstractNumId="31" w15:restartNumberingAfterBreak="0">
    <w:nsid w:val="D9FE6F8A"/>
    <w:multiLevelType w:val="singleLevel"/>
    <w:tmpl w:val="D9FE6F8A"/>
    <w:lvl w:ilvl="0">
      <w:numFmt w:val="bullet"/>
      <w:lvlText w:val="•"/>
      <w:lvlJc w:val="left"/>
      <w:rPr>
        <w:color w:val="3370FF"/>
      </w:rPr>
    </w:lvl>
  </w:abstractNum>
  <w:abstractNum w:abstractNumId="32" w15:restartNumberingAfterBreak="0">
    <w:nsid w:val="DBEF9133"/>
    <w:multiLevelType w:val="singleLevel"/>
    <w:tmpl w:val="DBEF9133"/>
    <w:lvl w:ilvl="0">
      <w:start w:val="4"/>
      <w:numFmt w:val="decimal"/>
      <w:lvlText w:val="%1."/>
      <w:lvlJc w:val="left"/>
      <w:rPr>
        <w:color w:val="3370FF"/>
      </w:rPr>
    </w:lvl>
  </w:abstractNum>
  <w:abstractNum w:abstractNumId="33" w15:restartNumberingAfterBreak="0">
    <w:nsid w:val="DF1FACBE"/>
    <w:multiLevelType w:val="singleLevel"/>
    <w:tmpl w:val="DF1FACBE"/>
    <w:lvl w:ilvl="0">
      <w:numFmt w:val="bullet"/>
      <w:lvlText w:val="•"/>
      <w:lvlJc w:val="left"/>
      <w:rPr>
        <w:color w:val="3370FF"/>
      </w:rPr>
    </w:lvl>
  </w:abstractNum>
  <w:abstractNum w:abstractNumId="34" w15:restartNumberingAfterBreak="0">
    <w:nsid w:val="DF5F4B10"/>
    <w:multiLevelType w:val="singleLevel"/>
    <w:tmpl w:val="DF5F4B10"/>
    <w:lvl w:ilvl="0">
      <w:numFmt w:val="bullet"/>
      <w:lvlText w:val="•"/>
      <w:lvlJc w:val="left"/>
      <w:rPr>
        <w:color w:val="3370FF"/>
      </w:rPr>
    </w:lvl>
  </w:abstractNum>
  <w:abstractNum w:abstractNumId="35" w15:restartNumberingAfterBreak="0">
    <w:nsid w:val="DFFE3E82"/>
    <w:multiLevelType w:val="singleLevel"/>
    <w:tmpl w:val="DFFE3E82"/>
    <w:lvl w:ilvl="0">
      <w:start w:val="2"/>
      <w:numFmt w:val="decimal"/>
      <w:lvlText w:val="%1."/>
      <w:lvlJc w:val="left"/>
      <w:rPr>
        <w:color w:val="3370FF"/>
      </w:rPr>
    </w:lvl>
  </w:abstractNum>
  <w:abstractNum w:abstractNumId="36" w15:restartNumberingAfterBreak="0">
    <w:nsid w:val="E5DFB79E"/>
    <w:multiLevelType w:val="singleLevel"/>
    <w:tmpl w:val="E5DFB79E"/>
    <w:lvl w:ilvl="0">
      <w:numFmt w:val="bullet"/>
      <w:lvlText w:val="￮"/>
      <w:lvlJc w:val="left"/>
      <w:rPr>
        <w:color w:val="3370FF"/>
      </w:rPr>
    </w:lvl>
  </w:abstractNum>
  <w:abstractNum w:abstractNumId="37" w15:restartNumberingAfterBreak="0">
    <w:nsid w:val="E76D9D46"/>
    <w:multiLevelType w:val="singleLevel"/>
    <w:tmpl w:val="E76D9D46"/>
    <w:lvl w:ilvl="0">
      <w:start w:val="1"/>
      <w:numFmt w:val="decimal"/>
      <w:lvlText w:val="%1."/>
      <w:lvlJc w:val="left"/>
      <w:rPr>
        <w:color w:val="3370FF"/>
      </w:rPr>
    </w:lvl>
  </w:abstractNum>
  <w:abstractNum w:abstractNumId="38" w15:restartNumberingAfterBreak="0">
    <w:nsid w:val="EB7E7CF2"/>
    <w:multiLevelType w:val="singleLevel"/>
    <w:tmpl w:val="EB7E7CF2"/>
    <w:lvl w:ilvl="0">
      <w:numFmt w:val="bullet"/>
      <w:lvlText w:val="•"/>
      <w:lvlJc w:val="left"/>
      <w:rPr>
        <w:color w:val="3370FF"/>
      </w:rPr>
    </w:lvl>
  </w:abstractNum>
  <w:abstractNum w:abstractNumId="39" w15:restartNumberingAfterBreak="0">
    <w:nsid w:val="EC492095"/>
    <w:multiLevelType w:val="singleLevel"/>
    <w:tmpl w:val="EC492095"/>
    <w:lvl w:ilvl="0">
      <w:numFmt w:val="bullet"/>
      <w:lvlText w:val="•"/>
      <w:lvlJc w:val="left"/>
      <w:rPr>
        <w:color w:val="3370FF"/>
      </w:rPr>
    </w:lvl>
  </w:abstractNum>
  <w:abstractNum w:abstractNumId="40" w15:restartNumberingAfterBreak="0">
    <w:nsid w:val="ED6D8A85"/>
    <w:multiLevelType w:val="singleLevel"/>
    <w:tmpl w:val="ED6D8A85"/>
    <w:lvl w:ilvl="0">
      <w:numFmt w:val="bullet"/>
      <w:lvlText w:val="•"/>
      <w:lvlJc w:val="left"/>
      <w:rPr>
        <w:color w:val="3370FF"/>
      </w:rPr>
    </w:lvl>
  </w:abstractNum>
  <w:abstractNum w:abstractNumId="41" w15:restartNumberingAfterBreak="0">
    <w:nsid w:val="EE74B818"/>
    <w:multiLevelType w:val="singleLevel"/>
    <w:tmpl w:val="EE74B818"/>
    <w:lvl w:ilvl="0">
      <w:numFmt w:val="bullet"/>
      <w:lvlText w:val="•"/>
      <w:lvlJc w:val="left"/>
      <w:rPr>
        <w:color w:val="3370FF"/>
      </w:rPr>
    </w:lvl>
  </w:abstractNum>
  <w:abstractNum w:abstractNumId="42" w15:restartNumberingAfterBreak="0">
    <w:nsid w:val="EE9E3BDA"/>
    <w:multiLevelType w:val="singleLevel"/>
    <w:tmpl w:val="EE9E3BDA"/>
    <w:lvl w:ilvl="0">
      <w:start w:val="2"/>
      <w:numFmt w:val="decimal"/>
      <w:lvlText w:val="%1."/>
      <w:lvlJc w:val="left"/>
      <w:rPr>
        <w:color w:val="3370FF"/>
      </w:rPr>
    </w:lvl>
  </w:abstractNum>
  <w:abstractNum w:abstractNumId="43" w15:restartNumberingAfterBreak="0">
    <w:nsid w:val="EF6C53C3"/>
    <w:multiLevelType w:val="singleLevel"/>
    <w:tmpl w:val="EF6C53C3"/>
    <w:lvl w:ilvl="0">
      <w:start w:val="1"/>
      <w:numFmt w:val="decimal"/>
      <w:lvlText w:val="%1."/>
      <w:lvlJc w:val="left"/>
      <w:rPr>
        <w:color w:val="3370FF"/>
      </w:rPr>
    </w:lvl>
  </w:abstractNum>
  <w:abstractNum w:abstractNumId="44" w15:restartNumberingAfterBreak="0">
    <w:nsid w:val="EF7E5847"/>
    <w:multiLevelType w:val="singleLevel"/>
    <w:tmpl w:val="EF7E5847"/>
    <w:lvl w:ilvl="0">
      <w:numFmt w:val="bullet"/>
      <w:lvlText w:val="•"/>
      <w:lvlJc w:val="left"/>
      <w:rPr>
        <w:color w:val="3370FF"/>
      </w:rPr>
    </w:lvl>
  </w:abstractNum>
  <w:abstractNum w:abstractNumId="45" w15:restartNumberingAfterBreak="0">
    <w:nsid w:val="EFCE7427"/>
    <w:multiLevelType w:val="singleLevel"/>
    <w:tmpl w:val="EFCE7427"/>
    <w:lvl w:ilvl="0">
      <w:numFmt w:val="bullet"/>
      <w:lvlText w:val="•"/>
      <w:lvlJc w:val="left"/>
      <w:rPr>
        <w:color w:val="3370FF"/>
      </w:rPr>
    </w:lvl>
  </w:abstractNum>
  <w:abstractNum w:abstractNumId="46" w15:restartNumberingAfterBreak="0">
    <w:nsid w:val="EFD0695C"/>
    <w:multiLevelType w:val="singleLevel"/>
    <w:tmpl w:val="EFD0695C"/>
    <w:lvl w:ilvl="0">
      <w:start w:val="1"/>
      <w:numFmt w:val="decimal"/>
      <w:lvlText w:val="%1."/>
      <w:lvlJc w:val="left"/>
      <w:rPr>
        <w:color w:val="3370FF"/>
      </w:rPr>
    </w:lvl>
  </w:abstractNum>
  <w:abstractNum w:abstractNumId="47" w15:restartNumberingAfterBreak="0">
    <w:nsid w:val="EFEF6D6A"/>
    <w:multiLevelType w:val="singleLevel"/>
    <w:tmpl w:val="EFEF6D6A"/>
    <w:lvl w:ilvl="0">
      <w:numFmt w:val="bullet"/>
      <w:lvlText w:val="￮"/>
      <w:lvlJc w:val="left"/>
      <w:rPr>
        <w:color w:val="3370FF"/>
      </w:rPr>
    </w:lvl>
  </w:abstractNum>
  <w:abstractNum w:abstractNumId="48" w15:restartNumberingAfterBreak="0">
    <w:nsid w:val="F3A6B92F"/>
    <w:multiLevelType w:val="singleLevel"/>
    <w:tmpl w:val="F3A6B92F"/>
    <w:lvl w:ilvl="0">
      <w:numFmt w:val="bullet"/>
      <w:lvlText w:val="•"/>
      <w:lvlJc w:val="left"/>
      <w:rPr>
        <w:color w:val="3370FF"/>
      </w:rPr>
    </w:lvl>
  </w:abstractNum>
  <w:abstractNum w:abstractNumId="49" w15:restartNumberingAfterBreak="0">
    <w:nsid w:val="F5C61460"/>
    <w:multiLevelType w:val="singleLevel"/>
    <w:tmpl w:val="F5C61460"/>
    <w:lvl w:ilvl="0">
      <w:numFmt w:val="bullet"/>
      <w:lvlText w:val="•"/>
      <w:lvlJc w:val="left"/>
      <w:rPr>
        <w:color w:val="3370FF"/>
      </w:rPr>
    </w:lvl>
  </w:abstractNum>
  <w:abstractNum w:abstractNumId="50" w15:restartNumberingAfterBreak="0">
    <w:nsid w:val="F5F10A75"/>
    <w:multiLevelType w:val="singleLevel"/>
    <w:tmpl w:val="F5F10A75"/>
    <w:lvl w:ilvl="0">
      <w:start w:val="2"/>
      <w:numFmt w:val="decimal"/>
      <w:lvlText w:val="%1."/>
      <w:lvlJc w:val="left"/>
      <w:rPr>
        <w:color w:val="3370FF"/>
      </w:rPr>
    </w:lvl>
  </w:abstractNum>
  <w:abstractNum w:abstractNumId="51" w15:restartNumberingAfterBreak="0">
    <w:nsid w:val="F73781BF"/>
    <w:multiLevelType w:val="singleLevel"/>
    <w:tmpl w:val="F73781BF"/>
    <w:lvl w:ilvl="0">
      <w:numFmt w:val="bullet"/>
      <w:lvlText w:val="•"/>
      <w:lvlJc w:val="left"/>
      <w:rPr>
        <w:color w:val="3370FF"/>
      </w:rPr>
    </w:lvl>
  </w:abstractNum>
  <w:abstractNum w:abstractNumId="52" w15:restartNumberingAfterBreak="0">
    <w:nsid w:val="F9FAD7D2"/>
    <w:multiLevelType w:val="singleLevel"/>
    <w:tmpl w:val="F9FAD7D2"/>
    <w:lvl w:ilvl="0">
      <w:numFmt w:val="bullet"/>
      <w:lvlText w:val="￮"/>
      <w:lvlJc w:val="left"/>
      <w:rPr>
        <w:color w:val="3370FF"/>
      </w:rPr>
    </w:lvl>
  </w:abstractNum>
  <w:abstractNum w:abstractNumId="53" w15:restartNumberingAfterBreak="0">
    <w:nsid w:val="FB7DD1D7"/>
    <w:multiLevelType w:val="singleLevel"/>
    <w:tmpl w:val="FB7DD1D7"/>
    <w:lvl w:ilvl="0">
      <w:numFmt w:val="bullet"/>
      <w:lvlText w:val="•"/>
      <w:lvlJc w:val="left"/>
      <w:rPr>
        <w:color w:val="3370FF"/>
      </w:rPr>
    </w:lvl>
  </w:abstractNum>
  <w:abstractNum w:abstractNumId="54" w15:restartNumberingAfterBreak="0">
    <w:nsid w:val="FBAF4354"/>
    <w:multiLevelType w:val="singleLevel"/>
    <w:tmpl w:val="FBAF4354"/>
    <w:lvl w:ilvl="0">
      <w:start w:val="3"/>
      <w:numFmt w:val="decimal"/>
      <w:lvlText w:val="%1."/>
      <w:lvlJc w:val="left"/>
      <w:rPr>
        <w:color w:val="3370FF"/>
      </w:rPr>
    </w:lvl>
  </w:abstractNum>
  <w:abstractNum w:abstractNumId="55" w15:restartNumberingAfterBreak="0">
    <w:nsid w:val="FBFF0C4D"/>
    <w:multiLevelType w:val="singleLevel"/>
    <w:tmpl w:val="FBFF0C4D"/>
    <w:lvl w:ilvl="0">
      <w:numFmt w:val="bullet"/>
      <w:lvlText w:val="•"/>
      <w:lvlJc w:val="left"/>
      <w:rPr>
        <w:color w:val="3370FF"/>
      </w:rPr>
    </w:lvl>
  </w:abstractNum>
  <w:abstractNum w:abstractNumId="56" w15:restartNumberingAfterBreak="0">
    <w:nsid w:val="FC3FDC37"/>
    <w:multiLevelType w:val="singleLevel"/>
    <w:tmpl w:val="FC3FDC37"/>
    <w:lvl w:ilvl="0">
      <w:start w:val="2"/>
      <w:numFmt w:val="decimal"/>
      <w:lvlText w:val="%1."/>
      <w:lvlJc w:val="left"/>
      <w:rPr>
        <w:color w:val="3370FF"/>
      </w:rPr>
    </w:lvl>
  </w:abstractNum>
  <w:abstractNum w:abstractNumId="57" w15:restartNumberingAfterBreak="0">
    <w:nsid w:val="FCE7413B"/>
    <w:multiLevelType w:val="singleLevel"/>
    <w:tmpl w:val="FCE7413B"/>
    <w:lvl w:ilvl="0">
      <w:numFmt w:val="bullet"/>
      <w:lvlText w:val="•"/>
      <w:lvlJc w:val="left"/>
      <w:rPr>
        <w:color w:val="3370FF"/>
      </w:rPr>
    </w:lvl>
  </w:abstractNum>
  <w:abstractNum w:abstractNumId="58" w15:restartNumberingAfterBreak="0">
    <w:nsid w:val="FD2C4111"/>
    <w:multiLevelType w:val="singleLevel"/>
    <w:tmpl w:val="FD2C4111"/>
    <w:lvl w:ilvl="0">
      <w:numFmt w:val="bullet"/>
      <w:lvlText w:val="•"/>
      <w:lvlJc w:val="left"/>
      <w:rPr>
        <w:color w:val="3370FF"/>
      </w:rPr>
    </w:lvl>
  </w:abstractNum>
  <w:abstractNum w:abstractNumId="59" w15:restartNumberingAfterBreak="0">
    <w:nsid w:val="FD320E48"/>
    <w:multiLevelType w:val="singleLevel"/>
    <w:tmpl w:val="FD320E48"/>
    <w:lvl w:ilvl="0">
      <w:start w:val="2"/>
      <w:numFmt w:val="decimal"/>
      <w:lvlText w:val="%1."/>
      <w:lvlJc w:val="left"/>
      <w:rPr>
        <w:color w:val="3370FF"/>
      </w:rPr>
    </w:lvl>
  </w:abstractNum>
  <w:abstractNum w:abstractNumId="60" w15:restartNumberingAfterBreak="0">
    <w:nsid w:val="FD7B5ED1"/>
    <w:multiLevelType w:val="singleLevel"/>
    <w:tmpl w:val="FD7B5ED1"/>
    <w:lvl w:ilvl="0">
      <w:start w:val="3"/>
      <w:numFmt w:val="decimal"/>
      <w:lvlText w:val="%1."/>
      <w:lvlJc w:val="left"/>
      <w:rPr>
        <w:color w:val="3370FF"/>
      </w:rPr>
    </w:lvl>
  </w:abstractNum>
  <w:abstractNum w:abstractNumId="61" w15:restartNumberingAfterBreak="0">
    <w:nsid w:val="FDDDBB16"/>
    <w:multiLevelType w:val="singleLevel"/>
    <w:tmpl w:val="FDDDBB16"/>
    <w:lvl w:ilvl="0">
      <w:numFmt w:val="bullet"/>
      <w:lvlText w:val="•"/>
      <w:lvlJc w:val="left"/>
      <w:rPr>
        <w:color w:val="3370FF"/>
      </w:rPr>
    </w:lvl>
  </w:abstractNum>
  <w:abstractNum w:abstractNumId="62" w15:restartNumberingAfterBreak="0">
    <w:nsid w:val="FDDFE542"/>
    <w:multiLevelType w:val="singleLevel"/>
    <w:tmpl w:val="FDDFE542"/>
    <w:lvl w:ilvl="0">
      <w:numFmt w:val="bullet"/>
      <w:lvlText w:val="•"/>
      <w:lvlJc w:val="left"/>
      <w:rPr>
        <w:color w:val="3370FF"/>
      </w:rPr>
    </w:lvl>
  </w:abstractNum>
  <w:abstractNum w:abstractNumId="63" w15:restartNumberingAfterBreak="0">
    <w:nsid w:val="FEBE4A0C"/>
    <w:multiLevelType w:val="singleLevel"/>
    <w:tmpl w:val="FEBE4A0C"/>
    <w:lvl w:ilvl="0">
      <w:numFmt w:val="bullet"/>
      <w:lvlText w:val="•"/>
      <w:lvlJc w:val="left"/>
      <w:rPr>
        <w:color w:val="3370FF"/>
      </w:rPr>
    </w:lvl>
  </w:abstractNum>
  <w:abstractNum w:abstractNumId="64" w15:restartNumberingAfterBreak="0">
    <w:nsid w:val="FEC63375"/>
    <w:multiLevelType w:val="singleLevel"/>
    <w:tmpl w:val="FEC63375"/>
    <w:lvl w:ilvl="0">
      <w:start w:val="3"/>
      <w:numFmt w:val="decimal"/>
      <w:lvlText w:val="%1."/>
      <w:lvlJc w:val="left"/>
      <w:rPr>
        <w:color w:val="3370FF"/>
      </w:rPr>
    </w:lvl>
  </w:abstractNum>
  <w:abstractNum w:abstractNumId="65" w15:restartNumberingAfterBreak="0">
    <w:nsid w:val="FECF42C1"/>
    <w:multiLevelType w:val="singleLevel"/>
    <w:tmpl w:val="FECF42C1"/>
    <w:lvl w:ilvl="0">
      <w:numFmt w:val="bullet"/>
      <w:lvlText w:val="•"/>
      <w:lvlJc w:val="left"/>
      <w:rPr>
        <w:color w:val="3370FF"/>
      </w:rPr>
    </w:lvl>
  </w:abstractNum>
  <w:abstractNum w:abstractNumId="66" w15:restartNumberingAfterBreak="0">
    <w:nsid w:val="FEF688A1"/>
    <w:multiLevelType w:val="singleLevel"/>
    <w:tmpl w:val="FEF688A1"/>
    <w:lvl w:ilvl="0">
      <w:start w:val="3"/>
      <w:numFmt w:val="decimal"/>
      <w:lvlText w:val="%1."/>
      <w:lvlJc w:val="left"/>
      <w:rPr>
        <w:color w:val="3370FF"/>
      </w:rPr>
    </w:lvl>
  </w:abstractNum>
  <w:abstractNum w:abstractNumId="67" w15:restartNumberingAfterBreak="0">
    <w:nsid w:val="FF121D7F"/>
    <w:multiLevelType w:val="singleLevel"/>
    <w:tmpl w:val="FF121D7F"/>
    <w:lvl w:ilvl="0">
      <w:start w:val="1"/>
      <w:numFmt w:val="decimal"/>
      <w:lvlText w:val="%1."/>
      <w:lvlJc w:val="left"/>
      <w:rPr>
        <w:color w:val="3370FF"/>
      </w:rPr>
    </w:lvl>
  </w:abstractNum>
  <w:abstractNum w:abstractNumId="68" w15:restartNumberingAfterBreak="0">
    <w:nsid w:val="FF47F959"/>
    <w:multiLevelType w:val="singleLevel"/>
    <w:tmpl w:val="FF47F959"/>
    <w:lvl w:ilvl="0">
      <w:numFmt w:val="bullet"/>
      <w:lvlText w:val="•"/>
      <w:lvlJc w:val="left"/>
      <w:rPr>
        <w:color w:val="3370FF"/>
      </w:rPr>
    </w:lvl>
  </w:abstractNum>
  <w:abstractNum w:abstractNumId="69" w15:restartNumberingAfterBreak="0">
    <w:nsid w:val="FF5F59A6"/>
    <w:multiLevelType w:val="singleLevel"/>
    <w:tmpl w:val="FF5F59A6"/>
    <w:lvl w:ilvl="0">
      <w:start w:val="2"/>
      <w:numFmt w:val="decimal"/>
      <w:lvlText w:val="%1."/>
      <w:lvlJc w:val="left"/>
      <w:rPr>
        <w:color w:val="3370FF"/>
      </w:rPr>
    </w:lvl>
  </w:abstractNum>
  <w:abstractNum w:abstractNumId="70" w15:restartNumberingAfterBreak="0">
    <w:nsid w:val="FF7E4C4D"/>
    <w:multiLevelType w:val="singleLevel"/>
    <w:tmpl w:val="FF7E4C4D"/>
    <w:lvl w:ilvl="0">
      <w:numFmt w:val="bullet"/>
      <w:lvlText w:val="•"/>
      <w:lvlJc w:val="left"/>
      <w:rPr>
        <w:color w:val="3370FF"/>
      </w:rPr>
    </w:lvl>
  </w:abstractNum>
  <w:abstractNum w:abstractNumId="71" w15:restartNumberingAfterBreak="0">
    <w:nsid w:val="FF7F1AB4"/>
    <w:multiLevelType w:val="singleLevel"/>
    <w:tmpl w:val="FF7F1AB4"/>
    <w:lvl w:ilvl="0">
      <w:numFmt w:val="bullet"/>
      <w:lvlText w:val="•"/>
      <w:lvlJc w:val="left"/>
      <w:rPr>
        <w:color w:val="3370FF"/>
      </w:rPr>
    </w:lvl>
  </w:abstractNum>
  <w:abstractNum w:abstractNumId="72" w15:restartNumberingAfterBreak="0">
    <w:nsid w:val="FF7F1F33"/>
    <w:multiLevelType w:val="singleLevel"/>
    <w:tmpl w:val="FF7F1F33"/>
    <w:lvl w:ilvl="0">
      <w:start w:val="1"/>
      <w:numFmt w:val="decimal"/>
      <w:lvlText w:val="%1."/>
      <w:lvlJc w:val="left"/>
      <w:rPr>
        <w:color w:val="3370FF"/>
      </w:rPr>
    </w:lvl>
  </w:abstractNum>
  <w:abstractNum w:abstractNumId="73" w15:restartNumberingAfterBreak="0">
    <w:nsid w:val="FF7FF50C"/>
    <w:multiLevelType w:val="singleLevel"/>
    <w:tmpl w:val="FF7FF50C"/>
    <w:lvl w:ilvl="0">
      <w:numFmt w:val="bullet"/>
      <w:lvlText w:val="•"/>
      <w:lvlJc w:val="left"/>
      <w:rPr>
        <w:color w:val="3370FF"/>
      </w:rPr>
    </w:lvl>
  </w:abstractNum>
  <w:abstractNum w:abstractNumId="74" w15:restartNumberingAfterBreak="0">
    <w:nsid w:val="FFBE157F"/>
    <w:multiLevelType w:val="singleLevel"/>
    <w:tmpl w:val="FFBE157F"/>
    <w:lvl w:ilvl="0">
      <w:start w:val="1"/>
      <w:numFmt w:val="decimal"/>
      <w:lvlText w:val="%1."/>
      <w:lvlJc w:val="left"/>
      <w:rPr>
        <w:color w:val="3370FF"/>
      </w:rPr>
    </w:lvl>
  </w:abstractNum>
  <w:abstractNum w:abstractNumId="75" w15:restartNumberingAfterBreak="0">
    <w:nsid w:val="FFD61B79"/>
    <w:multiLevelType w:val="singleLevel"/>
    <w:tmpl w:val="FFD61B79"/>
    <w:lvl w:ilvl="0">
      <w:numFmt w:val="bullet"/>
      <w:lvlText w:val="•"/>
      <w:lvlJc w:val="left"/>
      <w:rPr>
        <w:color w:val="3370FF"/>
      </w:rPr>
    </w:lvl>
  </w:abstractNum>
  <w:abstractNum w:abstractNumId="76" w15:restartNumberingAfterBreak="0">
    <w:nsid w:val="FFF503A2"/>
    <w:multiLevelType w:val="singleLevel"/>
    <w:tmpl w:val="FFF503A2"/>
    <w:lvl w:ilvl="0">
      <w:numFmt w:val="bullet"/>
      <w:lvlText w:val="•"/>
      <w:lvlJc w:val="left"/>
      <w:rPr>
        <w:color w:val="3370FF"/>
      </w:rPr>
    </w:lvl>
  </w:abstractNum>
  <w:abstractNum w:abstractNumId="77" w15:restartNumberingAfterBreak="0">
    <w:nsid w:val="FFFE9877"/>
    <w:multiLevelType w:val="singleLevel"/>
    <w:tmpl w:val="FFFE9877"/>
    <w:lvl w:ilvl="0">
      <w:numFmt w:val="bullet"/>
      <w:lvlText w:val="•"/>
      <w:lvlJc w:val="left"/>
      <w:rPr>
        <w:color w:val="3370FF"/>
      </w:rPr>
    </w:lvl>
  </w:abstractNum>
  <w:abstractNum w:abstractNumId="78" w15:restartNumberingAfterBreak="0">
    <w:nsid w:val="1F3D53E0"/>
    <w:multiLevelType w:val="singleLevel"/>
    <w:tmpl w:val="1F3D53E0"/>
    <w:lvl w:ilvl="0">
      <w:start w:val="2"/>
      <w:numFmt w:val="decimal"/>
      <w:lvlText w:val="%1."/>
      <w:lvlJc w:val="left"/>
      <w:rPr>
        <w:color w:val="3370FF"/>
      </w:rPr>
    </w:lvl>
  </w:abstractNum>
  <w:abstractNum w:abstractNumId="79" w15:restartNumberingAfterBreak="0">
    <w:nsid w:val="1FEC2BF7"/>
    <w:multiLevelType w:val="singleLevel"/>
    <w:tmpl w:val="1FEC2BF7"/>
    <w:lvl w:ilvl="0">
      <w:numFmt w:val="bullet"/>
      <w:lvlText w:val="•"/>
      <w:lvlJc w:val="left"/>
      <w:rPr>
        <w:color w:val="3370FF"/>
      </w:rPr>
    </w:lvl>
  </w:abstractNum>
  <w:abstractNum w:abstractNumId="80" w15:restartNumberingAfterBreak="0">
    <w:nsid w:val="27D61A34"/>
    <w:multiLevelType w:val="singleLevel"/>
    <w:tmpl w:val="27D61A34"/>
    <w:lvl w:ilvl="0">
      <w:start w:val="4"/>
      <w:numFmt w:val="decimal"/>
      <w:lvlText w:val="%1."/>
      <w:lvlJc w:val="left"/>
      <w:rPr>
        <w:color w:val="3370FF"/>
      </w:rPr>
    </w:lvl>
  </w:abstractNum>
  <w:abstractNum w:abstractNumId="81" w15:restartNumberingAfterBreak="0">
    <w:nsid w:val="2FFFD6FA"/>
    <w:multiLevelType w:val="singleLevel"/>
    <w:tmpl w:val="2FFFD6FA"/>
    <w:lvl w:ilvl="0">
      <w:start w:val="4"/>
      <w:numFmt w:val="decimal"/>
      <w:lvlText w:val="%1."/>
      <w:lvlJc w:val="left"/>
      <w:rPr>
        <w:color w:val="3370FF"/>
      </w:rPr>
    </w:lvl>
  </w:abstractNum>
  <w:abstractNum w:abstractNumId="82" w15:restartNumberingAfterBreak="0">
    <w:nsid w:val="336E275E"/>
    <w:multiLevelType w:val="singleLevel"/>
    <w:tmpl w:val="336E275E"/>
    <w:lvl w:ilvl="0">
      <w:numFmt w:val="bullet"/>
      <w:lvlText w:val="•"/>
      <w:lvlJc w:val="left"/>
      <w:rPr>
        <w:color w:val="3370FF"/>
      </w:rPr>
    </w:lvl>
  </w:abstractNum>
  <w:abstractNum w:abstractNumId="83" w15:restartNumberingAfterBreak="0">
    <w:nsid w:val="36F278C9"/>
    <w:multiLevelType w:val="singleLevel"/>
    <w:tmpl w:val="36F278C9"/>
    <w:lvl w:ilvl="0">
      <w:numFmt w:val="bullet"/>
      <w:lvlText w:val="￮"/>
      <w:lvlJc w:val="left"/>
      <w:rPr>
        <w:color w:val="3370FF"/>
      </w:rPr>
    </w:lvl>
  </w:abstractNum>
  <w:abstractNum w:abstractNumId="84" w15:restartNumberingAfterBreak="0">
    <w:nsid w:val="39FFBEE2"/>
    <w:multiLevelType w:val="singleLevel"/>
    <w:tmpl w:val="39FFBEE2"/>
    <w:lvl w:ilvl="0">
      <w:start w:val="1"/>
      <w:numFmt w:val="decimal"/>
      <w:lvlText w:val="%1."/>
      <w:lvlJc w:val="left"/>
      <w:rPr>
        <w:color w:val="3370FF"/>
      </w:rPr>
    </w:lvl>
  </w:abstractNum>
  <w:abstractNum w:abstractNumId="85" w15:restartNumberingAfterBreak="0">
    <w:nsid w:val="3DFCCE8F"/>
    <w:multiLevelType w:val="singleLevel"/>
    <w:tmpl w:val="3DFCCE8F"/>
    <w:lvl w:ilvl="0">
      <w:start w:val="3"/>
      <w:numFmt w:val="decimal"/>
      <w:lvlText w:val="%1."/>
      <w:lvlJc w:val="left"/>
      <w:rPr>
        <w:color w:val="3370FF"/>
      </w:rPr>
    </w:lvl>
  </w:abstractNum>
  <w:abstractNum w:abstractNumId="86" w15:restartNumberingAfterBreak="0">
    <w:nsid w:val="3FAB6BD7"/>
    <w:multiLevelType w:val="singleLevel"/>
    <w:tmpl w:val="3FAB6BD7"/>
    <w:lvl w:ilvl="0">
      <w:numFmt w:val="bullet"/>
      <w:lvlText w:val="•"/>
      <w:lvlJc w:val="left"/>
      <w:rPr>
        <w:color w:val="3370FF"/>
      </w:rPr>
    </w:lvl>
  </w:abstractNum>
  <w:abstractNum w:abstractNumId="87" w15:restartNumberingAfterBreak="0">
    <w:nsid w:val="3FBE9CAD"/>
    <w:multiLevelType w:val="singleLevel"/>
    <w:tmpl w:val="3FBE9CAD"/>
    <w:lvl w:ilvl="0">
      <w:numFmt w:val="bullet"/>
      <w:lvlText w:val="•"/>
      <w:lvlJc w:val="left"/>
      <w:rPr>
        <w:color w:val="3370FF"/>
      </w:rPr>
    </w:lvl>
  </w:abstractNum>
  <w:abstractNum w:abstractNumId="88" w15:restartNumberingAfterBreak="0">
    <w:nsid w:val="3FC6D6B7"/>
    <w:multiLevelType w:val="singleLevel"/>
    <w:tmpl w:val="3FC6D6B7"/>
    <w:lvl w:ilvl="0">
      <w:numFmt w:val="bullet"/>
      <w:lvlText w:val="•"/>
      <w:lvlJc w:val="left"/>
      <w:rPr>
        <w:color w:val="3370FF"/>
      </w:rPr>
    </w:lvl>
  </w:abstractNum>
  <w:abstractNum w:abstractNumId="89" w15:restartNumberingAfterBreak="0">
    <w:nsid w:val="4DF2B5C6"/>
    <w:multiLevelType w:val="singleLevel"/>
    <w:tmpl w:val="4DF2B5C6"/>
    <w:lvl w:ilvl="0">
      <w:numFmt w:val="bullet"/>
      <w:lvlText w:val="•"/>
      <w:lvlJc w:val="left"/>
      <w:rPr>
        <w:color w:val="3370FF"/>
      </w:rPr>
    </w:lvl>
  </w:abstractNum>
  <w:abstractNum w:abstractNumId="90" w15:restartNumberingAfterBreak="0">
    <w:nsid w:val="56BFDAB0"/>
    <w:multiLevelType w:val="singleLevel"/>
    <w:tmpl w:val="56BFDAB0"/>
    <w:lvl w:ilvl="0">
      <w:start w:val="3"/>
      <w:numFmt w:val="decimal"/>
      <w:lvlText w:val="%1."/>
      <w:lvlJc w:val="left"/>
      <w:rPr>
        <w:color w:val="3370FF"/>
      </w:rPr>
    </w:lvl>
  </w:abstractNum>
  <w:abstractNum w:abstractNumId="91" w15:restartNumberingAfterBreak="0">
    <w:nsid w:val="5DFF4BA9"/>
    <w:multiLevelType w:val="singleLevel"/>
    <w:tmpl w:val="5DFF4BA9"/>
    <w:lvl w:ilvl="0">
      <w:numFmt w:val="bullet"/>
      <w:lvlText w:val="•"/>
      <w:lvlJc w:val="left"/>
      <w:rPr>
        <w:color w:val="3370FF"/>
      </w:rPr>
    </w:lvl>
  </w:abstractNum>
  <w:abstractNum w:abstractNumId="92" w15:restartNumberingAfterBreak="0">
    <w:nsid w:val="5F743023"/>
    <w:multiLevelType w:val="singleLevel"/>
    <w:tmpl w:val="5F743023"/>
    <w:lvl w:ilvl="0">
      <w:start w:val="3"/>
      <w:numFmt w:val="decimal"/>
      <w:lvlText w:val="%1."/>
      <w:lvlJc w:val="left"/>
      <w:rPr>
        <w:color w:val="3370FF"/>
      </w:rPr>
    </w:lvl>
  </w:abstractNum>
  <w:abstractNum w:abstractNumId="93" w15:restartNumberingAfterBreak="0">
    <w:nsid w:val="5FF75BBF"/>
    <w:multiLevelType w:val="singleLevel"/>
    <w:tmpl w:val="5FF75BBF"/>
    <w:lvl w:ilvl="0">
      <w:numFmt w:val="bullet"/>
      <w:lvlText w:val="•"/>
      <w:lvlJc w:val="left"/>
      <w:rPr>
        <w:color w:val="3370FF"/>
      </w:rPr>
    </w:lvl>
  </w:abstractNum>
  <w:abstractNum w:abstractNumId="94" w15:restartNumberingAfterBreak="0">
    <w:nsid w:val="63FE140F"/>
    <w:multiLevelType w:val="singleLevel"/>
    <w:tmpl w:val="63FE140F"/>
    <w:lvl w:ilvl="0">
      <w:start w:val="3"/>
      <w:numFmt w:val="decimal"/>
      <w:lvlText w:val="%1."/>
      <w:lvlJc w:val="left"/>
      <w:rPr>
        <w:color w:val="3370FF"/>
      </w:rPr>
    </w:lvl>
  </w:abstractNum>
  <w:abstractNum w:abstractNumId="95" w15:restartNumberingAfterBreak="0">
    <w:nsid w:val="69AEE054"/>
    <w:multiLevelType w:val="singleLevel"/>
    <w:tmpl w:val="69AEE054"/>
    <w:lvl w:ilvl="0">
      <w:start w:val="3"/>
      <w:numFmt w:val="decimal"/>
      <w:lvlText w:val="%1."/>
      <w:lvlJc w:val="left"/>
      <w:rPr>
        <w:color w:val="3370FF"/>
      </w:rPr>
    </w:lvl>
  </w:abstractNum>
  <w:abstractNum w:abstractNumId="96" w15:restartNumberingAfterBreak="0">
    <w:nsid w:val="69F7B143"/>
    <w:multiLevelType w:val="singleLevel"/>
    <w:tmpl w:val="69F7B143"/>
    <w:lvl w:ilvl="0">
      <w:start w:val="2"/>
      <w:numFmt w:val="decimal"/>
      <w:lvlText w:val="%1."/>
      <w:lvlJc w:val="left"/>
      <w:rPr>
        <w:color w:val="3370FF"/>
      </w:rPr>
    </w:lvl>
  </w:abstractNum>
  <w:abstractNum w:abstractNumId="97" w15:restartNumberingAfterBreak="0">
    <w:nsid w:val="6FFE53BA"/>
    <w:multiLevelType w:val="singleLevel"/>
    <w:tmpl w:val="6FFE53BA"/>
    <w:lvl w:ilvl="0">
      <w:numFmt w:val="bullet"/>
      <w:lvlText w:val="•"/>
      <w:lvlJc w:val="left"/>
      <w:rPr>
        <w:color w:val="3370FF"/>
      </w:rPr>
    </w:lvl>
  </w:abstractNum>
  <w:abstractNum w:abstractNumId="98" w15:restartNumberingAfterBreak="0">
    <w:nsid w:val="737C47C0"/>
    <w:multiLevelType w:val="singleLevel"/>
    <w:tmpl w:val="737C47C0"/>
    <w:lvl w:ilvl="0">
      <w:start w:val="1"/>
      <w:numFmt w:val="decimal"/>
      <w:lvlText w:val="%1."/>
      <w:lvlJc w:val="left"/>
      <w:rPr>
        <w:color w:val="3370FF"/>
      </w:rPr>
    </w:lvl>
  </w:abstractNum>
  <w:abstractNum w:abstractNumId="99" w15:restartNumberingAfterBreak="0">
    <w:nsid w:val="773F0957"/>
    <w:multiLevelType w:val="singleLevel"/>
    <w:tmpl w:val="773F0957"/>
    <w:lvl w:ilvl="0">
      <w:numFmt w:val="bullet"/>
      <w:lvlText w:val="•"/>
      <w:lvlJc w:val="left"/>
      <w:rPr>
        <w:color w:val="3370FF"/>
      </w:rPr>
    </w:lvl>
  </w:abstractNum>
  <w:abstractNum w:abstractNumId="100" w15:restartNumberingAfterBreak="0">
    <w:nsid w:val="778ED4C4"/>
    <w:multiLevelType w:val="singleLevel"/>
    <w:tmpl w:val="778ED4C4"/>
    <w:lvl w:ilvl="0">
      <w:numFmt w:val="bullet"/>
      <w:lvlText w:val="•"/>
      <w:lvlJc w:val="left"/>
      <w:rPr>
        <w:color w:val="3370FF"/>
      </w:rPr>
    </w:lvl>
  </w:abstractNum>
  <w:abstractNum w:abstractNumId="101" w15:restartNumberingAfterBreak="0">
    <w:nsid w:val="77B574AC"/>
    <w:multiLevelType w:val="singleLevel"/>
    <w:tmpl w:val="77B574AC"/>
    <w:lvl w:ilvl="0">
      <w:numFmt w:val="bullet"/>
      <w:lvlText w:val="•"/>
      <w:lvlJc w:val="left"/>
      <w:rPr>
        <w:color w:val="3370FF"/>
      </w:rPr>
    </w:lvl>
  </w:abstractNum>
  <w:abstractNum w:abstractNumId="102" w15:restartNumberingAfterBreak="0">
    <w:nsid w:val="77FFDF16"/>
    <w:multiLevelType w:val="singleLevel"/>
    <w:tmpl w:val="77FFDF16"/>
    <w:lvl w:ilvl="0">
      <w:numFmt w:val="bullet"/>
      <w:lvlText w:val="•"/>
      <w:lvlJc w:val="left"/>
      <w:rPr>
        <w:color w:val="3370FF"/>
      </w:rPr>
    </w:lvl>
  </w:abstractNum>
  <w:abstractNum w:abstractNumId="103" w15:restartNumberingAfterBreak="0">
    <w:nsid w:val="7BB979CA"/>
    <w:multiLevelType w:val="singleLevel"/>
    <w:tmpl w:val="7BB979CA"/>
    <w:lvl w:ilvl="0">
      <w:numFmt w:val="bullet"/>
      <w:lvlText w:val="•"/>
      <w:lvlJc w:val="left"/>
      <w:rPr>
        <w:color w:val="3370FF"/>
      </w:rPr>
    </w:lvl>
  </w:abstractNum>
  <w:abstractNum w:abstractNumId="104" w15:restartNumberingAfterBreak="0">
    <w:nsid w:val="7BC47AB9"/>
    <w:multiLevelType w:val="singleLevel"/>
    <w:tmpl w:val="7BC47AB9"/>
    <w:lvl w:ilvl="0">
      <w:numFmt w:val="bullet"/>
      <w:lvlText w:val="•"/>
      <w:lvlJc w:val="left"/>
      <w:rPr>
        <w:color w:val="3370FF"/>
      </w:rPr>
    </w:lvl>
  </w:abstractNum>
  <w:abstractNum w:abstractNumId="105" w15:restartNumberingAfterBreak="0">
    <w:nsid w:val="7BDCAF4E"/>
    <w:multiLevelType w:val="singleLevel"/>
    <w:tmpl w:val="7BDCAF4E"/>
    <w:lvl w:ilvl="0">
      <w:numFmt w:val="bullet"/>
      <w:lvlText w:val="•"/>
      <w:lvlJc w:val="left"/>
      <w:rPr>
        <w:color w:val="3370FF"/>
      </w:rPr>
    </w:lvl>
  </w:abstractNum>
  <w:abstractNum w:abstractNumId="106" w15:restartNumberingAfterBreak="0">
    <w:nsid w:val="7BFE52ED"/>
    <w:multiLevelType w:val="singleLevel"/>
    <w:tmpl w:val="7BFE52ED"/>
    <w:lvl w:ilvl="0">
      <w:numFmt w:val="bullet"/>
      <w:lvlText w:val="•"/>
      <w:lvlJc w:val="left"/>
      <w:rPr>
        <w:color w:val="3370FF"/>
      </w:rPr>
    </w:lvl>
  </w:abstractNum>
  <w:abstractNum w:abstractNumId="107" w15:restartNumberingAfterBreak="0">
    <w:nsid w:val="7D6FC5E0"/>
    <w:multiLevelType w:val="singleLevel"/>
    <w:tmpl w:val="7D6FC5E0"/>
    <w:lvl w:ilvl="0">
      <w:numFmt w:val="bullet"/>
      <w:lvlText w:val="￮"/>
      <w:lvlJc w:val="left"/>
      <w:rPr>
        <w:color w:val="3370FF"/>
      </w:rPr>
    </w:lvl>
  </w:abstractNum>
  <w:abstractNum w:abstractNumId="108" w15:restartNumberingAfterBreak="0">
    <w:nsid w:val="7EFEB08A"/>
    <w:multiLevelType w:val="singleLevel"/>
    <w:tmpl w:val="7EFEB08A"/>
    <w:lvl w:ilvl="0">
      <w:start w:val="4"/>
      <w:numFmt w:val="decimal"/>
      <w:lvlText w:val="%1."/>
      <w:lvlJc w:val="left"/>
      <w:rPr>
        <w:color w:val="3370FF"/>
      </w:rPr>
    </w:lvl>
  </w:abstractNum>
  <w:abstractNum w:abstractNumId="109" w15:restartNumberingAfterBreak="0">
    <w:nsid w:val="7FBEF07E"/>
    <w:multiLevelType w:val="singleLevel"/>
    <w:tmpl w:val="7FBEF07E"/>
    <w:lvl w:ilvl="0">
      <w:numFmt w:val="bullet"/>
      <w:lvlText w:val="•"/>
      <w:lvlJc w:val="left"/>
      <w:rPr>
        <w:color w:val="3370FF"/>
      </w:rPr>
    </w:lvl>
  </w:abstractNum>
  <w:num w:numId="1" w16cid:durableId="1743063413">
    <w:abstractNumId w:val="46"/>
  </w:num>
  <w:num w:numId="2" w16cid:durableId="1842969852">
    <w:abstractNumId w:val="10"/>
  </w:num>
  <w:num w:numId="3" w16cid:durableId="1887912478">
    <w:abstractNumId w:val="55"/>
  </w:num>
  <w:num w:numId="4" w16cid:durableId="1245601260">
    <w:abstractNumId w:val="105"/>
  </w:num>
  <w:num w:numId="5" w16cid:durableId="994645893">
    <w:abstractNumId w:val="50"/>
  </w:num>
  <w:num w:numId="6" w16cid:durableId="315190318">
    <w:abstractNumId w:val="61"/>
  </w:num>
  <w:num w:numId="7" w16cid:durableId="2015723403">
    <w:abstractNumId w:val="38"/>
  </w:num>
  <w:num w:numId="8" w16cid:durableId="1972977102">
    <w:abstractNumId w:val="92"/>
  </w:num>
  <w:num w:numId="9" w16cid:durableId="645286309">
    <w:abstractNumId w:val="75"/>
  </w:num>
  <w:num w:numId="10" w16cid:durableId="1702589223">
    <w:abstractNumId w:val="21"/>
  </w:num>
  <w:num w:numId="11" w16cid:durableId="1897542117">
    <w:abstractNumId w:val="101"/>
  </w:num>
  <w:num w:numId="12" w16cid:durableId="852573391">
    <w:abstractNumId w:val="58"/>
  </w:num>
  <w:num w:numId="13" w16cid:durableId="812671915">
    <w:abstractNumId w:val="26"/>
  </w:num>
  <w:num w:numId="14" w16cid:durableId="364141785">
    <w:abstractNumId w:val="14"/>
  </w:num>
  <w:num w:numId="15" w16cid:durableId="770396082">
    <w:abstractNumId w:val="11"/>
  </w:num>
  <w:num w:numId="16" w16cid:durableId="1295452285">
    <w:abstractNumId w:val="5"/>
  </w:num>
  <w:num w:numId="17" w16cid:durableId="613907103">
    <w:abstractNumId w:val="90"/>
  </w:num>
  <w:num w:numId="18" w16cid:durableId="1080835292">
    <w:abstractNumId w:val="57"/>
  </w:num>
  <w:num w:numId="19" w16cid:durableId="632096247">
    <w:abstractNumId w:val="31"/>
  </w:num>
  <w:num w:numId="20" w16cid:durableId="990447662">
    <w:abstractNumId w:val="77"/>
  </w:num>
  <w:num w:numId="21" w16cid:durableId="212625200">
    <w:abstractNumId w:val="86"/>
  </w:num>
  <w:num w:numId="22" w16cid:durableId="1701709801">
    <w:abstractNumId w:val="8"/>
  </w:num>
  <w:num w:numId="23" w16cid:durableId="512496442">
    <w:abstractNumId w:val="82"/>
  </w:num>
  <w:num w:numId="24" w16cid:durableId="1825975932">
    <w:abstractNumId w:val="25"/>
  </w:num>
  <w:num w:numId="25" w16cid:durableId="1337077445">
    <w:abstractNumId w:val="76"/>
  </w:num>
  <w:num w:numId="26" w16cid:durableId="1041248080">
    <w:abstractNumId w:val="91"/>
  </w:num>
  <w:num w:numId="27" w16cid:durableId="1255750317">
    <w:abstractNumId w:val="16"/>
  </w:num>
  <w:num w:numId="28" w16cid:durableId="1499467264">
    <w:abstractNumId w:val="96"/>
  </w:num>
  <w:num w:numId="29" w16cid:durableId="1482385716">
    <w:abstractNumId w:val="97"/>
  </w:num>
  <w:num w:numId="30" w16cid:durableId="2079008801">
    <w:abstractNumId w:val="62"/>
  </w:num>
  <w:num w:numId="31" w16cid:durableId="693726914">
    <w:abstractNumId w:val="94"/>
  </w:num>
  <w:num w:numId="32" w16cid:durableId="543060091">
    <w:abstractNumId w:val="48"/>
  </w:num>
  <w:num w:numId="33" w16cid:durableId="1270236881">
    <w:abstractNumId w:val="79"/>
  </w:num>
  <w:num w:numId="34" w16cid:durableId="1497695101">
    <w:abstractNumId w:val="41"/>
  </w:num>
  <w:num w:numId="35" w16cid:durableId="1618179393">
    <w:abstractNumId w:val="17"/>
  </w:num>
  <w:num w:numId="36" w16cid:durableId="821313191">
    <w:abstractNumId w:val="87"/>
  </w:num>
  <w:num w:numId="37" w16cid:durableId="161285964">
    <w:abstractNumId w:val="7"/>
  </w:num>
  <w:num w:numId="38" w16cid:durableId="367150667">
    <w:abstractNumId w:val="74"/>
  </w:num>
  <w:num w:numId="39" w16cid:durableId="1583679165">
    <w:abstractNumId w:val="35"/>
  </w:num>
  <w:num w:numId="40" w16cid:durableId="1014453154">
    <w:abstractNumId w:val="54"/>
  </w:num>
  <w:num w:numId="41" w16cid:durableId="106967528">
    <w:abstractNumId w:val="6"/>
  </w:num>
  <w:num w:numId="42" w16cid:durableId="1673683580">
    <w:abstractNumId w:val="19"/>
  </w:num>
  <w:num w:numId="43" w16cid:durableId="1847550796">
    <w:abstractNumId w:val="73"/>
  </w:num>
  <w:num w:numId="44" w16cid:durableId="2055620734">
    <w:abstractNumId w:val="1"/>
  </w:num>
  <w:num w:numId="45" w16cid:durableId="240063969">
    <w:abstractNumId w:val="39"/>
  </w:num>
  <w:num w:numId="46" w16cid:durableId="831986555">
    <w:abstractNumId w:val="13"/>
  </w:num>
  <w:num w:numId="47" w16cid:durableId="1908031831">
    <w:abstractNumId w:val="67"/>
  </w:num>
  <w:num w:numId="48" w16cid:durableId="26176855">
    <w:abstractNumId w:val="52"/>
  </w:num>
  <w:num w:numId="49" w16cid:durableId="24983361">
    <w:abstractNumId w:val="36"/>
  </w:num>
  <w:num w:numId="50" w16cid:durableId="448209045">
    <w:abstractNumId w:val="83"/>
  </w:num>
  <w:num w:numId="51" w16cid:durableId="98333942">
    <w:abstractNumId w:val="69"/>
  </w:num>
  <w:num w:numId="52" w16cid:durableId="1803034720">
    <w:abstractNumId w:val="66"/>
  </w:num>
  <w:num w:numId="53" w16cid:durableId="527720855">
    <w:abstractNumId w:val="108"/>
  </w:num>
  <w:num w:numId="54" w16cid:durableId="1679427254">
    <w:abstractNumId w:val="53"/>
  </w:num>
  <w:num w:numId="55" w16cid:durableId="2123449113">
    <w:abstractNumId w:val="65"/>
  </w:num>
  <w:num w:numId="56" w16cid:durableId="1512178178">
    <w:abstractNumId w:val="22"/>
  </w:num>
  <w:num w:numId="57" w16cid:durableId="1070276698">
    <w:abstractNumId w:val="27"/>
  </w:num>
  <w:num w:numId="58" w16cid:durableId="657265532">
    <w:abstractNumId w:val="2"/>
  </w:num>
  <w:num w:numId="59" w16cid:durableId="2095200674">
    <w:abstractNumId w:val="88"/>
  </w:num>
  <w:num w:numId="60" w16cid:durableId="1525553230">
    <w:abstractNumId w:val="9"/>
  </w:num>
  <w:num w:numId="61" w16cid:durableId="73359113">
    <w:abstractNumId w:val="102"/>
  </w:num>
  <w:num w:numId="62" w16cid:durableId="283001347">
    <w:abstractNumId w:val="33"/>
  </w:num>
  <w:num w:numId="63" w16cid:durableId="938216983">
    <w:abstractNumId w:val="44"/>
  </w:num>
  <w:num w:numId="64" w16cid:durableId="2027977610">
    <w:abstractNumId w:val="18"/>
  </w:num>
  <w:num w:numId="65" w16cid:durableId="904023698">
    <w:abstractNumId w:val="72"/>
  </w:num>
  <w:num w:numId="66" w16cid:durableId="415174833">
    <w:abstractNumId w:val="47"/>
  </w:num>
  <w:num w:numId="67" w16cid:durableId="1338508056">
    <w:abstractNumId w:val="107"/>
  </w:num>
  <w:num w:numId="68" w16cid:durableId="460467349">
    <w:abstractNumId w:val="4"/>
  </w:num>
  <w:num w:numId="69" w16cid:durableId="826477177">
    <w:abstractNumId w:val="59"/>
  </w:num>
  <w:num w:numId="70" w16cid:durableId="1843079639">
    <w:abstractNumId w:val="95"/>
  </w:num>
  <w:num w:numId="71" w16cid:durableId="753552420">
    <w:abstractNumId w:val="81"/>
  </w:num>
  <w:num w:numId="72" w16cid:durableId="1682930473">
    <w:abstractNumId w:val="45"/>
  </w:num>
  <w:num w:numId="73" w16cid:durableId="1983341860">
    <w:abstractNumId w:val="34"/>
  </w:num>
  <w:num w:numId="74" w16cid:durableId="713580769">
    <w:abstractNumId w:val="12"/>
  </w:num>
  <w:num w:numId="75" w16cid:durableId="1797798730">
    <w:abstractNumId w:val="70"/>
  </w:num>
  <w:num w:numId="76" w16cid:durableId="1221092741">
    <w:abstractNumId w:val="0"/>
  </w:num>
  <w:num w:numId="77" w16cid:durableId="1950357050">
    <w:abstractNumId w:val="3"/>
  </w:num>
  <w:num w:numId="78" w16cid:durableId="1142581727">
    <w:abstractNumId w:val="63"/>
  </w:num>
  <w:num w:numId="79" w16cid:durableId="900091144">
    <w:abstractNumId w:val="20"/>
  </w:num>
  <w:num w:numId="80" w16cid:durableId="1964190151">
    <w:abstractNumId w:val="100"/>
  </w:num>
  <w:num w:numId="81" w16cid:durableId="1508404687">
    <w:abstractNumId w:val="109"/>
  </w:num>
  <w:num w:numId="82" w16cid:durableId="1413622774">
    <w:abstractNumId w:val="29"/>
  </w:num>
  <w:num w:numId="83" w16cid:durableId="1222518057">
    <w:abstractNumId w:val="84"/>
  </w:num>
  <w:num w:numId="84" w16cid:durableId="1038697938">
    <w:abstractNumId w:val="42"/>
  </w:num>
  <w:num w:numId="85" w16cid:durableId="1935626052">
    <w:abstractNumId w:val="64"/>
  </w:num>
  <w:num w:numId="86" w16cid:durableId="368451846">
    <w:abstractNumId w:val="32"/>
  </w:num>
  <w:num w:numId="87" w16cid:durableId="48463148">
    <w:abstractNumId w:val="93"/>
  </w:num>
  <w:num w:numId="88" w16cid:durableId="1971089363">
    <w:abstractNumId w:val="49"/>
  </w:num>
  <w:num w:numId="89" w16cid:durableId="737941911">
    <w:abstractNumId w:val="40"/>
  </w:num>
  <w:num w:numId="90" w16cid:durableId="1949042100">
    <w:abstractNumId w:val="37"/>
  </w:num>
  <w:num w:numId="91" w16cid:durableId="1599361484">
    <w:abstractNumId w:val="78"/>
  </w:num>
  <w:num w:numId="92" w16cid:durableId="1114834914">
    <w:abstractNumId w:val="85"/>
  </w:num>
  <w:num w:numId="93" w16cid:durableId="924648881">
    <w:abstractNumId w:val="80"/>
  </w:num>
  <w:num w:numId="94" w16cid:durableId="838884325">
    <w:abstractNumId w:val="15"/>
  </w:num>
  <w:num w:numId="95" w16cid:durableId="2026787507">
    <w:abstractNumId w:val="71"/>
  </w:num>
  <w:num w:numId="96" w16cid:durableId="914172589">
    <w:abstractNumId w:val="103"/>
  </w:num>
  <w:num w:numId="97" w16cid:durableId="531723871">
    <w:abstractNumId w:val="43"/>
  </w:num>
  <w:num w:numId="98" w16cid:durableId="1470321294">
    <w:abstractNumId w:val="23"/>
  </w:num>
  <w:num w:numId="99" w16cid:durableId="1150052080">
    <w:abstractNumId w:val="60"/>
  </w:num>
  <w:num w:numId="100" w16cid:durableId="586422128">
    <w:abstractNumId w:val="24"/>
  </w:num>
  <w:num w:numId="101" w16cid:durableId="1124081397">
    <w:abstractNumId w:val="104"/>
  </w:num>
  <w:num w:numId="102" w16cid:durableId="2001545378">
    <w:abstractNumId w:val="51"/>
  </w:num>
  <w:num w:numId="103" w16cid:durableId="1455060698">
    <w:abstractNumId w:val="89"/>
  </w:num>
  <w:num w:numId="104" w16cid:durableId="839856006">
    <w:abstractNumId w:val="98"/>
  </w:num>
  <w:num w:numId="105" w16cid:durableId="1777434176">
    <w:abstractNumId w:val="56"/>
  </w:num>
  <w:num w:numId="106" w16cid:durableId="71851120">
    <w:abstractNumId w:val="28"/>
  </w:num>
  <w:num w:numId="107" w16cid:durableId="212274147">
    <w:abstractNumId w:val="30"/>
  </w:num>
  <w:num w:numId="108" w16cid:durableId="821386058">
    <w:abstractNumId w:val="99"/>
  </w:num>
  <w:num w:numId="109" w16cid:durableId="117841773">
    <w:abstractNumId w:val="68"/>
  </w:num>
  <w:num w:numId="110" w16cid:durableId="941111720">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18"/>
    <w:rsid w:val="00042324"/>
    <w:rsid w:val="001C3914"/>
    <w:rsid w:val="00292BB6"/>
    <w:rsid w:val="002F1B14"/>
    <w:rsid w:val="00352BFE"/>
    <w:rsid w:val="007F142D"/>
    <w:rsid w:val="00A56ACA"/>
    <w:rsid w:val="00CE11CE"/>
    <w:rsid w:val="00F47418"/>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33CE4F"/>
  <w15:chartTrackingRefBased/>
  <w15:docId w15:val="{BFA6B063-17F2-4342-BDAB-B0E8CC99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418"/>
    <w:pPr>
      <w:widowControl w:val="0"/>
      <w:jc w:val="both"/>
    </w:pPr>
    <w:rPr>
      <w:kern w:val="0"/>
      <w:szCs w:val="22"/>
    </w:rPr>
  </w:style>
  <w:style w:type="paragraph" w:styleId="1">
    <w:name w:val="heading 1"/>
    <w:basedOn w:val="a"/>
    <w:next w:val="a"/>
    <w:link w:val="10"/>
    <w:uiPriority w:val="9"/>
    <w:qFormat/>
    <w:rsid w:val="00F4741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4741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4741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4741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4741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4741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4741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741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4741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741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4741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4741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47418"/>
    <w:rPr>
      <w:rFonts w:cstheme="majorBidi"/>
      <w:color w:val="2F5496" w:themeColor="accent1" w:themeShade="BF"/>
      <w:sz w:val="28"/>
      <w:szCs w:val="28"/>
    </w:rPr>
  </w:style>
  <w:style w:type="character" w:customStyle="1" w:styleId="50">
    <w:name w:val="标题 5 字符"/>
    <w:basedOn w:val="a0"/>
    <w:link w:val="5"/>
    <w:uiPriority w:val="9"/>
    <w:semiHidden/>
    <w:rsid w:val="00F47418"/>
    <w:rPr>
      <w:rFonts w:cstheme="majorBidi"/>
      <w:color w:val="2F5496" w:themeColor="accent1" w:themeShade="BF"/>
      <w:sz w:val="24"/>
    </w:rPr>
  </w:style>
  <w:style w:type="character" w:customStyle="1" w:styleId="60">
    <w:name w:val="标题 6 字符"/>
    <w:basedOn w:val="a0"/>
    <w:link w:val="6"/>
    <w:uiPriority w:val="9"/>
    <w:semiHidden/>
    <w:rsid w:val="00F47418"/>
    <w:rPr>
      <w:rFonts w:cstheme="majorBidi"/>
      <w:b/>
      <w:bCs/>
      <w:color w:val="2F5496" w:themeColor="accent1" w:themeShade="BF"/>
    </w:rPr>
  </w:style>
  <w:style w:type="character" w:customStyle="1" w:styleId="70">
    <w:name w:val="标题 7 字符"/>
    <w:basedOn w:val="a0"/>
    <w:link w:val="7"/>
    <w:uiPriority w:val="9"/>
    <w:semiHidden/>
    <w:rsid w:val="00F47418"/>
    <w:rPr>
      <w:rFonts w:cstheme="majorBidi"/>
      <w:b/>
      <w:bCs/>
      <w:color w:val="595959" w:themeColor="text1" w:themeTint="A6"/>
    </w:rPr>
  </w:style>
  <w:style w:type="character" w:customStyle="1" w:styleId="80">
    <w:name w:val="标题 8 字符"/>
    <w:basedOn w:val="a0"/>
    <w:link w:val="8"/>
    <w:uiPriority w:val="9"/>
    <w:semiHidden/>
    <w:rsid w:val="00F47418"/>
    <w:rPr>
      <w:rFonts w:cstheme="majorBidi"/>
      <w:color w:val="595959" w:themeColor="text1" w:themeTint="A6"/>
    </w:rPr>
  </w:style>
  <w:style w:type="character" w:customStyle="1" w:styleId="90">
    <w:name w:val="标题 9 字符"/>
    <w:basedOn w:val="a0"/>
    <w:link w:val="9"/>
    <w:uiPriority w:val="9"/>
    <w:semiHidden/>
    <w:rsid w:val="00F47418"/>
    <w:rPr>
      <w:rFonts w:eastAsiaTheme="majorEastAsia" w:cstheme="majorBidi"/>
      <w:color w:val="595959" w:themeColor="text1" w:themeTint="A6"/>
    </w:rPr>
  </w:style>
  <w:style w:type="paragraph" w:styleId="a3">
    <w:name w:val="Title"/>
    <w:basedOn w:val="a"/>
    <w:next w:val="a"/>
    <w:link w:val="a4"/>
    <w:uiPriority w:val="10"/>
    <w:qFormat/>
    <w:rsid w:val="00F474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7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74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74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7418"/>
    <w:pPr>
      <w:spacing w:before="160" w:after="160"/>
      <w:jc w:val="center"/>
    </w:pPr>
    <w:rPr>
      <w:i/>
      <w:iCs/>
      <w:color w:val="404040" w:themeColor="text1" w:themeTint="BF"/>
    </w:rPr>
  </w:style>
  <w:style w:type="character" w:customStyle="1" w:styleId="a8">
    <w:name w:val="引用 字符"/>
    <w:basedOn w:val="a0"/>
    <w:link w:val="a7"/>
    <w:uiPriority w:val="29"/>
    <w:rsid w:val="00F47418"/>
    <w:rPr>
      <w:i/>
      <w:iCs/>
      <w:color w:val="404040" w:themeColor="text1" w:themeTint="BF"/>
    </w:rPr>
  </w:style>
  <w:style w:type="paragraph" w:styleId="a9">
    <w:name w:val="List Paragraph"/>
    <w:basedOn w:val="a"/>
    <w:uiPriority w:val="34"/>
    <w:qFormat/>
    <w:rsid w:val="00F47418"/>
    <w:pPr>
      <w:ind w:left="720"/>
      <w:contextualSpacing/>
    </w:pPr>
  </w:style>
  <w:style w:type="character" w:styleId="aa">
    <w:name w:val="Intense Emphasis"/>
    <w:basedOn w:val="a0"/>
    <w:uiPriority w:val="21"/>
    <w:qFormat/>
    <w:rsid w:val="00F47418"/>
    <w:rPr>
      <w:i/>
      <w:iCs/>
      <w:color w:val="2F5496" w:themeColor="accent1" w:themeShade="BF"/>
    </w:rPr>
  </w:style>
  <w:style w:type="paragraph" w:styleId="ab">
    <w:name w:val="Intense Quote"/>
    <w:basedOn w:val="a"/>
    <w:next w:val="a"/>
    <w:link w:val="ac"/>
    <w:uiPriority w:val="30"/>
    <w:qFormat/>
    <w:rsid w:val="00F474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47418"/>
    <w:rPr>
      <w:i/>
      <w:iCs/>
      <w:color w:val="2F5496" w:themeColor="accent1" w:themeShade="BF"/>
    </w:rPr>
  </w:style>
  <w:style w:type="character" w:styleId="ad">
    <w:name w:val="Intense Reference"/>
    <w:basedOn w:val="a0"/>
    <w:uiPriority w:val="32"/>
    <w:qFormat/>
    <w:rsid w:val="00F474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2945</Words>
  <Characters>16790</Characters>
  <Application>Microsoft Office Word</Application>
  <DocSecurity>0</DocSecurity>
  <Lines>139</Lines>
  <Paragraphs>39</Paragraphs>
  <ScaleCrop>false</ScaleCrop>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2025-09-24T05:05:00Z</dcterms:created>
  <dcterms:modified xsi:type="dcterms:W3CDTF">2025-09-24T05:06:00Z</dcterms:modified>
</cp:coreProperties>
</file>