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85C6D" w:rsidRDefault="00B85C6D" w:rsidP="00B85C6D">
      <w:pPr>
        <w:spacing w:before="380" w:after="140" w:line="288" w:lineRule="auto"/>
        <w:jc w:val="left"/>
        <w:outlineLvl w:val="0"/>
        <w:rPr>
          <w:highlight w:val="yellow"/>
        </w:rPr>
      </w:pPr>
      <w:r>
        <w:rPr>
          <w:rFonts w:ascii="Arial" w:eastAsia="DengXian" w:hAnsi="Arial" w:cs="Arial"/>
          <w:b/>
          <w:sz w:val="36"/>
          <w:highlight w:val="yellow"/>
        </w:rPr>
        <w:t>Oil &amp; Gas</w:t>
      </w:r>
    </w:p>
    <w:p w:rsidR="00B85C6D" w:rsidRDefault="00B85C6D" w:rsidP="00B85C6D">
      <w:pPr>
        <w:spacing w:before="320" w:after="120" w:line="288" w:lineRule="auto"/>
        <w:jc w:val="left"/>
        <w:outlineLvl w:val="1"/>
      </w:pPr>
      <w:bookmarkStart w:id="0" w:name="heading_2"/>
      <w:r>
        <w:rPr>
          <w:rFonts w:ascii="Arial" w:eastAsia="DengXian" w:hAnsi="Arial" w:cs="Arial"/>
          <w:b/>
          <w:sz w:val="32"/>
        </w:rPr>
        <w:t>Report 1: Global Oil and Gas Market Trends in 2025</w:t>
      </w:r>
      <w:bookmarkEnd w:id="0"/>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Executive Summary</w:t>
      </w:r>
    </w:p>
    <w:p w:rsidR="00B85C6D" w:rsidRDefault="00B85C6D" w:rsidP="00B85C6D">
      <w:pPr>
        <w:spacing w:before="120" w:after="120" w:line="288" w:lineRule="auto"/>
        <w:jc w:val="left"/>
      </w:pPr>
      <w:r>
        <w:rPr>
          <w:rFonts w:ascii="Arial" w:eastAsia="DengXian" w:hAnsi="Arial" w:cs="Arial"/>
          <w:sz w:val="22"/>
        </w:rPr>
        <w:t>This report provides a comprehensive overview of the global oil and gas market in 2025. It analyzes the market dynamics, supply-demand balance, price trends, and the impact of geopolitical factors. In 2024, the global oil and gas industry faced a complex environment. The OPEC+ alliance continued to play a crucial role in regulating oil supply. Despite efforts to control production, the market still witnessed a slight decline in oil prices, with Brent crude oil averaging around $79.86 per barrel for the year.</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Market Dynamics</w:t>
      </w:r>
    </w:p>
    <w:p w:rsidR="00B85C6D" w:rsidRDefault="00B85C6D" w:rsidP="00B85C6D">
      <w:pPr>
        <w:spacing w:before="120" w:after="120" w:line="288" w:lineRule="auto"/>
        <w:jc w:val="left"/>
      </w:pPr>
      <w:r>
        <w:rPr>
          <w:rFonts w:ascii="Arial" w:eastAsia="DengXian" w:hAnsi="Arial" w:cs="Arial"/>
          <w:sz w:val="22"/>
        </w:rPr>
        <w:t>The demand for oil and gas is influenced by various factors such as economic growth, energy policies, and technological advancements. In 2024, the global economic growth was moderate, with an estimated growth rate of around 3.1%, which was a 0.2-percentage-point decline compared to 2023. This slowdown in economic growth had a direct impact on the demand for oil and gas. However, the growth of emerging economies, especially in the Asia-Pacific region, continued to drive the demand for energy.</w:t>
      </w:r>
    </w:p>
    <w:p w:rsidR="00B85C6D" w:rsidRDefault="00B85C6D" w:rsidP="00B85C6D">
      <w:pPr>
        <w:spacing w:before="120" w:after="120" w:line="288" w:lineRule="auto"/>
        <w:jc w:val="left"/>
      </w:pPr>
      <w:r>
        <w:rPr>
          <w:rFonts w:ascii="Arial" w:eastAsia="DengXian" w:hAnsi="Arial" w:cs="Arial"/>
          <w:sz w:val="22"/>
        </w:rPr>
        <w:t>On the supply side, the OPEC+ alliance maintained its production cuts to balance the market. In 2024, the alliance's production cuts were more effective in the first half of the year, but as the year progressed, some member countries showed signs of deviating from the agreed-upon production levels. Non-OPEC+ producers, such as the United States, also played a significant role in the global oil supply. The US shale oil production continued to grow, although at a slower pace compared to previous years.</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Supply-Demand Balance</w:t>
      </w:r>
    </w:p>
    <w:p w:rsidR="00B85C6D" w:rsidRDefault="00B85C6D" w:rsidP="00B85C6D">
      <w:pPr>
        <w:spacing w:before="120" w:after="120" w:line="288" w:lineRule="auto"/>
        <w:jc w:val="left"/>
      </w:pPr>
      <w:r>
        <w:rPr>
          <w:rFonts w:ascii="Arial" w:eastAsia="DengXian" w:hAnsi="Arial" w:cs="Arial"/>
          <w:sz w:val="22"/>
        </w:rPr>
        <w:t xml:space="preserve">The global oil demand in 2024 was approximately 100 million barrels per day, with a growth rate of around 0.9%. The growth in oil demand was mainly driven by the </w:t>
      </w:r>
      <w:r>
        <w:rPr>
          <w:rFonts w:ascii="Arial" w:eastAsia="DengXian" w:hAnsi="Arial" w:cs="Arial"/>
          <w:sz w:val="22"/>
        </w:rPr>
        <w:lastRenderedPageBreak/>
        <w:t>transportation sector, especially in emerging economies. However, the increasing penetration of electric vehicles and the development of alternative fuels posed a long-term threat to the oil demand.</w:t>
      </w:r>
    </w:p>
    <w:p w:rsidR="00B85C6D" w:rsidRDefault="00B85C6D" w:rsidP="00B85C6D">
      <w:pPr>
        <w:spacing w:before="120" w:after="120" w:line="288" w:lineRule="auto"/>
        <w:jc w:val="left"/>
      </w:pPr>
      <w:r>
        <w:rPr>
          <w:rFonts w:ascii="Arial" w:eastAsia="DengXian" w:hAnsi="Arial" w:cs="Arial"/>
          <w:sz w:val="22"/>
        </w:rPr>
        <w:t>For natural gas, the global demand in 2024 was around 4.09 trillion cubic meters, with a growth rate of 2.0%. The demand for natural gas was mainly driven by the power generation and industrial sectors. The shift towards cleaner energy sources led to an increase in the use of natural gas as a substitute for coal in power generation.</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Price Trends</w:t>
      </w:r>
    </w:p>
    <w:p w:rsidR="00B85C6D" w:rsidRDefault="00B85C6D" w:rsidP="00B85C6D">
      <w:pPr>
        <w:spacing w:before="120" w:after="120" w:line="288" w:lineRule="auto"/>
        <w:jc w:val="left"/>
      </w:pPr>
      <w:r>
        <w:rPr>
          <w:rFonts w:ascii="Arial" w:eastAsia="DengXian" w:hAnsi="Arial" w:cs="Arial"/>
          <w:sz w:val="22"/>
        </w:rPr>
        <w:t>In 2024, the international oil prices were relatively stable compared to previous years. The Brent crude oil price fluctuated within a narrow range of $70-$90 per barrel. The stability in oil prices was mainly due to the effective production cuts by OPEC+ and the relatively stable global economic growth.</w:t>
      </w:r>
    </w:p>
    <w:p w:rsidR="00B85C6D" w:rsidRDefault="00B85C6D" w:rsidP="00B85C6D">
      <w:pPr>
        <w:spacing w:before="120" w:after="120" w:line="288" w:lineRule="auto"/>
        <w:jc w:val="left"/>
      </w:pPr>
      <w:r>
        <w:rPr>
          <w:rFonts w:ascii="Arial" w:eastAsia="DengXian" w:hAnsi="Arial" w:cs="Arial"/>
          <w:sz w:val="22"/>
        </w:rPr>
        <w:t>The natural gas prices also showed a downward trend in 2024. The Henry Hub (HH) price in the US, the Title Transfer Facility (TTF) price in Europe, and the Northeast Asia LNG spot price all decreased compared to the previous year. The oversupply in the global natural gas market, especially in the LNG market, was the main reason for the decline in prices.</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Geopolitical Factors</w:t>
      </w:r>
    </w:p>
    <w:p w:rsidR="00B85C6D" w:rsidRDefault="00B85C6D" w:rsidP="00B85C6D">
      <w:pPr>
        <w:spacing w:before="120" w:after="120" w:line="288" w:lineRule="auto"/>
        <w:jc w:val="left"/>
      </w:pPr>
      <w:r>
        <w:rPr>
          <w:rFonts w:ascii="Arial" w:eastAsia="DengXian" w:hAnsi="Arial" w:cs="Arial"/>
          <w:sz w:val="22"/>
        </w:rPr>
        <w:t>Geopolitical tensions continued to impact the global oil and gas market in 2024. The conflict in the Middle East region, which is a major oil-producing area, raised concerns about potential supply disruptions. However, so far, the actual impact on the global oil supply has been limited due to the diversified sources of oil supply.</w:t>
      </w:r>
    </w:p>
    <w:p w:rsidR="00B85C6D" w:rsidRDefault="00B85C6D" w:rsidP="00B85C6D">
      <w:pPr>
        <w:spacing w:before="120" w:after="120" w:line="288" w:lineRule="auto"/>
        <w:jc w:val="left"/>
      </w:pPr>
      <w:r>
        <w:rPr>
          <w:rFonts w:ascii="Arial" w:eastAsia="DengXian" w:hAnsi="Arial" w:cs="Arial"/>
          <w:sz w:val="22"/>
        </w:rPr>
        <w:t>In addition, the trade disputes between major economies also had an indirect impact on the oil and gas market. The trade disputes affected the global economic growth, which in turn affected the demand for oil and gas.</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Conclusion</w:t>
      </w:r>
    </w:p>
    <w:p w:rsidR="00B85C6D" w:rsidRDefault="00B85C6D" w:rsidP="00B85C6D">
      <w:pPr>
        <w:spacing w:before="120" w:after="120" w:line="288" w:lineRule="auto"/>
        <w:jc w:val="left"/>
      </w:pPr>
      <w:r>
        <w:rPr>
          <w:rFonts w:ascii="Arial" w:eastAsia="DengXian" w:hAnsi="Arial" w:cs="Arial"/>
          <w:sz w:val="22"/>
        </w:rPr>
        <w:t xml:space="preserve">Looking ahead to 2025, the global oil and gas market will continue to face challenges and opportunities. The OPEC+ alliance will need to continue to adjust its production policies to balance the market. The development of alternative energy sources and </w:t>
      </w:r>
      <w:r>
        <w:rPr>
          <w:rFonts w:ascii="Arial" w:eastAsia="DengXian" w:hAnsi="Arial" w:cs="Arial"/>
          <w:sz w:val="22"/>
        </w:rPr>
        <w:lastRenderedPageBreak/>
        <w:t>the increasing awareness of climate change will also pose challenges to the traditional oil and gas industry. However, the growing energy demand in emerging economies will still provide opportunities for the industry.</w:t>
      </w:r>
    </w:p>
    <w:p w:rsidR="00B85C6D" w:rsidRDefault="00B85C6D" w:rsidP="00B85C6D">
      <w:pPr>
        <w:spacing w:before="120" w:after="120" w:line="288" w:lineRule="auto"/>
        <w:jc w:val="left"/>
      </w:pPr>
    </w:p>
    <w:p w:rsidR="00B85C6D" w:rsidRDefault="00B85C6D" w:rsidP="00B85C6D">
      <w:pPr>
        <w:spacing w:before="320" w:after="120" w:line="288" w:lineRule="auto"/>
        <w:jc w:val="left"/>
        <w:outlineLvl w:val="1"/>
      </w:pPr>
      <w:bookmarkStart w:id="1" w:name="heading_4"/>
      <w:r>
        <w:rPr>
          <w:rFonts w:ascii="Arial" w:eastAsia="DengXian" w:hAnsi="Arial" w:cs="Arial"/>
          <w:b/>
          <w:sz w:val="32"/>
        </w:rPr>
        <w:t>Report 2: The Impact of Energy Transition on the Oil and Gas Industry</w:t>
      </w:r>
      <w:bookmarkEnd w:id="1"/>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Executive Summary</w:t>
      </w:r>
    </w:p>
    <w:p w:rsidR="00B85C6D" w:rsidRDefault="00B85C6D" w:rsidP="00B85C6D">
      <w:pPr>
        <w:spacing w:before="120" w:after="120" w:line="288" w:lineRule="auto"/>
        <w:jc w:val="left"/>
      </w:pPr>
      <w:r>
        <w:rPr>
          <w:rFonts w:ascii="Arial" w:eastAsia="DengXian" w:hAnsi="Arial" w:cs="Arial"/>
          <w:sz w:val="22"/>
        </w:rPr>
        <w:t>This report focuses on the impact of the global energy transition on the oil and gas industry. The energy transition, driven by the need to reduce greenhouse gas emissions and achieve carbon neutrality, is reshaping the energy landscape. The oil and gas industry, as a major emitter of greenhouse gases, is facing significant challenges and opportunities.</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Challenges from Energy Transition</w:t>
      </w:r>
    </w:p>
    <w:p w:rsidR="00B85C6D" w:rsidRDefault="00B85C6D" w:rsidP="00B85C6D">
      <w:pPr>
        <w:numPr>
          <w:ilvl w:val="0"/>
          <w:numId w:val="1"/>
        </w:numPr>
        <w:spacing w:before="120" w:after="120" w:line="288" w:lineRule="auto"/>
        <w:jc w:val="left"/>
      </w:pPr>
      <w:r>
        <w:rPr>
          <w:rFonts w:ascii="Arial" w:eastAsia="DengXian" w:hAnsi="Arial" w:cs="Arial"/>
          <w:b/>
          <w:sz w:val="22"/>
        </w:rPr>
        <w:t>Demand Peak and Decline</w:t>
      </w:r>
      <w:r>
        <w:rPr>
          <w:rFonts w:ascii="Arial" w:eastAsia="DengXian" w:hAnsi="Arial" w:cs="Arial"/>
          <w:sz w:val="22"/>
        </w:rPr>
        <w:t>: According to various studies, the demand for oil is expected to peak in the next few years. In the McKinsey Global Energy Perspective 2024 report, under different scenarios, oil demand is projected to continue to grow in the short-term, but will plateau in the next five to seven years and then decline. This is mainly due to the increasing adoption of electric vehicles, the growth of sustainable fuels, and the improvement of energy efficiency.</w:t>
      </w:r>
    </w:p>
    <w:p w:rsidR="00B85C6D" w:rsidRDefault="00B85C6D" w:rsidP="00B85C6D">
      <w:pPr>
        <w:numPr>
          <w:ilvl w:val="0"/>
          <w:numId w:val="2"/>
        </w:numPr>
        <w:spacing w:before="120" w:after="120" w:line="288" w:lineRule="auto"/>
        <w:jc w:val="left"/>
      </w:pPr>
      <w:r>
        <w:rPr>
          <w:rFonts w:ascii="Arial" w:eastAsia="DengXian" w:hAnsi="Arial" w:cs="Arial"/>
          <w:b/>
          <w:sz w:val="22"/>
        </w:rPr>
        <w:t>Competition from Alternative Energy Sources</w:t>
      </w:r>
      <w:r>
        <w:rPr>
          <w:rFonts w:ascii="Arial" w:eastAsia="DengXian" w:hAnsi="Arial" w:cs="Arial"/>
          <w:sz w:val="22"/>
        </w:rPr>
        <w:t>: The development of renewable energy sources, such as solar, wind, and hydro power, is accelerating. These alternative energy sources are becoming more cost-competitive and are gradually replacing fossil fuels in the energy mix. In addition, the development of energy storage technologies, such as batteries, is also promoting the use of renewable energy.</w:t>
      </w:r>
    </w:p>
    <w:p w:rsidR="00B85C6D" w:rsidRDefault="00B85C6D" w:rsidP="00B85C6D">
      <w:pPr>
        <w:numPr>
          <w:ilvl w:val="0"/>
          <w:numId w:val="3"/>
        </w:numPr>
        <w:spacing w:before="120" w:after="120" w:line="288" w:lineRule="auto"/>
        <w:jc w:val="left"/>
      </w:pPr>
      <w:r>
        <w:rPr>
          <w:rFonts w:ascii="Arial" w:eastAsia="DengXian" w:hAnsi="Arial" w:cs="Arial"/>
          <w:b/>
          <w:sz w:val="22"/>
        </w:rPr>
        <w:t>Carbon Emission Reduction Pressure</w:t>
      </w:r>
      <w:r>
        <w:rPr>
          <w:rFonts w:ascii="Arial" w:eastAsia="DengXian" w:hAnsi="Arial" w:cs="Arial"/>
          <w:sz w:val="22"/>
        </w:rPr>
        <w:t xml:space="preserve">: The oil and gas industry is under increasing pressure to reduce carbon emissions. Many countries and regions have set ambitious carbon emission reduction targets, and the oil and gas industry needs to take measures to reduce its carbon footprint. This includes improving energy efficiency, developing carbon capture and storage (CCS) technologies, and investing </w:t>
      </w:r>
      <w:r>
        <w:rPr>
          <w:rFonts w:ascii="Arial" w:eastAsia="DengXian" w:hAnsi="Arial" w:cs="Arial"/>
          <w:sz w:val="22"/>
        </w:rPr>
        <w:lastRenderedPageBreak/>
        <w:t>in low-carbon energy projects.</w:t>
      </w:r>
    </w:p>
    <w:p w:rsidR="00B85C6D" w:rsidRDefault="00B85C6D" w:rsidP="00B85C6D">
      <w:pPr>
        <w:spacing w:before="120" w:after="120" w:line="288" w:lineRule="auto"/>
        <w:jc w:val="left"/>
      </w:pPr>
      <w:r>
        <w:rPr>
          <w:rFonts w:ascii="Arial" w:eastAsia="DengXian" w:hAnsi="Arial" w:cs="Arial"/>
          <w:b/>
          <w:sz w:val="22"/>
        </w:rPr>
        <w:t>Opportunities in the Energy Transition</w:t>
      </w:r>
    </w:p>
    <w:p w:rsidR="00B85C6D" w:rsidRDefault="00B85C6D" w:rsidP="00B85C6D">
      <w:pPr>
        <w:numPr>
          <w:ilvl w:val="0"/>
          <w:numId w:val="4"/>
        </w:numPr>
        <w:spacing w:before="120" w:after="120" w:line="288" w:lineRule="auto"/>
        <w:jc w:val="left"/>
      </w:pPr>
      <w:r>
        <w:rPr>
          <w:rFonts w:ascii="Arial" w:eastAsia="DengXian" w:hAnsi="Arial" w:cs="Arial"/>
          <w:b/>
          <w:sz w:val="22"/>
        </w:rPr>
        <w:t>Natural Gas as a Bridge Fuel</w:t>
      </w:r>
      <w:r>
        <w:rPr>
          <w:rFonts w:ascii="Arial" w:eastAsia="DengXian" w:hAnsi="Arial" w:cs="Arial"/>
          <w:sz w:val="22"/>
        </w:rPr>
        <w:t>: Natural gas is considered a relatively clean fossil fuel, and it can play a role as a bridge fuel during the energy transition. In the power generation sector, natural gas-fired power plants can replace coal-fired power plants to reduce carbon emissions. In addition, the development of liquefied natural gas (LNG) also provides opportunities for the natural gas industry to expand its market share.</w:t>
      </w:r>
    </w:p>
    <w:p w:rsidR="00B85C6D" w:rsidRDefault="00B85C6D" w:rsidP="00B85C6D">
      <w:pPr>
        <w:numPr>
          <w:ilvl w:val="0"/>
          <w:numId w:val="5"/>
        </w:numPr>
        <w:spacing w:before="120" w:after="120" w:line="288" w:lineRule="auto"/>
        <w:jc w:val="left"/>
      </w:pPr>
      <w:r>
        <w:rPr>
          <w:rFonts w:ascii="Arial" w:eastAsia="DengXian" w:hAnsi="Arial" w:cs="Arial"/>
          <w:b/>
          <w:sz w:val="22"/>
        </w:rPr>
        <w:t>Investment in Low-Carbon Technologies</w:t>
      </w:r>
      <w:r>
        <w:rPr>
          <w:rFonts w:ascii="Arial" w:eastAsia="DengXian" w:hAnsi="Arial" w:cs="Arial"/>
          <w:sz w:val="22"/>
        </w:rPr>
        <w:t>: The oil and gas industry can invest in low-carbon technologies, such as CCS, hydrogen production, and biofuels. These technologies can help the industry reduce its carbon emissions and also open up new business opportunities. For example, some oil companies are already investing in the production of blue hydrogen, which is produced from natural gas with CCS technology.</w:t>
      </w:r>
    </w:p>
    <w:p w:rsidR="00B85C6D" w:rsidRDefault="00B85C6D" w:rsidP="00B85C6D">
      <w:pPr>
        <w:numPr>
          <w:ilvl w:val="0"/>
          <w:numId w:val="6"/>
        </w:numPr>
        <w:spacing w:before="120" w:after="120" w:line="288" w:lineRule="auto"/>
        <w:jc w:val="left"/>
      </w:pPr>
      <w:r>
        <w:rPr>
          <w:rFonts w:ascii="Arial" w:eastAsia="DengXian" w:hAnsi="Arial" w:cs="Arial"/>
          <w:b/>
          <w:sz w:val="22"/>
        </w:rPr>
        <w:t>Diversification of Business Models</w:t>
      </w:r>
      <w:r>
        <w:rPr>
          <w:rFonts w:ascii="Arial" w:eastAsia="DengXian" w:hAnsi="Arial" w:cs="Arial"/>
          <w:sz w:val="22"/>
        </w:rPr>
        <w:t>: The energy transition also forces the oil and gas industry to diversify its business models. Some companies are starting to invest in renewable energy projects, such as solar and wind farms, to expand their business scope and adapt to the changing energy market.</w:t>
      </w:r>
    </w:p>
    <w:p w:rsidR="00B85C6D" w:rsidRDefault="00B85C6D" w:rsidP="00B85C6D">
      <w:pPr>
        <w:spacing w:before="120" w:after="120" w:line="288" w:lineRule="auto"/>
        <w:jc w:val="left"/>
      </w:pPr>
      <w:r>
        <w:rPr>
          <w:rFonts w:ascii="Arial" w:eastAsia="DengXian" w:hAnsi="Arial" w:cs="Arial"/>
          <w:b/>
          <w:sz w:val="22"/>
        </w:rPr>
        <w:t>Case Studies</w:t>
      </w:r>
    </w:p>
    <w:p w:rsidR="00B85C6D" w:rsidRDefault="00B85C6D" w:rsidP="00B85C6D">
      <w:pPr>
        <w:numPr>
          <w:ilvl w:val="0"/>
          <w:numId w:val="7"/>
        </w:numPr>
        <w:spacing w:before="120" w:after="120" w:line="288" w:lineRule="auto"/>
        <w:jc w:val="left"/>
      </w:pPr>
      <w:r>
        <w:rPr>
          <w:rFonts w:ascii="Arial" w:eastAsia="DengXian" w:hAnsi="Arial" w:cs="Arial"/>
          <w:b/>
          <w:sz w:val="22"/>
        </w:rPr>
        <w:t>ExxonMobil</w:t>
      </w:r>
      <w:r>
        <w:rPr>
          <w:rFonts w:ascii="Arial" w:eastAsia="DengXian" w:hAnsi="Arial" w:cs="Arial"/>
          <w:sz w:val="22"/>
        </w:rPr>
        <w:t>: ExxonMobil has announced its plans to invest in low-carbon technologies. The company is exploring the development of CCS projects and is also investing in research and development of biofuels. In addition, ExxonMobil is looking for opportunities to participate in the hydrogen market.</w:t>
      </w:r>
    </w:p>
    <w:p w:rsidR="00B85C6D" w:rsidRDefault="00B85C6D" w:rsidP="00B85C6D">
      <w:pPr>
        <w:numPr>
          <w:ilvl w:val="0"/>
          <w:numId w:val="8"/>
        </w:numPr>
        <w:spacing w:before="120" w:after="120" w:line="288" w:lineRule="auto"/>
        <w:jc w:val="left"/>
      </w:pPr>
      <w:r>
        <w:rPr>
          <w:rFonts w:ascii="Arial" w:eastAsia="DengXian" w:hAnsi="Arial" w:cs="Arial"/>
          <w:b/>
          <w:sz w:val="22"/>
        </w:rPr>
        <w:t>TotalEnergies</w:t>
      </w:r>
      <w:r>
        <w:rPr>
          <w:rFonts w:ascii="Arial" w:eastAsia="DengXian" w:hAnsi="Arial" w:cs="Arial"/>
          <w:sz w:val="22"/>
        </w:rPr>
        <w:t>: TotalEnergies has made a significant shift towards renewable energy. The company has invested heavily in solar and wind energy projects around the world. In addition, TotalEnergies is also involved in the production of biofuels and the development of energy storage technologies.</w:t>
      </w:r>
    </w:p>
    <w:p w:rsidR="00B85C6D" w:rsidRDefault="00B85C6D" w:rsidP="00B85C6D">
      <w:pPr>
        <w:spacing w:before="120" w:after="120" w:line="288" w:lineRule="auto"/>
        <w:jc w:val="left"/>
      </w:pPr>
      <w:r>
        <w:rPr>
          <w:rFonts w:ascii="Arial" w:eastAsia="DengXian" w:hAnsi="Arial" w:cs="Arial"/>
          <w:b/>
          <w:sz w:val="22"/>
        </w:rPr>
        <w:t>Conclusion</w:t>
      </w:r>
    </w:p>
    <w:p w:rsidR="00B85C6D" w:rsidRDefault="00B85C6D" w:rsidP="00B85C6D">
      <w:pPr>
        <w:spacing w:before="120" w:after="120" w:line="288" w:lineRule="auto"/>
        <w:jc w:val="left"/>
      </w:pPr>
      <w:r>
        <w:rPr>
          <w:rFonts w:ascii="Arial" w:eastAsia="DengXian" w:hAnsi="Arial" w:cs="Arial"/>
          <w:sz w:val="22"/>
        </w:rPr>
        <w:t>The energy transition is an inevitable trend, and the oil and gas industry needs to adapt to this change. Although the industry faces many challenges, there are also opportunities. By investing in low-carbon technologies, diversifying business models, and taking advantage of natural gas as a bridge fuel, the oil and gas industry can play an important role in the global energy transition.</w:t>
      </w:r>
    </w:p>
    <w:p w:rsidR="00B85C6D" w:rsidRPr="00B85C6D" w:rsidRDefault="00B85C6D" w:rsidP="00B85C6D">
      <w:pPr>
        <w:spacing w:before="120" w:after="120" w:line="288" w:lineRule="auto"/>
        <w:jc w:val="left"/>
      </w:pPr>
    </w:p>
    <w:p w:rsidR="00B85C6D" w:rsidRDefault="00B85C6D" w:rsidP="00B85C6D">
      <w:pPr>
        <w:spacing w:before="120" w:after="120" w:line="288" w:lineRule="auto"/>
        <w:jc w:val="left"/>
      </w:pPr>
    </w:p>
    <w:p w:rsidR="00B85C6D" w:rsidRDefault="00B85C6D" w:rsidP="00B85C6D">
      <w:pPr>
        <w:spacing w:before="120" w:after="120" w:line="288" w:lineRule="auto"/>
        <w:jc w:val="left"/>
      </w:pPr>
    </w:p>
    <w:p w:rsidR="00B85C6D" w:rsidRDefault="00B85C6D" w:rsidP="00B85C6D">
      <w:pPr>
        <w:spacing w:before="320" w:after="120" w:line="288" w:lineRule="auto"/>
        <w:jc w:val="left"/>
        <w:outlineLvl w:val="1"/>
      </w:pPr>
      <w:bookmarkStart w:id="2" w:name="heading_6"/>
      <w:r>
        <w:rPr>
          <w:rFonts w:ascii="Arial" w:eastAsia="DengXian" w:hAnsi="Arial" w:cs="Arial"/>
          <w:b/>
          <w:sz w:val="32"/>
        </w:rPr>
        <w:t>Report 3: Consolidation and M&amp;A in the Oil and Gas Industry</w:t>
      </w:r>
      <w:bookmarkEnd w:id="2"/>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Executive Summary</w:t>
      </w:r>
    </w:p>
    <w:p w:rsidR="00B85C6D" w:rsidRDefault="00B85C6D" w:rsidP="00B85C6D">
      <w:pPr>
        <w:spacing w:before="120" w:after="120" w:line="288" w:lineRule="auto"/>
        <w:jc w:val="left"/>
      </w:pPr>
      <w:r>
        <w:rPr>
          <w:rFonts w:ascii="Arial" w:eastAsia="DengXian" w:hAnsi="Arial" w:cs="Arial"/>
          <w:sz w:val="22"/>
        </w:rPr>
        <w:t>This report analyzes the recent trends in consolidation and mergers and acquisitions (M&amp;A) in the oil and gas industry. In 2024, the industry witnessed a significant increase in M&amp;A activities, which is reshaping the industry landscape.</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Trends in M&amp;A Activities</w:t>
      </w:r>
    </w:p>
    <w:p w:rsidR="00B85C6D" w:rsidRDefault="00B85C6D" w:rsidP="00B85C6D">
      <w:pPr>
        <w:numPr>
          <w:ilvl w:val="0"/>
          <w:numId w:val="17"/>
        </w:numPr>
        <w:spacing w:before="120" w:after="120" w:line="288" w:lineRule="auto"/>
        <w:jc w:val="left"/>
      </w:pPr>
      <w:r>
        <w:rPr>
          <w:rFonts w:ascii="Arial" w:eastAsia="DengXian" w:hAnsi="Arial" w:cs="Arial"/>
          <w:b/>
          <w:sz w:val="22"/>
        </w:rPr>
        <w:t>Increased Activity</w:t>
      </w:r>
      <w:r>
        <w:rPr>
          <w:rFonts w:ascii="Arial" w:eastAsia="DengXian" w:hAnsi="Arial" w:cs="Arial"/>
          <w:sz w:val="22"/>
        </w:rPr>
        <w:t>: In 2024, the value of M&amp;A deals in the oil and gas industry surged by 331% compared to 2023, reaching a total of $206.6 billion. This increase was mainly driven by a few mega-deals. For example, there were five deals with a value of more than $10 billion each in 2024.</w:t>
      </w:r>
    </w:p>
    <w:p w:rsidR="00B85C6D" w:rsidRDefault="00B85C6D" w:rsidP="00B85C6D">
      <w:pPr>
        <w:numPr>
          <w:ilvl w:val="0"/>
          <w:numId w:val="18"/>
        </w:numPr>
        <w:spacing w:before="120" w:after="120" w:line="288" w:lineRule="auto"/>
        <w:jc w:val="left"/>
      </w:pPr>
      <w:r>
        <w:rPr>
          <w:rFonts w:ascii="Arial" w:eastAsia="DengXian" w:hAnsi="Arial" w:cs="Arial"/>
          <w:b/>
          <w:sz w:val="22"/>
        </w:rPr>
        <w:t>Focus on Future Drilling Potential</w:t>
      </w:r>
      <w:r>
        <w:rPr>
          <w:rFonts w:ascii="Arial" w:eastAsia="DengXian" w:hAnsi="Arial" w:cs="Arial"/>
          <w:sz w:val="22"/>
        </w:rPr>
        <w:t>: A significant trend in M&amp;A activities is the focus on acquiring assets with future drilling potential. In 2024, 42% of the acquired assets' value was allocated to unproved properties, up from 18% in 2023. This indicates that companies are looking to secure long-term production potential.</w:t>
      </w:r>
    </w:p>
    <w:p w:rsidR="00B85C6D" w:rsidRDefault="00B85C6D" w:rsidP="00B85C6D">
      <w:pPr>
        <w:numPr>
          <w:ilvl w:val="0"/>
          <w:numId w:val="19"/>
        </w:numPr>
        <w:spacing w:before="120" w:after="120" w:line="288" w:lineRule="auto"/>
        <w:jc w:val="left"/>
      </w:pPr>
      <w:r>
        <w:rPr>
          <w:rFonts w:ascii="Arial" w:eastAsia="DengXian" w:hAnsi="Arial" w:cs="Arial"/>
          <w:b/>
          <w:sz w:val="22"/>
        </w:rPr>
        <w:t>Change in Capital Allocation</w:t>
      </w:r>
      <w:r>
        <w:rPr>
          <w:rFonts w:ascii="Arial" w:eastAsia="DengXian" w:hAnsi="Arial" w:cs="Arial"/>
          <w:sz w:val="22"/>
        </w:rPr>
        <w:t>: Since peaking in 2022, the return of capital to shareholders through dividends and share repurchases has steadily declined across all peer groups in the oil and gas industry. Instead, more capital is being reallocated towards M&amp;A activities.</w:t>
      </w:r>
    </w:p>
    <w:p w:rsidR="00B85C6D" w:rsidRDefault="00B85C6D" w:rsidP="00B85C6D">
      <w:pPr>
        <w:spacing w:before="120" w:after="120" w:line="288" w:lineRule="auto"/>
        <w:jc w:val="left"/>
      </w:pPr>
      <w:r>
        <w:rPr>
          <w:rFonts w:ascii="Arial" w:eastAsia="DengXian" w:hAnsi="Arial" w:cs="Arial"/>
          <w:b/>
          <w:sz w:val="22"/>
        </w:rPr>
        <w:t>Reasons for Consolidation</w:t>
      </w:r>
    </w:p>
    <w:p w:rsidR="00B85C6D" w:rsidRDefault="00B85C6D" w:rsidP="00B85C6D">
      <w:pPr>
        <w:numPr>
          <w:ilvl w:val="0"/>
          <w:numId w:val="20"/>
        </w:numPr>
        <w:spacing w:before="120" w:after="120" w:line="288" w:lineRule="auto"/>
        <w:jc w:val="left"/>
      </w:pPr>
      <w:r>
        <w:rPr>
          <w:rFonts w:ascii="Arial" w:eastAsia="DengXian" w:hAnsi="Arial" w:cs="Arial"/>
          <w:b/>
          <w:sz w:val="22"/>
        </w:rPr>
        <w:t>Economies of Scale</w:t>
      </w:r>
      <w:r>
        <w:rPr>
          <w:rFonts w:ascii="Arial" w:eastAsia="DengXian" w:hAnsi="Arial" w:cs="Arial"/>
          <w:sz w:val="22"/>
        </w:rPr>
        <w:t>: Larger companies can achieve economies of scale in various aspects, such as exploration and production costs, procurement, and marketing. Through consolidation, companies can reduce costs and improve their competitiveness.</w:t>
      </w:r>
    </w:p>
    <w:p w:rsidR="00B85C6D" w:rsidRDefault="00B85C6D" w:rsidP="00B85C6D">
      <w:pPr>
        <w:numPr>
          <w:ilvl w:val="0"/>
          <w:numId w:val="21"/>
        </w:numPr>
        <w:spacing w:before="120" w:after="120" w:line="288" w:lineRule="auto"/>
        <w:jc w:val="left"/>
      </w:pPr>
      <w:r>
        <w:rPr>
          <w:rFonts w:ascii="Arial" w:eastAsia="DengXian" w:hAnsi="Arial" w:cs="Arial"/>
          <w:b/>
          <w:sz w:val="22"/>
        </w:rPr>
        <w:t>Access to Resources</w:t>
      </w:r>
      <w:r>
        <w:rPr>
          <w:rFonts w:ascii="Arial" w:eastAsia="DengXian" w:hAnsi="Arial" w:cs="Arial"/>
          <w:sz w:val="22"/>
        </w:rPr>
        <w:t xml:space="preserve">: Acquiring other companies can provide access to new oil and gas reserves, as well as valuable infrastructure and technology. For example, a company may acquire a smaller company with advanced drilling technology to </w:t>
      </w:r>
      <w:r>
        <w:rPr>
          <w:rFonts w:ascii="Arial" w:eastAsia="DengXian" w:hAnsi="Arial" w:cs="Arial"/>
          <w:sz w:val="22"/>
        </w:rPr>
        <w:lastRenderedPageBreak/>
        <w:t>improve its own production efficiency.</w:t>
      </w:r>
    </w:p>
    <w:p w:rsidR="00B85C6D" w:rsidRDefault="00B85C6D" w:rsidP="00B85C6D">
      <w:pPr>
        <w:numPr>
          <w:ilvl w:val="0"/>
          <w:numId w:val="22"/>
        </w:numPr>
        <w:spacing w:before="120" w:after="120" w:line="288" w:lineRule="auto"/>
        <w:jc w:val="left"/>
      </w:pPr>
      <w:r>
        <w:rPr>
          <w:rFonts w:ascii="Arial" w:eastAsia="DengXian" w:hAnsi="Arial" w:cs="Arial"/>
          <w:b/>
          <w:sz w:val="22"/>
        </w:rPr>
        <w:t>Risk Diversification</w:t>
      </w:r>
      <w:r>
        <w:rPr>
          <w:rFonts w:ascii="Arial" w:eastAsia="DengXian" w:hAnsi="Arial" w:cs="Arial"/>
          <w:sz w:val="22"/>
        </w:rPr>
        <w:t>: In a volatile market, consolidation can help companies diversify their risks. By combining different assets and operations, companies can reduce their exposure to specific market risks, such as fluctuations in oil prices or changes in regulations.</w:t>
      </w:r>
    </w:p>
    <w:p w:rsidR="00B85C6D" w:rsidRDefault="00B85C6D" w:rsidP="00B85C6D">
      <w:pPr>
        <w:spacing w:before="120" w:after="120" w:line="288" w:lineRule="auto"/>
        <w:jc w:val="left"/>
      </w:pPr>
      <w:r>
        <w:rPr>
          <w:rFonts w:ascii="Arial" w:eastAsia="DengXian" w:hAnsi="Arial" w:cs="Arial"/>
          <w:b/>
          <w:sz w:val="22"/>
        </w:rPr>
        <w:t>Impact on the Industry</w:t>
      </w:r>
    </w:p>
    <w:p w:rsidR="00B85C6D" w:rsidRDefault="00B85C6D" w:rsidP="00B85C6D">
      <w:pPr>
        <w:numPr>
          <w:ilvl w:val="0"/>
          <w:numId w:val="23"/>
        </w:numPr>
        <w:spacing w:before="120" w:after="120" w:line="288" w:lineRule="auto"/>
        <w:jc w:val="left"/>
      </w:pPr>
      <w:r>
        <w:rPr>
          <w:rFonts w:ascii="Arial" w:eastAsia="DengXian" w:hAnsi="Arial" w:cs="Arial"/>
          <w:b/>
          <w:sz w:val="22"/>
        </w:rPr>
        <w:t>Fewer but Stronger Players</w:t>
      </w:r>
      <w:r>
        <w:rPr>
          <w:rFonts w:ascii="Arial" w:eastAsia="DengXian" w:hAnsi="Arial" w:cs="Arial"/>
          <w:sz w:val="22"/>
        </w:rPr>
        <w:t xml:space="preserve">: The wave of M&amp;A activities has led to a reduction in the number of </w:t>
      </w:r>
      <w:proofErr w:type="gramStart"/>
      <w:r>
        <w:rPr>
          <w:rFonts w:ascii="Arial" w:eastAsia="DengXian" w:hAnsi="Arial" w:cs="Arial"/>
          <w:sz w:val="22"/>
        </w:rPr>
        <w:t>top</w:t>
      </w:r>
      <w:proofErr w:type="gramEnd"/>
      <w:r>
        <w:rPr>
          <w:rFonts w:ascii="Arial" w:eastAsia="DengXian" w:hAnsi="Arial" w:cs="Arial"/>
          <w:sz w:val="22"/>
        </w:rPr>
        <w:t xml:space="preserve"> publicly-traded exploration and production companies in the United States from 50 to 40. However, these remaining 40 companies still account for approximately 41% of US oil and gas production in 2024, which means they are more concentrated and stronger.</w:t>
      </w:r>
    </w:p>
    <w:p w:rsidR="00B85C6D" w:rsidRDefault="00B85C6D" w:rsidP="00B85C6D">
      <w:pPr>
        <w:numPr>
          <w:ilvl w:val="0"/>
          <w:numId w:val="24"/>
        </w:numPr>
        <w:spacing w:before="120" w:after="120" w:line="288" w:lineRule="auto"/>
        <w:jc w:val="left"/>
      </w:pPr>
      <w:r>
        <w:rPr>
          <w:rFonts w:ascii="Arial" w:eastAsia="DengXian" w:hAnsi="Arial" w:cs="Arial"/>
          <w:b/>
          <w:sz w:val="22"/>
        </w:rPr>
        <w:t>Increased Efficiency</w:t>
      </w:r>
      <w:r>
        <w:rPr>
          <w:rFonts w:ascii="Arial" w:eastAsia="DengXian" w:hAnsi="Arial" w:cs="Arial"/>
          <w:sz w:val="22"/>
        </w:rPr>
        <w:t>: Through consolidation, companies can streamline their operations, eliminate duplicate functions, and improve overall efficiency. This can lead to better resource utilization and higher productivity in the industry.</w:t>
      </w:r>
    </w:p>
    <w:p w:rsidR="00B85C6D" w:rsidRDefault="00B85C6D" w:rsidP="00B85C6D">
      <w:pPr>
        <w:numPr>
          <w:ilvl w:val="0"/>
          <w:numId w:val="25"/>
        </w:numPr>
        <w:spacing w:before="120" w:after="120" w:line="288" w:lineRule="auto"/>
        <w:jc w:val="left"/>
      </w:pPr>
      <w:r>
        <w:rPr>
          <w:rFonts w:ascii="Arial" w:eastAsia="DengXian" w:hAnsi="Arial" w:cs="Arial"/>
          <w:b/>
          <w:sz w:val="22"/>
        </w:rPr>
        <w:t>Challenges in Post-Merger Integration</w:t>
      </w:r>
      <w:r>
        <w:rPr>
          <w:rFonts w:ascii="Arial" w:eastAsia="DengXian" w:hAnsi="Arial" w:cs="Arial"/>
          <w:sz w:val="22"/>
        </w:rPr>
        <w:t>: Despite the potential benefits, post-merger integration often brings challenges. In 2024, despite falling commodity prices and expected synergies from M&amp;A, the cost per barrel of oil equivalent (BOE) rose by 1%, highlighting the operational challenges in the early years after M&amp;A transactions.</w:t>
      </w:r>
    </w:p>
    <w:p w:rsidR="00B85C6D" w:rsidRDefault="00B85C6D" w:rsidP="00B85C6D">
      <w:pPr>
        <w:spacing w:before="120" w:after="120" w:line="288" w:lineRule="auto"/>
        <w:jc w:val="left"/>
      </w:pPr>
      <w:r>
        <w:rPr>
          <w:rFonts w:ascii="Arial" w:eastAsia="DengXian" w:hAnsi="Arial" w:cs="Arial"/>
          <w:b/>
          <w:sz w:val="22"/>
        </w:rPr>
        <w:t>Case Studies</w:t>
      </w:r>
    </w:p>
    <w:p w:rsidR="00B85C6D" w:rsidRDefault="00B85C6D" w:rsidP="00B85C6D">
      <w:pPr>
        <w:numPr>
          <w:ilvl w:val="0"/>
          <w:numId w:val="26"/>
        </w:numPr>
        <w:spacing w:before="120" w:after="120" w:line="288" w:lineRule="auto"/>
        <w:jc w:val="left"/>
      </w:pPr>
      <w:r>
        <w:rPr>
          <w:rFonts w:ascii="Arial" w:eastAsia="DengXian" w:hAnsi="Arial" w:cs="Arial"/>
          <w:b/>
          <w:sz w:val="22"/>
        </w:rPr>
        <w:t>Chevron's Acquisition</w:t>
      </w:r>
      <w:r>
        <w:rPr>
          <w:rFonts w:ascii="Arial" w:eastAsia="DengXian" w:hAnsi="Arial" w:cs="Arial"/>
          <w:sz w:val="22"/>
        </w:rPr>
        <w:t>: Chevron completed a major acquisition in 2024, which significantly expanded its shale oil production in the Permian Basin. The acquisition not only gave Chevron access to more reserves but also allowed it to optimize its operations in the region.</w:t>
      </w:r>
    </w:p>
    <w:p w:rsidR="00B85C6D" w:rsidRDefault="00B85C6D" w:rsidP="00B85C6D">
      <w:pPr>
        <w:numPr>
          <w:ilvl w:val="0"/>
          <w:numId w:val="27"/>
        </w:numPr>
        <w:spacing w:before="120" w:after="120" w:line="288" w:lineRule="auto"/>
        <w:jc w:val="left"/>
      </w:pPr>
      <w:r>
        <w:rPr>
          <w:rFonts w:ascii="Arial" w:eastAsia="DengXian" w:hAnsi="Arial" w:cs="Arial"/>
          <w:b/>
          <w:sz w:val="22"/>
        </w:rPr>
        <w:t>Occidental Petroleum's Deals</w:t>
      </w:r>
      <w:r>
        <w:rPr>
          <w:rFonts w:ascii="Arial" w:eastAsia="DengXian" w:hAnsi="Arial" w:cs="Arial"/>
          <w:sz w:val="22"/>
        </w:rPr>
        <w:t>: Occidental Petroleum was also actively involved in M&amp;A activities in 2024. The company made strategic acquisitions to strengthen its position in the US shale oil market and also to expand its carbon capture and storage business.</w:t>
      </w:r>
    </w:p>
    <w:p w:rsidR="00B85C6D" w:rsidRDefault="00B85C6D" w:rsidP="00B85C6D">
      <w:pPr>
        <w:spacing w:before="120" w:after="120" w:line="288" w:lineRule="auto"/>
        <w:jc w:val="left"/>
      </w:pPr>
      <w:r>
        <w:rPr>
          <w:rFonts w:ascii="Arial" w:eastAsia="DengXian" w:hAnsi="Arial" w:cs="Arial"/>
          <w:b/>
          <w:sz w:val="22"/>
        </w:rPr>
        <w:t>Conclusion</w:t>
      </w:r>
    </w:p>
    <w:p w:rsidR="00B85C6D" w:rsidRDefault="00B85C6D" w:rsidP="00B85C6D">
      <w:pPr>
        <w:spacing w:before="120" w:after="120" w:line="288" w:lineRule="auto"/>
        <w:jc w:val="left"/>
      </w:pPr>
      <w:r>
        <w:rPr>
          <w:rFonts w:ascii="Arial" w:eastAsia="DengXian" w:hAnsi="Arial" w:cs="Arial"/>
          <w:sz w:val="22"/>
        </w:rPr>
        <w:t>The consolidation and M&amp;A activities in the oil and gas industry are expected to continue in the coming years. These activities will reshape the industry landscape, leading to fewer but stronger players. While there are potential benefits such as economies of scale and increased efficiency, companies also need to pay attention to the challenges of post-merger integration.</w:t>
      </w:r>
    </w:p>
    <w:p w:rsidR="00B85C6D" w:rsidRDefault="00B85C6D" w:rsidP="00B85C6D">
      <w:pPr>
        <w:spacing w:before="120" w:after="120" w:line="288" w:lineRule="auto"/>
        <w:jc w:val="left"/>
      </w:pPr>
    </w:p>
    <w:p w:rsidR="00B85C6D" w:rsidRDefault="00B85C6D" w:rsidP="00B85C6D">
      <w:pPr>
        <w:spacing w:before="120" w:after="120" w:line="288" w:lineRule="auto"/>
        <w:jc w:val="left"/>
      </w:pPr>
    </w:p>
    <w:p w:rsidR="00B85C6D" w:rsidRDefault="00B85C6D" w:rsidP="00B85C6D">
      <w:pPr>
        <w:spacing w:before="120" w:after="120" w:line="288" w:lineRule="auto"/>
        <w:jc w:val="left"/>
      </w:pPr>
    </w:p>
    <w:p w:rsidR="00B85C6D" w:rsidRDefault="00B85C6D" w:rsidP="00B85C6D">
      <w:pPr>
        <w:spacing w:before="320" w:after="120" w:line="288" w:lineRule="auto"/>
        <w:jc w:val="left"/>
        <w:outlineLvl w:val="1"/>
      </w:pPr>
      <w:bookmarkStart w:id="3" w:name="heading_8"/>
      <w:r>
        <w:rPr>
          <w:rFonts w:ascii="Arial" w:eastAsia="DengXian" w:hAnsi="Arial" w:cs="Arial"/>
          <w:b/>
          <w:sz w:val="32"/>
        </w:rPr>
        <w:t>Report 4: The Development and Outlook of the Oil and Gas Industry in the UAE</w:t>
      </w:r>
      <w:bookmarkEnd w:id="3"/>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Executive Summary</w:t>
      </w:r>
    </w:p>
    <w:p w:rsidR="00B85C6D" w:rsidRDefault="00B85C6D" w:rsidP="00B85C6D">
      <w:pPr>
        <w:spacing w:before="120" w:after="120" w:line="288" w:lineRule="auto"/>
        <w:jc w:val="left"/>
      </w:pPr>
      <w:r>
        <w:rPr>
          <w:rFonts w:ascii="Arial" w:eastAsia="DengXian" w:hAnsi="Arial" w:cs="Arial"/>
          <w:sz w:val="22"/>
        </w:rPr>
        <w:t>This report offers an in-depth exploration of the current status, challenges, and future prospects of the oil and gas industry in the United Arab Emirates (UAE). The UAE, renowned as a global energy powerhouse, has its oil and gas industry at the core of its economic development. However, in the face of the global energy transition and evolving market dynamics, the industry is undergoing significant transformations. It aims to maintain its dominant position in the international energy market while simultaneously adapting to the trends of decarbonization and digitalization.</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Resource Reserves and Production</w:t>
      </w:r>
    </w:p>
    <w:p w:rsidR="00B85C6D" w:rsidRDefault="00B85C6D" w:rsidP="00B85C6D">
      <w:pPr>
        <w:spacing w:before="120" w:after="120" w:line="288" w:lineRule="auto"/>
        <w:jc w:val="left"/>
      </w:pPr>
      <w:r>
        <w:rPr>
          <w:rFonts w:ascii="Arial" w:eastAsia="DengXian" w:hAnsi="Arial" w:cs="Arial"/>
          <w:b/>
          <w:sz w:val="22"/>
        </w:rPr>
        <w:t>Reserves</w:t>
      </w:r>
    </w:p>
    <w:p w:rsidR="00B85C6D" w:rsidRDefault="00B85C6D" w:rsidP="00B85C6D">
      <w:pPr>
        <w:spacing w:before="120" w:after="120" w:line="288" w:lineRule="auto"/>
        <w:jc w:val="left"/>
      </w:pPr>
      <w:r>
        <w:rPr>
          <w:rFonts w:ascii="Arial" w:eastAsia="DengXian" w:hAnsi="Arial" w:cs="Arial"/>
          <w:sz w:val="22"/>
        </w:rPr>
        <w:t>The UAE boasts substantial oil and gas reserves. As of 2024, its proven oil reserves stand at approximately 113 billion barrels, with around 96% concentrated in Abu Dhabi, ranking it as the world's sixth-largest oil-holding nation. In terms of natural gas, the UAE holds an estimated 215 trillion cubic feet of proven reserves, placing it seventh globally. These reserves are distributed across various regions within the country, with significant deposits in Abu Dhabi's onshore and offshore areas, as well as in Dubai and other emirates. For instance, in 2020, the discovery of over 80 trillion cubic feet of gas resources at Jebel Ali in Dubai further enhanced the UAE's gas reserve portfolio.</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Production</w:t>
      </w:r>
    </w:p>
    <w:p w:rsidR="00B85C6D" w:rsidRDefault="00B85C6D" w:rsidP="00B85C6D">
      <w:pPr>
        <w:spacing w:before="120" w:after="120" w:line="288" w:lineRule="auto"/>
        <w:jc w:val="left"/>
      </w:pPr>
      <w:r>
        <w:rPr>
          <w:rFonts w:ascii="Arial" w:eastAsia="DengXian" w:hAnsi="Arial" w:cs="Arial"/>
          <w:sz w:val="22"/>
        </w:rPr>
        <w:t xml:space="preserve">The UAE is a major global oil and gas producer. It produces an average of 3.2 million barrels of petroleum and liquids per day. Abu Dhabi National Oil Company (ADNOC), a global leader in the industry, is responsible for the majority of the UAE's production. </w:t>
      </w:r>
      <w:r>
        <w:rPr>
          <w:rFonts w:ascii="Arial" w:eastAsia="DengXian" w:hAnsi="Arial" w:cs="Arial"/>
          <w:sz w:val="22"/>
        </w:rPr>
        <w:lastRenderedPageBreak/>
        <w:t xml:space="preserve">ADNOC operates through 14 subsidiary companies, with ADNOC Onshore and ADNOC Offshore being key players in oil and gas extraction. In recent years, the UAE has been ramping up its production capacity. ADNOC aims to reach a maximum sustainable production capacity of 5 million barrels per day by 2030. In the gas sector, despite being a large-scale consumer, the UAE is striving for self-sufficiency. In 2023, ADNOC announced the development of the Hail and </w:t>
      </w:r>
      <w:proofErr w:type="spellStart"/>
      <w:r>
        <w:rPr>
          <w:rFonts w:ascii="Arial" w:eastAsia="DengXian" w:hAnsi="Arial" w:cs="Arial"/>
          <w:sz w:val="22"/>
        </w:rPr>
        <w:t>Ghasha</w:t>
      </w:r>
      <w:proofErr w:type="spellEnd"/>
      <w:r>
        <w:rPr>
          <w:rFonts w:ascii="Arial" w:eastAsia="DengXian" w:hAnsi="Arial" w:cs="Arial"/>
          <w:sz w:val="22"/>
        </w:rPr>
        <w:t xml:space="preserve"> offshore super-acidic gas project, which is expected to contribute significantly to meeting domestic gas demands.</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Market Supply and Demand</w:t>
      </w:r>
    </w:p>
    <w:p w:rsidR="00B85C6D" w:rsidRDefault="00B85C6D" w:rsidP="00B85C6D">
      <w:pPr>
        <w:spacing w:before="120" w:after="120" w:line="288" w:lineRule="auto"/>
        <w:jc w:val="left"/>
      </w:pPr>
      <w:r>
        <w:rPr>
          <w:rFonts w:ascii="Arial" w:eastAsia="DengXian" w:hAnsi="Arial" w:cs="Arial"/>
          <w:b/>
          <w:sz w:val="22"/>
        </w:rPr>
        <w:t>Demand</w:t>
      </w:r>
    </w:p>
    <w:p w:rsidR="00B85C6D" w:rsidRDefault="00B85C6D" w:rsidP="00B85C6D">
      <w:pPr>
        <w:spacing w:before="120" w:after="120" w:line="288" w:lineRule="auto"/>
        <w:jc w:val="left"/>
      </w:pPr>
      <w:r>
        <w:rPr>
          <w:rFonts w:ascii="Arial" w:eastAsia="DengXian" w:hAnsi="Arial" w:cs="Arial"/>
          <w:sz w:val="22"/>
        </w:rPr>
        <w:t xml:space="preserve">Domestically, the UAE's oil and gas demand is driven by multiple sectors. The energy-intensive industries, such as petrochemicals and manufacturing, consume a substantial </w:t>
      </w:r>
      <w:proofErr w:type="gramStart"/>
      <w:r>
        <w:rPr>
          <w:rFonts w:ascii="Arial" w:eastAsia="DengXian" w:hAnsi="Arial" w:cs="Arial"/>
          <w:sz w:val="22"/>
        </w:rPr>
        <w:t>amount</w:t>
      </w:r>
      <w:proofErr w:type="gramEnd"/>
      <w:r>
        <w:rPr>
          <w:rFonts w:ascii="Arial" w:eastAsia="DengXian" w:hAnsi="Arial" w:cs="Arial"/>
          <w:sz w:val="22"/>
        </w:rPr>
        <w:t xml:space="preserve"> of oil and gas. Additionally, the rapidly growing population and expanding urban infrastructure have led to increased demand for energy in the residential and commercial sectors. For example, the construction of new smart cities like Masdar City in Abu Dhabi has raised the need for reliable and clean energy sources, including natural gas for power generation. In the transportation sector, although there is a push towards electrification, oil-based fuels still dominate.</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sz w:val="22"/>
        </w:rPr>
        <w:t>In the international market, the UAE's oil and gas are in high demand. The UAE is one of the world's largest oil exporters, supplying to countries across Asia, Europe, and the Americas. Its natural gas, especially in the form of Liquefied Natural Gas (LNG), is increasingly sought after by emerging economies in Asia and Europe, where there is a growing need for cleaner-burning energy sources to meet environmental targets.</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Supply</w:t>
      </w:r>
    </w:p>
    <w:p w:rsidR="00B85C6D" w:rsidRDefault="00B85C6D" w:rsidP="00B85C6D">
      <w:pPr>
        <w:spacing w:before="120" w:after="120" w:line="288" w:lineRule="auto"/>
        <w:jc w:val="left"/>
      </w:pPr>
      <w:r>
        <w:rPr>
          <w:rFonts w:ascii="Arial" w:eastAsia="DengXian" w:hAnsi="Arial" w:cs="Arial"/>
          <w:sz w:val="22"/>
        </w:rPr>
        <w:t xml:space="preserve">The UAE has a well-established supply chain for oil and gas. ADNOC manages the upstream production, mid-stream transportation, and downstream refining and marketing of oil and gas products. The UAE exports a significant portion of its oil production. It has a vast network of pipelines, such as the Abu Dhabi Crude Oil Pipeline (ADCOP), which transports oil from the onshore fields to the export terminals. In the gas sector, the UAE is working towards increasing its LNG </w:t>
      </w:r>
      <w:r>
        <w:rPr>
          <w:rFonts w:ascii="Arial" w:eastAsia="DengXian" w:hAnsi="Arial" w:cs="Arial"/>
          <w:sz w:val="22"/>
        </w:rPr>
        <w:lastRenderedPageBreak/>
        <w:t>production and export capacity. The existing Das Island LNG facility has an annual production capacity of 600,000 tons. In addition, the development of new projects like the Ruwais LNG project, with a planned capacity of 9.6 million tons per year by 2028, will further boost the UAE's LNG supply in the global market.</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Policy Environment</w:t>
      </w:r>
    </w:p>
    <w:p w:rsidR="00B85C6D" w:rsidRDefault="00B85C6D" w:rsidP="00B85C6D">
      <w:pPr>
        <w:spacing w:before="120" w:after="120" w:line="288" w:lineRule="auto"/>
        <w:jc w:val="left"/>
      </w:pPr>
      <w:r>
        <w:rPr>
          <w:rFonts w:ascii="Arial" w:eastAsia="DengXian" w:hAnsi="Arial" w:cs="Arial"/>
          <w:b/>
          <w:sz w:val="22"/>
        </w:rPr>
        <w:t>Energy Security Policy</w:t>
      </w:r>
    </w:p>
    <w:p w:rsidR="00B85C6D" w:rsidRDefault="00B85C6D" w:rsidP="00B85C6D">
      <w:pPr>
        <w:spacing w:before="120" w:after="120" w:line="288" w:lineRule="auto"/>
        <w:jc w:val="left"/>
      </w:pPr>
      <w:r>
        <w:rPr>
          <w:rFonts w:ascii="Arial" w:eastAsia="DengXian" w:hAnsi="Arial" w:cs="Arial"/>
          <w:sz w:val="22"/>
        </w:rPr>
        <w:t>The UAE government attaches great importance to energy security. It has formulated a series of policies to ensure stable domestic and international energy supply. The "2050 National Energy Strategy" serves as a guiding document. This strategy aims to diversify the energy mix, increase the share of clean energy, and enhance the efficiency of energy use. To achieve self-sufficiency in gas supply by 2030, the government encourages domestic gas exploration and production. It also promotes the construction of strategic energy reserves to safeguard against potential supply disruptions.</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Carbon Emission Reduction and Sustainability Policy</w:t>
      </w:r>
    </w:p>
    <w:p w:rsidR="00B85C6D" w:rsidRDefault="00B85C6D" w:rsidP="00B85C6D">
      <w:pPr>
        <w:spacing w:before="120" w:after="120" w:line="288" w:lineRule="auto"/>
        <w:jc w:val="left"/>
      </w:pPr>
      <w:r>
        <w:rPr>
          <w:rFonts w:ascii="Arial" w:eastAsia="DengXian" w:hAnsi="Arial" w:cs="Arial"/>
          <w:sz w:val="22"/>
        </w:rPr>
        <w:t>In response to global climate change concerns, the UAE has set ambitious carbon emission reduction targets. It was the first Arab state to set a "net-zero" emissions target. The UAE government has implemented policies to promote the decarbonization of the oil and gas industry. For example, during the COP28 held in the UAE in 2023, the country jointly launched the "Oil and Gas Decarbonization Charter" with Saudi Arabia. This charter aims to accelerate the decarbonization process of the global oil and gas industry, with signatories committed to achieving net-zero emissions and methane zero-emissions by 2050 and eliminating "routine flaring" by 2030.</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Technological Innovation</w:t>
      </w:r>
    </w:p>
    <w:p w:rsidR="00B85C6D" w:rsidRDefault="00B85C6D" w:rsidP="00B85C6D">
      <w:pPr>
        <w:spacing w:before="120" w:after="120" w:line="288" w:lineRule="auto"/>
        <w:jc w:val="left"/>
      </w:pPr>
      <w:r>
        <w:rPr>
          <w:rFonts w:ascii="Arial" w:eastAsia="DengXian" w:hAnsi="Arial" w:cs="Arial"/>
          <w:b/>
          <w:sz w:val="22"/>
        </w:rPr>
        <w:t>Digitalization and AI-driven Optimization</w:t>
      </w:r>
    </w:p>
    <w:p w:rsidR="00B85C6D" w:rsidRDefault="00B85C6D" w:rsidP="00B85C6D">
      <w:pPr>
        <w:spacing w:before="120" w:after="120" w:line="288" w:lineRule="auto"/>
        <w:jc w:val="left"/>
      </w:pPr>
      <w:r>
        <w:rPr>
          <w:rFonts w:ascii="Arial" w:eastAsia="DengXian" w:hAnsi="Arial" w:cs="Arial"/>
          <w:sz w:val="22"/>
        </w:rPr>
        <w:t xml:space="preserve">The UAE's oil and gas industry has been at the forefront of digital transformation. ADNOC, for example, has established an AI-driven "Panoramic Digital Command Center" since 2017. This center can monitor and collect data across the entire business chain, from upstream production to downstream supply and sales. By using </w:t>
      </w:r>
      <w:r>
        <w:rPr>
          <w:rFonts w:ascii="Arial" w:eastAsia="DengXian" w:hAnsi="Arial" w:cs="Arial"/>
          <w:sz w:val="22"/>
        </w:rPr>
        <w:lastRenderedPageBreak/>
        <w:t>big data intelligent analysis models and advanced AI technologies, it optimizes oil and gas exploration and production processes. The Advanced Reservoir 360 (AR360) solution uses AI to visualize reservoirs, reducing planning time, optimizing development techniques, and increasing well lifespan and ultimate recovery rates. In 2024, ADNOC deployed the industry-leading AI process optimization technology Neuron 5, which can autonomously monitor key equipment performance, optimize processes, and conduct preventive maintenance.</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Carbon Capture, Utilization, and Storage (CCUS)</w:t>
      </w:r>
    </w:p>
    <w:p w:rsidR="00B85C6D" w:rsidRDefault="00B85C6D" w:rsidP="00B85C6D">
      <w:pPr>
        <w:spacing w:before="120" w:after="120" w:line="288" w:lineRule="auto"/>
        <w:jc w:val="left"/>
      </w:pPr>
      <w:r>
        <w:rPr>
          <w:rFonts w:ascii="Arial" w:eastAsia="DengXian" w:hAnsi="Arial" w:cs="Arial"/>
          <w:sz w:val="22"/>
        </w:rPr>
        <w:t>In an effort to reduce carbon emissions, the UAE is investing in CCUS technologies. ADNOC is exploring the application of CCUS in its operations. Tools like Emission X collect historical and real-time data from hundreds of emission sources in operational sites, enabling the prediction of emission sources in advance and allowing operators to take preventive measures. Although CCUS technology currently faces challenges such as high costs and low-capacity utilization globally, the UAE's investment in this area reflects its commitment to sustainable development in the oil and gas industry.</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Future Outlook</w:t>
      </w:r>
    </w:p>
    <w:p w:rsidR="00B85C6D" w:rsidRDefault="00B85C6D" w:rsidP="00B85C6D">
      <w:pPr>
        <w:spacing w:before="120" w:after="120" w:line="288" w:lineRule="auto"/>
        <w:jc w:val="left"/>
      </w:pPr>
      <w:r>
        <w:rPr>
          <w:rFonts w:ascii="Arial" w:eastAsia="DengXian" w:hAnsi="Arial" w:cs="Arial"/>
          <w:b/>
          <w:sz w:val="22"/>
        </w:rPr>
        <w:t>Production and Consumption Trend</w:t>
      </w:r>
    </w:p>
    <w:p w:rsidR="00B85C6D" w:rsidRDefault="00B85C6D" w:rsidP="00B85C6D">
      <w:pPr>
        <w:spacing w:before="120" w:after="120" w:line="288" w:lineRule="auto"/>
        <w:jc w:val="left"/>
      </w:pPr>
      <w:r>
        <w:rPr>
          <w:rFonts w:ascii="Arial" w:eastAsia="DengXian" w:hAnsi="Arial" w:cs="Arial"/>
          <w:sz w:val="22"/>
        </w:rPr>
        <w:t xml:space="preserve">In the future, the UAE's oil production is expected to increase gradually as ADNOC works towards its 2030 production capacity target. However, with the global shift towards clean energy, the growth rate may slow down in the long term. In the gas sector, the UAE is likely to achieve self-sufficiency by 2030, as a result of ongoing projects such as the Hail and </w:t>
      </w:r>
      <w:proofErr w:type="spellStart"/>
      <w:r>
        <w:rPr>
          <w:rFonts w:ascii="Arial" w:eastAsia="DengXian" w:hAnsi="Arial" w:cs="Arial"/>
          <w:sz w:val="22"/>
        </w:rPr>
        <w:t>Ghasha</w:t>
      </w:r>
      <w:proofErr w:type="spellEnd"/>
      <w:r>
        <w:rPr>
          <w:rFonts w:ascii="Arial" w:eastAsia="DengXian" w:hAnsi="Arial" w:cs="Arial"/>
          <w:sz w:val="22"/>
        </w:rPr>
        <w:t xml:space="preserve"> gas project and the expansion of LNG production facilities. The demand for LNG is projected to grow significantly globally, especially in Asia and Europe, where the UAE is well-positioned to meet this demand with its expanding production capacity.</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Industry Transformation</w:t>
      </w:r>
    </w:p>
    <w:p w:rsidR="00B85C6D" w:rsidRDefault="00B85C6D" w:rsidP="00B85C6D">
      <w:pPr>
        <w:spacing w:before="120" w:after="120" w:line="288" w:lineRule="auto"/>
        <w:jc w:val="left"/>
      </w:pPr>
      <w:r>
        <w:rPr>
          <w:rFonts w:ascii="Arial" w:eastAsia="DengXian" w:hAnsi="Arial" w:cs="Arial"/>
          <w:sz w:val="22"/>
        </w:rPr>
        <w:t xml:space="preserve">The UAE's oil and gas industry is on the path of transformation. It will continue to invest in low-carbon technologies, such as renewable energy, clean hydrogen, and further development of CCUS. ADNOC has established a new low-carbon solutions and international growth division, focusing on these areas. The industry will also integrate with digital technologies more deeply, improving operational efficiency and </w:t>
      </w:r>
      <w:r>
        <w:rPr>
          <w:rFonts w:ascii="Arial" w:eastAsia="DengXian" w:hAnsi="Arial" w:cs="Arial"/>
          <w:sz w:val="22"/>
        </w:rPr>
        <w:lastRenderedPageBreak/>
        <w:t>competitiveness. Additionally, the UAE may explore new business models, such as providing comprehensive energy solutions that combine traditional oil and gas with renewable energy sources, to adapt to the changing global energy landscape.</w:t>
      </w:r>
    </w:p>
    <w:p w:rsidR="00B85C6D" w:rsidRDefault="00B85C6D" w:rsidP="00B85C6D">
      <w:pPr>
        <w:spacing w:before="120" w:after="120" w:line="288" w:lineRule="auto"/>
        <w:jc w:val="left"/>
      </w:pPr>
    </w:p>
    <w:p w:rsidR="00B85C6D" w:rsidRDefault="00B85C6D" w:rsidP="00B85C6D">
      <w:pPr>
        <w:spacing w:before="120" w:after="120" w:line="288" w:lineRule="auto"/>
        <w:jc w:val="left"/>
      </w:pPr>
      <w:r>
        <w:rPr>
          <w:rFonts w:ascii="Arial" w:eastAsia="DengXian" w:hAnsi="Arial" w:cs="Arial"/>
          <w:b/>
          <w:sz w:val="22"/>
        </w:rPr>
        <w:t>Conclusion</w:t>
      </w:r>
    </w:p>
    <w:p w:rsidR="00B85C6D" w:rsidRDefault="00B85C6D" w:rsidP="00B85C6D">
      <w:pPr>
        <w:spacing w:before="120" w:after="120" w:line="288" w:lineRule="auto"/>
        <w:jc w:val="left"/>
      </w:pPr>
      <w:r>
        <w:rPr>
          <w:rFonts w:ascii="Arial" w:eastAsia="DengXian" w:hAnsi="Arial" w:cs="Arial"/>
          <w:sz w:val="22"/>
        </w:rPr>
        <w:t>The UAE's oil and gas industry has a strong foundation with abundant resources and advanced production capabilities. However, it also faces challenges brought about by the global energy transition and carbon emission reduction requirements. Through continuous technological innovation, policy-driven support, and strategic transformation, the industry is expected to maintain its competitiveness in the global energy market. The UAE's efforts in digitalization, decarbonization, and capacity expansion will not only ensure the sustainable development of its oil and gas industry but also contribute to the global energy transition and the achievement of carbon neutrality goals.</w:t>
      </w:r>
    </w:p>
    <w:p w:rsidR="00B85C6D" w:rsidRDefault="00B85C6D" w:rsidP="00B85C6D">
      <w:pPr>
        <w:spacing w:before="120" w:after="120" w:line="288" w:lineRule="auto"/>
        <w:jc w:val="left"/>
      </w:pPr>
    </w:p>
    <w:p w:rsidR="00B85C6D" w:rsidRDefault="00B85C6D" w:rsidP="00B85C6D">
      <w:pPr>
        <w:spacing w:before="120" w:after="120" w:line="288" w:lineRule="auto"/>
        <w:jc w:val="left"/>
      </w:pPr>
    </w:p>
    <w:p w:rsidR="00B85C6D" w:rsidRDefault="00B85C6D" w:rsidP="00B85C6D">
      <w:pPr>
        <w:spacing w:before="120" w:after="120" w:line="288" w:lineRule="auto"/>
        <w:jc w:val="left"/>
      </w:pPr>
    </w:p>
    <w:p w:rsidR="00B85C6D" w:rsidRDefault="00B85C6D" w:rsidP="00B85C6D">
      <w:pPr>
        <w:spacing w:before="120" w:after="120" w:line="288" w:lineRule="auto"/>
        <w:jc w:val="left"/>
      </w:pPr>
    </w:p>
    <w:p w:rsidR="00B85C6D" w:rsidRDefault="00B85C6D" w:rsidP="00B85C6D">
      <w:pPr>
        <w:spacing w:before="320" w:after="120" w:line="288" w:lineRule="auto"/>
        <w:jc w:val="left"/>
        <w:outlineLvl w:val="1"/>
      </w:pPr>
      <w:bookmarkStart w:id="4" w:name="heading_10"/>
      <w:r>
        <w:rPr>
          <w:rFonts w:ascii="Arial" w:eastAsia="DengXian" w:hAnsi="Arial" w:cs="Arial"/>
          <w:b/>
          <w:sz w:val="32"/>
        </w:rPr>
        <w:t>Report 5: Digital Transformation and Technological Innovation in the Oil &amp; Gas Industry</w:t>
      </w:r>
      <w:bookmarkEnd w:id="4"/>
    </w:p>
    <w:p w:rsidR="00B85C6D" w:rsidRDefault="00B85C6D" w:rsidP="00B85C6D">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This report focuses on the digital transformation process and technological innovation trends in the oil and gas industry. Against the backdrop of accelerated global energy transition and intensified market competition, digital technologies have become a core driver for oil and gas companies to improve efficiency, reduce costs, and lower carbon emissions. From exploration and production to storage, transportation, and sales, technologies such as artificial intelligence (AI), the Internet of Things (IoT), and big data have moved from pilot phases to large-scale implementation, reshaping industry operating models. At the same time, technological innovation faces challenges including data security, talent gaps, and resistance from traditional practices. Future breakthroughs will require cross-industry collaboration and policy guidance.</w:t>
      </w:r>
    </w:p>
    <w:p w:rsidR="00B85C6D" w:rsidRDefault="00B85C6D" w:rsidP="00B85C6D">
      <w:pPr>
        <w:spacing w:before="120" w:after="120" w:line="288" w:lineRule="auto"/>
        <w:jc w:val="left"/>
      </w:pPr>
      <w:r>
        <w:rPr>
          <w:rFonts w:ascii="Arial" w:eastAsia="DengXian" w:hAnsi="Arial" w:cs="Arial"/>
          <w:b/>
          <w:sz w:val="22"/>
        </w:rPr>
        <w:lastRenderedPageBreak/>
        <w:t>I. Core Areas of Digital Transformation</w:t>
      </w:r>
    </w:p>
    <w:p w:rsidR="00B85C6D" w:rsidRDefault="00B85C6D" w:rsidP="00B85C6D">
      <w:pPr>
        <w:numPr>
          <w:ilvl w:val="0"/>
          <w:numId w:val="39"/>
        </w:numPr>
        <w:spacing w:before="120" w:after="120" w:line="288" w:lineRule="auto"/>
        <w:jc w:val="left"/>
      </w:pPr>
      <w:r>
        <w:rPr>
          <w:rFonts w:ascii="Arial" w:eastAsia="DengXian" w:hAnsi="Arial" w:cs="Arial"/>
          <w:b/>
          <w:sz w:val="22"/>
        </w:rPr>
        <w:t>Upstream Exploration and Production: Intelligent Decision-Making and Efficiency Revolution</w:t>
      </w:r>
      <w:r>
        <w:rPr>
          <w:rFonts w:ascii="Arial" w:eastAsia="DengXian" w:hAnsi="Arial" w:cs="Arial"/>
          <w:sz w:val="22"/>
        </w:rPr>
        <w:br/>
        <w:t xml:space="preserve"> In oil and gas exploration, seismic data processing has shifted from traditional manual analysis to AI-driven automated interpretation. For example, Schlumberger’s “Seismic Intelligence Interpretation Platform” uses machine learning algorithms to reduce the interpretation time of 3D seismic data by 60% and increase reservoir prediction accuracy to over 85%. By 2024, 70% of the top 20 global oil and gas companies have adopted similar technologies, significantly reducing exploration failure rates.</w:t>
      </w:r>
    </w:p>
    <w:p w:rsidR="00B85C6D" w:rsidRDefault="00B85C6D" w:rsidP="00B85C6D">
      <w:pPr>
        <w:spacing w:before="120" w:after="120" w:line="288" w:lineRule="auto"/>
        <w:jc w:val="left"/>
      </w:pPr>
      <w:r>
        <w:rPr>
          <w:rFonts w:ascii="Arial" w:eastAsia="DengXian" w:hAnsi="Arial" w:cs="Arial"/>
          <w:sz w:val="22"/>
        </w:rPr>
        <w:t>Digitalization in the development stage focuses on building “smart fields.” ADNOC’s “Digital Oilfield Ecosystem” integrates real-time data from over 5,000 wells. Edge computing devices monitor key parameters such as pressure and temperature, while AI models dynamically adjust extraction plans, increasing single-well recovery rates by an average of 3–5 percentage points. Chevron’s deployment of digital twin systems in the Permian Basin can simulate reservoir dynamics under different development strategies, shortening drilling cycles by 20% and reducing per-well costs by 12%.</w:t>
      </w:r>
    </w:p>
    <w:p w:rsidR="00B85C6D" w:rsidRDefault="00B85C6D" w:rsidP="00B85C6D">
      <w:pPr>
        <w:numPr>
          <w:ilvl w:val="0"/>
          <w:numId w:val="40"/>
        </w:numPr>
        <w:spacing w:before="120" w:after="120" w:line="288" w:lineRule="auto"/>
        <w:jc w:val="left"/>
      </w:pPr>
      <w:r>
        <w:rPr>
          <w:rFonts w:ascii="Arial" w:eastAsia="DengXian" w:hAnsi="Arial" w:cs="Arial"/>
          <w:b/>
          <w:sz w:val="22"/>
        </w:rPr>
        <w:t>Midstream Storage and Transportation: Intelligent Monitoring and Risk Alerts</w:t>
      </w:r>
      <w:r>
        <w:rPr>
          <w:rFonts w:ascii="Arial" w:eastAsia="DengXian" w:hAnsi="Arial" w:cs="Arial"/>
          <w:sz w:val="22"/>
        </w:rPr>
        <w:br/>
        <w:t xml:space="preserve"> In pipeline transportation, IoT sensor deployment enables “full-chain visibility.” BP has installed more than 100,000 smart sensors across its European natural gas pipeline network to monitor risks such as leaks and pressure anomalies. Leak detection response time has decreased from 2 hours to 15 minutes, saving over $20 million annually.</w:t>
      </w:r>
    </w:p>
    <w:p w:rsidR="00B85C6D" w:rsidRDefault="00B85C6D" w:rsidP="00B85C6D">
      <w:pPr>
        <w:spacing w:before="120" w:after="120" w:line="288" w:lineRule="auto"/>
        <w:jc w:val="left"/>
      </w:pPr>
      <w:r>
        <w:rPr>
          <w:rFonts w:ascii="Arial" w:eastAsia="DengXian" w:hAnsi="Arial" w:cs="Arial"/>
          <w:sz w:val="22"/>
        </w:rPr>
        <w:t>In LNG transportation, blockchain technology solves supply chain traceability challenges. Shell and Microsoft have developed an “LNG Trading Blockchain Platform” that compresses processes such as cargo verification and document transfer from 3 days to 4 hours, while eliminating data tampering risks. By 2024, this platform handled 15% of global LNG trade volume.</w:t>
      </w:r>
    </w:p>
    <w:p w:rsidR="00B85C6D" w:rsidRDefault="00B85C6D" w:rsidP="00B85C6D">
      <w:pPr>
        <w:numPr>
          <w:ilvl w:val="0"/>
          <w:numId w:val="41"/>
        </w:numPr>
        <w:spacing w:before="120" w:after="120" w:line="288" w:lineRule="auto"/>
        <w:jc w:val="left"/>
      </w:pPr>
      <w:r>
        <w:rPr>
          <w:rFonts w:ascii="Arial" w:eastAsia="DengXian" w:hAnsi="Arial" w:cs="Arial"/>
          <w:b/>
          <w:sz w:val="22"/>
        </w:rPr>
        <w:t>Downstream Refining and Petrochemicals: Flexible Production and Energy Optimization</w:t>
      </w:r>
      <w:r>
        <w:rPr>
          <w:rFonts w:ascii="Arial" w:eastAsia="DengXian" w:hAnsi="Arial" w:cs="Arial"/>
          <w:sz w:val="22"/>
        </w:rPr>
        <w:br/>
        <w:t xml:space="preserve"> Digital transformation in refineries centers on “smart manufacturing.” Saudi Aramco’s smart plant in the Jubail Petrochemical Complex uses AI to optimize reactor temperature and pressure, reducing ethylene production energy consumption </w:t>
      </w:r>
      <w:r>
        <w:rPr>
          <w:rFonts w:ascii="Arial" w:eastAsia="DengXian" w:hAnsi="Arial" w:cs="Arial"/>
          <w:sz w:val="22"/>
        </w:rPr>
        <w:lastRenderedPageBreak/>
        <w:t>by 8% and cutting product switch-over time from 12 hours to 4 hours, meeting market demand for small-batch, multi-product production.</w:t>
      </w:r>
    </w:p>
    <w:p w:rsidR="00B85C6D" w:rsidRDefault="00B85C6D" w:rsidP="00B85C6D">
      <w:pPr>
        <w:spacing w:before="120" w:after="120" w:line="288" w:lineRule="auto"/>
        <w:jc w:val="left"/>
      </w:pPr>
      <w:r>
        <w:rPr>
          <w:rFonts w:ascii="Arial" w:eastAsia="DengXian" w:hAnsi="Arial" w:cs="Arial"/>
          <w:sz w:val="22"/>
        </w:rPr>
        <w:t>Gas station terminals are transforming into “digital service hubs.” Total Energies deployed digital payment and customer behavior analytics systems at 2,000 gas stations across Europe. Through app-based membership data, customized services are recommended, increasing non-fuel revenue share to 35% and boosting customer repurchase rates by 20%.</w:t>
      </w:r>
    </w:p>
    <w:p w:rsidR="00B85C6D" w:rsidRDefault="00B85C6D" w:rsidP="00B85C6D">
      <w:pPr>
        <w:spacing w:before="120" w:after="120" w:line="288" w:lineRule="auto"/>
        <w:jc w:val="left"/>
      </w:pPr>
      <w:r>
        <w:rPr>
          <w:rFonts w:ascii="Arial" w:eastAsia="DengXian" w:hAnsi="Arial" w:cs="Arial"/>
          <w:b/>
          <w:sz w:val="22"/>
        </w:rPr>
        <w:t>II. Key Technological Innovation Trends</w:t>
      </w:r>
    </w:p>
    <w:p w:rsidR="00B85C6D" w:rsidRDefault="00B85C6D" w:rsidP="00B85C6D">
      <w:pPr>
        <w:numPr>
          <w:ilvl w:val="0"/>
          <w:numId w:val="42"/>
        </w:numPr>
        <w:spacing w:before="120" w:after="120" w:line="288" w:lineRule="auto"/>
        <w:jc w:val="left"/>
      </w:pPr>
      <w:r>
        <w:rPr>
          <w:rFonts w:ascii="Arial" w:eastAsia="DengXian" w:hAnsi="Arial" w:cs="Arial"/>
          <w:b/>
          <w:sz w:val="22"/>
        </w:rPr>
        <w:t>Artificial Intelligence and Machine Learning: From Decision Support to Autonomous Operations</w:t>
      </w:r>
      <w:r>
        <w:rPr>
          <w:rFonts w:ascii="Arial" w:eastAsia="DengXian" w:hAnsi="Arial" w:cs="Arial"/>
          <w:sz w:val="22"/>
        </w:rPr>
        <w:br/>
        <w:t xml:space="preserve"> AI technology is evolving from a “data analyst” to an “autonomous decision-maker.” ExxonMobil developed a “Production Optimization AI Agent” that autonomously adjusts pump frequency and water injection parameters. In a Permian Basin pilot, continuous stable production was achieved without human intervention, reducing labor costs by 40%. In predictive maintenance, GE’s AI models analyze equipment vibration and temperature data to forecast pump failures 30 days in advance, reducing unplanned downtime by 35%.</w:t>
      </w:r>
    </w:p>
    <w:p w:rsidR="00B85C6D" w:rsidRDefault="00B85C6D" w:rsidP="00B85C6D">
      <w:pPr>
        <w:numPr>
          <w:ilvl w:val="0"/>
          <w:numId w:val="43"/>
        </w:numPr>
        <w:spacing w:before="120" w:after="120" w:line="288" w:lineRule="auto"/>
        <w:jc w:val="left"/>
      </w:pPr>
      <w:r>
        <w:rPr>
          <w:rFonts w:ascii="Arial" w:eastAsia="DengXian" w:hAnsi="Arial" w:cs="Arial"/>
          <w:b/>
          <w:sz w:val="22"/>
        </w:rPr>
        <w:t>Edge Computing and 5G: Real-Time Processing and Remote Control</w:t>
      </w:r>
      <w:r>
        <w:rPr>
          <w:rFonts w:ascii="Arial" w:eastAsia="DengXian" w:hAnsi="Arial" w:cs="Arial"/>
          <w:sz w:val="22"/>
        </w:rPr>
        <w:br/>
        <w:t xml:space="preserve"> Edge computing devices in remote oilfields overcome network limitations. Equinor deployed edge nodes in North Sea oilfields to preprocess data without stable network connectivity, keeping critical command response delays within 50 milliseconds. This enables engineers in Oslo to remotely operate subsea robots, improving operational efficiency by 50%.</w:t>
      </w:r>
    </w:p>
    <w:p w:rsidR="00B85C6D" w:rsidRDefault="00B85C6D" w:rsidP="00B85C6D">
      <w:pPr>
        <w:spacing w:before="120" w:after="120" w:line="288" w:lineRule="auto"/>
        <w:jc w:val="left"/>
      </w:pPr>
      <w:r>
        <w:rPr>
          <w:rFonts w:ascii="Arial" w:eastAsia="DengXian" w:hAnsi="Arial" w:cs="Arial"/>
          <w:sz w:val="22"/>
        </w:rPr>
        <w:t>5G technology drives “remote collaboration” models. China National Petroleum Corporation (CNPC) established a 5G+AR remote guidance system in Xinjiang oilfields, allowing headquarters experts to share AR annotations via real-time video with field engineers. Complex drilling issues that previously took 48 hours were resolved in 6 hours, saving over 100 million RMB annually in travel costs.</w:t>
      </w:r>
    </w:p>
    <w:p w:rsidR="00B85C6D" w:rsidRDefault="00B85C6D" w:rsidP="00B85C6D">
      <w:pPr>
        <w:numPr>
          <w:ilvl w:val="0"/>
          <w:numId w:val="44"/>
        </w:numPr>
        <w:spacing w:before="120" w:after="120" w:line="288" w:lineRule="auto"/>
        <w:jc w:val="left"/>
      </w:pPr>
      <w:r>
        <w:rPr>
          <w:rFonts w:ascii="Arial" w:eastAsia="DengXian" w:hAnsi="Arial" w:cs="Arial"/>
          <w:b/>
          <w:sz w:val="22"/>
        </w:rPr>
        <w:t>Low-Carbon Technologies Integrated with Digitalization</w:t>
      </w:r>
      <w:r>
        <w:rPr>
          <w:rFonts w:ascii="Arial" w:eastAsia="DengXian" w:hAnsi="Arial" w:cs="Arial"/>
          <w:sz w:val="22"/>
        </w:rPr>
        <w:br/>
        <w:t xml:space="preserve"> </w:t>
      </w:r>
      <w:proofErr w:type="spellStart"/>
      <w:r>
        <w:rPr>
          <w:rFonts w:ascii="Arial" w:eastAsia="DengXian" w:hAnsi="Arial" w:cs="Arial"/>
          <w:sz w:val="22"/>
        </w:rPr>
        <w:t>Digitalization</w:t>
      </w:r>
      <w:proofErr w:type="spellEnd"/>
      <w:r>
        <w:rPr>
          <w:rFonts w:ascii="Arial" w:eastAsia="DengXian" w:hAnsi="Arial" w:cs="Arial"/>
          <w:sz w:val="22"/>
        </w:rPr>
        <w:t xml:space="preserve"> serves as an “invisible engine” for emission reduction. Shell’s “Carbon Footprint Digital Tracking System” calculates real-time carbon emissions across the entire value chain from extraction to sales, while AI optimizes transportation routes, reducing carbon emissions in Europe by 7% in 2024. In carbon capture, Microsoft and Occidental co-developed the “CCUS Digital Twin” to simulate pressure changes during carbon storage, improving storage efficiency by 15% and reducing costs by </w:t>
      </w:r>
      <w:r>
        <w:rPr>
          <w:rFonts w:ascii="Arial" w:eastAsia="DengXian" w:hAnsi="Arial" w:cs="Arial"/>
          <w:sz w:val="22"/>
        </w:rPr>
        <w:lastRenderedPageBreak/>
        <w:t>10%.</w:t>
      </w:r>
    </w:p>
    <w:p w:rsidR="00B85C6D" w:rsidRDefault="00B85C6D" w:rsidP="00B85C6D">
      <w:pPr>
        <w:spacing w:before="120" w:after="120" w:line="288" w:lineRule="auto"/>
        <w:jc w:val="left"/>
      </w:pPr>
      <w:r>
        <w:rPr>
          <w:rFonts w:ascii="Arial" w:eastAsia="DengXian" w:hAnsi="Arial" w:cs="Arial"/>
          <w:b/>
          <w:sz w:val="22"/>
        </w:rPr>
        <w:t>III. Industry Challenges and Response Strategies</w:t>
      </w:r>
    </w:p>
    <w:p w:rsidR="00B85C6D" w:rsidRDefault="00B85C6D" w:rsidP="00B85C6D">
      <w:pPr>
        <w:numPr>
          <w:ilvl w:val="0"/>
          <w:numId w:val="45"/>
        </w:numPr>
        <w:spacing w:before="120" w:after="120" w:line="288" w:lineRule="auto"/>
        <w:jc w:val="left"/>
      </w:pPr>
      <w:r>
        <w:rPr>
          <w:rFonts w:ascii="Arial" w:eastAsia="DengXian" w:hAnsi="Arial" w:cs="Arial"/>
          <w:b/>
          <w:sz w:val="22"/>
        </w:rPr>
        <w:t>Data Security and Fragmented Standards</w:t>
      </w:r>
      <w:r>
        <w:rPr>
          <w:rFonts w:ascii="Arial" w:eastAsia="DengXian" w:hAnsi="Arial" w:cs="Arial"/>
          <w:sz w:val="22"/>
        </w:rPr>
        <w:br/>
        <w:t xml:space="preserve"> Industrial data in the oil and gas industry faces high-frequency cyberattacks. In 2024, 127 major data breach incidents occurred globally, with an average loss of $8 million per incident. Additionally, inconsistent data formats and interfaces hinder cross-company collaboration. Solutions include implementing “zero-trust” security architectures (e.g., ADNOC’s micro-segmentation technology) and promoting industry data standard alliances (e.g., API’s “Oil &amp; Gas Data Exchange Standard 2.0”).</w:t>
      </w:r>
    </w:p>
    <w:p w:rsidR="00B85C6D" w:rsidRDefault="00B85C6D" w:rsidP="00B85C6D">
      <w:pPr>
        <w:numPr>
          <w:ilvl w:val="0"/>
          <w:numId w:val="46"/>
        </w:numPr>
        <w:spacing w:before="120" w:after="120" w:line="288" w:lineRule="auto"/>
        <w:jc w:val="left"/>
      </w:pPr>
      <w:r>
        <w:rPr>
          <w:rFonts w:ascii="Arial" w:eastAsia="DengXian" w:hAnsi="Arial" w:cs="Arial"/>
          <w:b/>
          <w:sz w:val="22"/>
        </w:rPr>
        <w:t>Talent Shortages and Organizational Resistance</w:t>
      </w:r>
      <w:r>
        <w:rPr>
          <w:rFonts w:ascii="Arial" w:eastAsia="DengXian" w:hAnsi="Arial" w:cs="Arial"/>
          <w:sz w:val="22"/>
        </w:rPr>
        <w:br/>
        <w:t xml:space="preserve"> Digital talent scarcity is widespread, with a global shortage of 32,000 AI specialists in the oil and gas industry. The Middle East faces a particularly high gap, with UAE oil and gas companies showing a 28% vacancy rate for digital positions. Resistance from traditional employees also slows progress. Countermeasures include partnering with universities to launch “Oil &amp; Gas Digitalization Programs” (e.g., Abu Dhabi Petroleum Institute adding AI and Data Science tracks) and implementing “Digital Mentor” programs (Shell certified 12,000 internal digital transformation champions).</w:t>
      </w:r>
    </w:p>
    <w:p w:rsidR="00B85C6D" w:rsidRDefault="00B85C6D" w:rsidP="00B85C6D">
      <w:pPr>
        <w:numPr>
          <w:ilvl w:val="0"/>
          <w:numId w:val="47"/>
        </w:numPr>
        <w:spacing w:before="120" w:after="120" w:line="288" w:lineRule="auto"/>
        <w:jc w:val="left"/>
      </w:pPr>
      <w:r>
        <w:rPr>
          <w:rFonts w:ascii="Arial" w:eastAsia="DengXian" w:hAnsi="Arial" w:cs="Arial"/>
          <w:b/>
          <w:sz w:val="22"/>
        </w:rPr>
        <w:t>Long Investment Payback Periods and Rapid Technology Iteration</w:t>
      </w:r>
      <w:r>
        <w:rPr>
          <w:rFonts w:ascii="Arial" w:eastAsia="DengXian" w:hAnsi="Arial" w:cs="Arial"/>
          <w:sz w:val="22"/>
        </w:rPr>
        <w:br/>
        <w:t xml:space="preserve"> Upstream digital projects have an average ROI period of 5–7 years, while technology iteration cycles shorten to 2–3 years, making some companies hesitant. A “modular investment” approach is recommended: deploy fast-impact applications first (e.g., predictive maintenance), then gradually expand to complex systems (e.g., digital twins). Chevron used this approach to increase digital investment ROI to 25%.</w:t>
      </w:r>
    </w:p>
    <w:p w:rsidR="00B85C6D" w:rsidRDefault="00B85C6D" w:rsidP="00B85C6D">
      <w:pPr>
        <w:spacing w:before="120" w:after="120" w:line="288" w:lineRule="auto"/>
        <w:jc w:val="left"/>
      </w:pPr>
      <w:r>
        <w:rPr>
          <w:rFonts w:ascii="Arial" w:eastAsia="DengXian" w:hAnsi="Arial" w:cs="Arial"/>
          <w:b/>
          <w:sz w:val="22"/>
        </w:rPr>
        <w:t>IV. Regional Case: Leading Digital Practices in the UAE</w:t>
      </w:r>
      <w:r>
        <w:rPr>
          <w:rFonts w:ascii="Arial" w:eastAsia="DengXian" w:hAnsi="Arial" w:cs="Arial"/>
          <w:sz w:val="22"/>
        </w:rPr>
        <w:br/>
        <w:t xml:space="preserve"> ADNOC’s “2030 Digital Vision” has invested over $15 billion to build a digital ecosystem covering the entire value chain. Its “Cognitive Oilfield” project in partnership with IBM optimizes extraction plans with AI, reducing Abu Dhabi onshore oilfield breakeven costs from $45/barrel to $38/barrel. Smart control systems at the Ruwais refinery cut energy consumption by 12%, meeting COP28 emission reduction requirements.</w:t>
      </w:r>
    </w:p>
    <w:p w:rsidR="00B85C6D" w:rsidRDefault="00B85C6D" w:rsidP="00B85C6D">
      <w:pPr>
        <w:spacing w:before="120" w:after="120" w:line="288" w:lineRule="auto"/>
        <w:jc w:val="left"/>
      </w:pPr>
      <w:r>
        <w:rPr>
          <w:rFonts w:ascii="Arial" w:eastAsia="DengXian" w:hAnsi="Arial" w:cs="Arial"/>
          <w:sz w:val="22"/>
        </w:rPr>
        <w:t xml:space="preserve">Dubai Petroleum Company (DPC) focuses on “Digital Oilfield 2.0,” using drones for inspection instead of manual labor, improving inspection efficiency by 80%, and managing crude oil trading documents via blockchain, reducing settlement time from 5 days to 12 hours. In 2024, it was recognized as “the most digitally resilient oil and </w:t>
      </w:r>
      <w:r>
        <w:rPr>
          <w:rFonts w:ascii="Arial" w:eastAsia="DengXian" w:hAnsi="Arial" w:cs="Arial"/>
          <w:sz w:val="22"/>
        </w:rPr>
        <w:lastRenderedPageBreak/>
        <w:t>gas company in the Middle East.”</w:t>
      </w:r>
    </w:p>
    <w:p w:rsidR="00B85C6D" w:rsidRDefault="00B85C6D" w:rsidP="00B85C6D">
      <w:pPr>
        <w:spacing w:before="120" w:after="120" w:line="288" w:lineRule="auto"/>
        <w:jc w:val="left"/>
      </w:pPr>
      <w:r>
        <w:rPr>
          <w:rFonts w:ascii="Arial" w:eastAsia="DengXian" w:hAnsi="Arial" w:cs="Arial"/>
          <w:b/>
          <w:sz w:val="22"/>
        </w:rPr>
        <w:t>V. Future Outlook</w:t>
      </w:r>
      <w:r>
        <w:rPr>
          <w:rFonts w:ascii="Arial" w:eastAsia="DengXian" w:hAnsi="Arial" w:cs="Arial"/>
          <w:sz w:val="22"/>
        </w:rPr>
        <w:br/>
        <w:t xml:space="preserve"> By 2025, digital technologies will drive the oil and gas industry into a “smart + low-carbon” dual-driven era: AI-autonomous oilfields will account for over 30%, 5G remote control will cover 80% of offshore platforms, and carbon reductions enabled by digitalization will achieve 40% of total targets. For oil-exporting countries like the UAE, digitalization is not only a cost-reduction tool but a strategic lever for maintaining international competitiveness — offsetting pressures from renewable energy substitution while offering “digital solutions” to create new growth curves.</w:t>
      </w:r>
    </w:p>
    <w:p w:rsidR="00B85C6D" w:rsidRDefault="00B85C6D" w:rsidP="00B85C6D">
      <w:pPr>
        <w:spacing w:before="120" w:after="120" w:line="288" w:lineRule="auto"/>
        <w:jc w:val="left"/>
      </w:pPr>
      <w:r>
        <w:rPr>
          <w:rFonts w:ascii="Arial" w:eastAsia="DengXian" w:hAnsi="Arial" w:cs="Arial"/>
          <w:b/>
          <w:sz w:val="22"/>
        </w:rPr>
        <w:t>Conclusion</w:t>
      </w:r>
      <w:r>
        <w:rPr>
          <w:rFonts w:ascii="Arial" w:eastAsia="DengXian" w:hAnsi="Arial" w:cs="Arial"/>
          <w:sz w:val="22"/>
        </w:rPr>
        <w:br/>
        <w:t xml:space="preserve"> Digital transformation is not optional but a mandatory task for the survival and development of the oil and gas industry. Companies must focus on “business restructuring” rather than mere technology stacking, while strengthening cross-industry collaboration and talent development. From a policy perspective, governments should establish “Oil &amp; Gas Digitalization Funds” (e.g., the UAE can reference Norway’s “Energy Technology Innovation Program”) and create data-sharing and security regulatory frameworks. Only then can the oil and gas industry achieve “resilient growth” in the energy transition wave and upgrade from “energy suppliers” to “comprehensive energy solutions providers.”</w:t>
      </w:r>
    </w:p>
    <w:p w:rsidR="00352BFE" w:rsidRPr="00B85C6D" w:rsidRDefault="00352BFE"/>
    <w:sectPr w:rsidR="00352BFE" w:rsidRPr="00B85C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EEE01F9"/>
    <w:multiLevelType w:val="singleLevel"/>
    <w:tmpl w:val="8EEE01F9"/>
    <w:lvl w:ilvl="0">
      <w:start w:val="3"/>
      <w:numFmt w:val="decimal"/>
      <w:lvlText w:val="%1."/>
      <w:lvlJc w:val="left"/>
      <w:rPr>
        <w:color w:val="3370FF"/>
      </w:rPr>
    </w:lvl>
  </w:abstractNum>
  <w:abstractNum w:abstractNumId="1" w15:restartNumberingAfterBreak="0">
    <w:nsid w:val="8FFEF32D"/>
    <w:multiLevelType w:val="singleLevel"/>
    <w:tmpl w:val="8FFEF32D"/>
    <w:lvl w:ilvl="0">
      <w:start w:val="2"/>
      <w:numFmt w:val="decimal"/>
      <w:lvlText w:val="%1."/>
      <w:lvlJc w:val="left"/>
      <w:rPr>
        <w:color w:val="3370FF"/>
      </w:rPr>
    </w:lvl>
  </w:abstractNum>
  <w:abstractNum w:abstractNumId="2" w15:restartNumberingAfterBreak="0">
    <w:nsid w:val="9D7F75A9"/>
    <w:multiLevelType w:val="singleLevel"/>
    <w:tmpl w:val="9D7F75A9"/>
    <w:lvl w:ilvl="0">
      <w:start w:val="2"/>
      <w:numFmt w:val="decimal"/>
      <w:lvlText w:val="%1."/>
      <w:lvlJc w:val="left"/>
      <w:rPr>
        <w:color w:val="3370FF"/>
      </w:rPr>
    </w:lvl>
  </w:abstractNum>
  <w:abstractNum w:abstractNumId="3" w15:restartNumberingAfterBreak="0">
    <w:nsid w:val="9FEE47D8"/>
    <w:multiLevelType w:val="singleLevel"/>
    <w:tmpl w:val="9FEE47D8"/>
    <w:lvl w:ilvl="0">
      <w:start w:val="2"/>
      <w:numFmt w:val="decimal"/>
      <w:lvlText w:val="%1."/>
      <w:lvlJc w:val="left"/>
      <w:rPr>
        <w:color w:val="3370FF"/>
      </w:rPr>
    </w:lvl>
  </w:abstractNum>
  <w:abstractNum w:abstractNumId="4" w15:restartNumberingAfterBreak="0">
    <w:nsid w:val="ADE8D65D"/>
    <w:multiLevelType w:val="singleLevel"/>
    <w:tmpl w:val="ADE8D65D"/>
    <w:lvl w:ilvl="0">
      <w:start w:val="3"/>
      <w:numFmt w:val="decimal"/>
      <w:lvlText w:val="%1."/>
      <w:lvlJc w:val="left"/>
      <w:rPr>
        <w:color w:val="3370FF"/>
      </w:rPr>
    </w:lvl>
  </w:abstractNum>
  <w:abstractNum w:abstractNumId="5" w15:restartNumberingAfterBreak="0">
    <w:nsid w:val="AFDA46DD"/>
    <w:multiLevelType w:val="singleLevel"/>
    <w:tmpl w:val="AFDA46DD"/>
    <w:lvl w:ilvl="0">
      <w:start w:val="1"/>
      <w:numFmt w:val="decimal"/>
      <w:lvlText w:val="%1."/>
      <w:lvlJc w:val="left"/>
      <w:rPr>
        <w:color w:val="3370FF"/>
      </w:rPr>
    </w:lvl>
  </w:abstractNum>
  <w:abstractNum w:abstractNumId="6" w15:restartNumberingAfterBreak="0">
    <w:nsid w:val="B3C44843"/>
    <w:multiLevelType w:val="singleLevel"/>
    <w:tmpl w:val="B3C44843"/>
    <w:lvl w:ilvl="0">
      <w:start w:val="1"/>
      <w:numFmt w:val="decimal"/>
      <w:lvlText w:val="%1."/>
      <w:lvlJc w:val="left"/>
      <w:rPr>
        <w:color w:val="3370FF"/>
      </w:rPr>
    </w:lvl>
  </w:abstractNum>
  <w:abstractNum w:abstractNumId="7" w15:restartNumberingAfterBreak="0">
    <w:nsid w:val="B3F48311"/>
    <w:multiLevelType w:val="singleLevel"/>
    <w:tmpl w:val="B3F48311"/>
    <w:lvl w:ilvl="0">
      <w:start w:val="2"/>
      <w:numFmt w:val="decimal"/>
      <w:lvlText w:val="%1."/>
      <w:lvlJc w:val="left"/>
      <w:rPr>
        <w:color w:val="3370FF"/>
      </w:rPr>
    </w:lvl>
  </w:abstractNum>
  <w:abstractNum w:abstractNumId="8" w15:restartNumberingAfterBreak="0">
    <w:nsid w:val="B7BB4D60"/>
    <w:multiLevelType w:val="singleLevel"/>
    <w:tmpl w:val="B7BB4D60"/>
    <w:lvl w:ilvl="0">
      <w:start w:val="1"/>
      <w:numFmt w:val="decimal"/>
      <w:lvlText w:val="%1."/>
      <w:lvlJc w:val="left"/>
      <w:rPr>
        <w:color w:val="3370FF"/>
      </w:rPr>
    </w:lvl>
  </w:abstractNum>
  <w:abstractNum w:abstractNumId="9" w15:restartNumberingAfterBreak="0">
    <w:nsid w:val="BF96DE1C"/>
    <w:multiLevelType w:val="singleLevel"/>
    <w:tmpl w:val="BF96DE1C"/>
    <w:lvl w:ilvl="0">
      <w:start w:val="1"/>
      <w:numFmt w:val="decimal"/>
      <w:lvlText w:val="%1."/>
      <w:lvlJc w:val="left"/>
      <w:rPr>
        <w:color w:val="3370FF"/>
      </w:rPr>
    </w:lvl>
  </w:abstractNum>
  <w:abstractNum w:abstractNumId="10" w15:restartNumberingAfterBreak="0">
    <w:nsid w:val="BFF7801C"/>
    <w:multiLevelType w:val="singleLevel"/>
    <w:tmpl w:val="BFF7801C"/>
    <w:lvl w:ilvl="0">
      <w:start w:val="1"/>
      <w:numFmt w:val="decimal"/>
      <w:lvlText w:val="%1."/>
      <w:lvlJc w:val="left"/>
      <w:rPr>
        <w:color w:val="3370FF"/>
      </w:rPr>
    </w:lvl>
  </w:abstractNum>
  <w:abstractNum w:abstractNumId="11" w15:restartNumberingAfterBreak="0">
    <w:nsid w:val="CD3DB814"/>
    <w:multiLevelType w:val="singleLevel"/>
    <w:tmpl w:val="CD3DB814"/>
    <w:lvl w:ilvl="0">
      <w:start w:val="2"/>
      <w:numFmt w:val="decimal"/>
      <w:lvlText w:val="%1."/>
      <w:lvlJc w:val="left"/>
      <w:rPr>
        <w:color w:val="3370FF"/>
      </w:rPr>
    </w:lvl>
  </w:abstractNum>
  <w:abstractNum w:abstractNumId="12" w15:restartNumberingAfterBreak="0">
    <w:nsid w:val="D6C79BAC"/>
    <w:multiLevelType w:val="singleLevel"/>
    <w:tmpl w:val="D6C79BAC"/>
    <w:lvl w:ilvl="0">
      <w:start w:val="2"/>
      <w:numFmt w:val="decimal"/>
      <w:lvlText w:val="%1."/>
      <w:lvlJc w:val="left"/>
      <w:rPr>
        <w:color w:val="3370FF"/>
      </w:rPr>
    </w:lvl>
  </w:abstractNum>
  <w:abstractNum w:abstractNumId="13" w15:restartNumberingAfterBreak="0">
    <w:nsid w:val="D6CFDA21"/>
    <w:multiLevelType w:val="singleLevel"/>
    <w:tmpl w:val="D6CFDA21"/>
    <w:lvl w:ilvl="0">
      <w:start w:val="2"/>
      <w:numFmt w:val="decimal"/>
      <w:lvlText w:val="%1."/>
      <w:lvlJc w:val="left"/>
      <w:rPr>
        <w:color w:val="3370FF"/>
      </w:rPr>
    </w:lvl>
  </w:abstractNum>
  <w:abstractNum w:abstractNumId="14" w15:restartNumberingAfterBreak="0">
    <w:nsid w:val="DBDE208B"/>
    <w:multiLevelType w:val="singleLevel"/>
    <w:tmpl w:val="DBDE208B"/>
    <w:lvl w:ilvl="0">
      <w:start w:val="3"/>
      <w:numFmt w:val="decimal"/>
      <w:lvlText w:val="%1."/>
      <w:lvlJc w:val="left"/>
      <w:rPr>
        <w:color w:val="3370FF"/>
      </w:rPr>
    </w:lvl>
  </w:abstractNum>
  <w:abstractNum w:abstractNumId="15" w15:restartNumberingAfterBreak="0">
    <w:nsid w:val="DBF77070"/>
    <w:multiLevelType w:val="singleLevel"/>
    <w:tmpl w:val="DBF77070"/>
    <w:lvl w:ilvl="0">
      <w:start w:val="1"/>
      <w:numFmt w:val="decimal"/>
      <w:lvlText w:val="%1."/>
      <w:lvlJc w:val="left"/>
      <w:rPr>
        <w:color w:val="3370FF"/>
      </w:rPr>
    </w:lvl>
  </w:abstractNum>
  <w:abstractNum w:abstractNumId="16" w15:restartNumberingAfterBreak="0">
    <w:nsid w:val="DE776F6C"/>
    <w:multiLevelType w:val="singleLevel"/>
    <w:tmpl w:val="DE776F6C"/>
    <w:lvl w:ilvl="0">
      <w:start w:val="3"/>
      <w:numFmt w:val="decimal"/>
      <w:lvlText w:val="%1."/>
      <w:lvlJc w:val="left"/>
      <w:rPr>
        <w:color w:val="3370FF"/>
      </w:rPr>
    </w:lvl>
  </w:abstractNum>
  <w:abstractNum w:abstractNumId="17" w15:restartNumberingAfterBreak="0">
    <w:nsid w:val="DF3F187E"/>
    <w:multiLevelType w:val="singleLevel"/>
    <w:tmpl w:val="DF3F187E"/>
    <w:lvl w:ilvl="0">
      <w:start w:val="3"/>
      <w:numFmt w:val="decimal"/>
      <w:lvlText w:val="%1."/>
      <w:lvlJc w:val="left"/>
      <w:rPr>
        <w:color w:val="3370FF"/>
      </w:rPr>
    </w:lvl>
  </w:abstractNum>
  <w:abstractNum w:abstractNumId="18" w15:restartNumberingAfterBreak="0">
    <w:nsid w:val="DF6F114C"/>
    <w:multiLevelType w:val="singleLevel"/>
    <w:tmpl w:val="DF6F114C"/>
    <w:lvl w:ilvl="0">
      <w:start w:val="2"/>
      <w:numFmt w:val="decimal"/>
      <w:lvlText w:val="%1."/>
      <w:lvlJc w:val="left"/>
      <w:rPr>
        <w:color w:val="3370FF"/>
      </w:rPr>
    </w:lvl>
  </w:abstractNum>
  <w:abstractNum w:abstractNumId="19" w15:restartNumberingAfterBreak="0">
    <w:nsid w:val="DFBB5D42"/>
    <w:multiLevelType w:val="singleLevel"/>
    <w:tmpl w:val="DFBB5D42"/>
    <w:lvl w:ilvl="0">
      <w:start w:val="3"/>
      <w:numFmt w:val="decimal"/>
      <w:lvlText w:val="%1."/>
      <w:lvlJc w:val="left"/>
      <w:rPr>
        <w:color w:val="3370FF"/>
      </w:rPr>
    </w:lvl>
  </w:abstractNum>
  <w:abstractNum w:abstractNumId="20" w15:restartNumberingAfterBreak="0">
    <w:nsid w:val="DFFA8819"/>
    <w:multiLevelType w:val="singleLevel"/>
    <w:tmpl w:val="DFFA8819"/>
    <w:lvl w:ilvl="0">
      <w:start w:val="2"/>
      <w:numFmt w:val="decimal"/>
      <w:lvlText w:val="%1."/>
      <w:lvlJc w:val="left"/>
      <w:rPr>
        <w:color w:val="3370FF"/>
      </w:rPr>
    </w:lvl>
  </w:abstractNum>
  <w:abstractNum w:abstractNumId="21" w15:restartNumberingAfterBreak="0">
    <w:nsid w:val="DFFE1846"/>
    <w:multiLevelType w:val="singleLevel"/>
    <w:tmpl w:val="DFFE1846"/>
    <w:lvl w:ilvl="0">
      <w:start w:val="1"/>
      <w:numFmt w:val="decimal"/>
      <w:lvlText w:val="%1."/>
      <w:lvlJc w:val="left"/>
      <w:rPr>
        <w:color w:val="3370FF"/>
      </w:rPr>
    </w:lvl>
  </w:abstractNum>
  <w:abstractNum w:abstractNumId="22" w15:restartNumberingAfterBreak="0">
    <w:nsid w:val="EAEF9EC1"/>
    <w:multiLevelType w:val="singleLevel"/>
    <w:tmpl w:val="EAEF9EC1"/>
    <w:lvl w:ilvl="0">
      <w:start w:val="3"/>
      <w:numFmt w:val="decimal"/>
      <w:lvlText w:val="%1."/>
      <w:lvlJc w:val="left"/>
      <w:rPr>
        <w:color w:val="3370FF"/>
      </w:rPr>
    </w:lvl>
  </w:abstractNum>
  <w:abstractNum w:abstractNumId="23" w15:restartNumberingAfterBreak="0">
    <w:nsid w:val="EE5E4AE2"/>
    <w:multiLevelType w:val="singleLevel"/>
    <w:tmpl w:val="EE5E4AE2"/>
    <w:lvl w:ilvl="0">
      <w:start w:val="3"/>
      <w:numFmt w:val="decimal"/>
      <w:lvlText w:val="%1."/>
      <w:lvlJc w:val="left"/>
      <w:rPr>
        <w:color w:val="3370FF"/>
      </w:rPr>
    </w:lvl>
  </w:abstractNum>
  <w:abstractNum w:abstractNumId="24" w15:restartNumberingAfterBreak="0">
    <w:nsid w:val="EE7D3706"/>
    <w:multiLevelType w:val="singleLevel"/>
    <w:tmpl w:val="EE7D3706"/>
    <w:lvl w:ilvl="0">
      <w:start w:val="3"/>
      <w:numFmt w:val="decimal"/>
      <w:lvlText w:val="%1."/>
      <w:lvlJc w:val="left"/>
      <w:rPr>
        <w:color w:val="3370FF"/>
      </w:rPr>
    </w:lvl>
  </w:abstractNum>
  <w:abstractNum w:abstractNumId="25" w15:restartNumberingAfterBreak="0">
    <w:nsid w:val="EEE7F297"/>
    <w:multiLevelType w:val="singleLevel"/>
    <w:tmpl w:val="EEE7F297"/>
    <w:lvl w:ilvl="0">
      <w:start w:val="1"/>
      <w:numFmt w:val="decimal"/>
      <w:lvlText w:val="%1."/>
      <w:lvlJc w:val="left"/>
      <w:rPr>
        <w:color w:val="3370FF"/>
      </w:rPr>
    </w:lvl>
  </w:abstractNum>
  <w:abstractNum w:abstractNumId="26" w15:restartNumberingAfterBreak="0">
    <w:nsid w:val="EFD7DF89"/>
    <w:multiLevelType w:val="singleLevel"/>
    <w:tmpl w:val="EFD7DF89"/>
    <w:lvl w:ilvl="0">
      <w:start w:val="3"/>
      <w:numFmt w:val="decimal"/>
      <w:lvlText w:val="%1."/>
      <w:lvlJc w:val="left"/>
      <w:rPr>
        <w:color w:val="3370FF"/>
      </w:rPr>
    </w:lvl>
  </w:abstractNum>
  <w:abstractNum w:abstractNumId="27" w15:restartNumberingAfterBreak="0">
    <w:nsid w:val="F5DA69E0"/>
    <w:multiLevelType w:val="singleLevel"/>
    <w:tmpl w:val="F5DA69E0"/>
    <w:lvl w:ilvl="0">
      <w:start w:val="1"/>
      <w:numFmt w:val="decimal"/>
      <w:lvlText w:val="%1."/>
      <w:lvlJc w:val="left"/>
      <w:rPr>
        <w:color w:val="3370FF"/>
      </w:rPr>
    </w:lvl>
  </w:abstractNum>
  <w:abstractNum w:abstractNumId="28" w15:restartNumberingAfterBreak="0">
    <w:nsid w:val="F7E6CBEB"/>
    <w:multiLevelType w:val="singleLevel"/>
    <w:tmpl w:val="F7E6CBEB"/>
    <w:lvl w:ilvl="0">
      <w:start w:val="1"/>
      <w:numFmt w:val="decimal"/>
      <w:lvlText w:val="%1."/>
      <w:lvlJc w:val="left"/>
      <w:rPr>
        <w:color w:val="3370FF"/>
      </w:rPr>
    </w:lvl>
  </w:abstractNum>
  <w:abstractNum w:abstractNumId="29" w15:restartNumberingAfterBreak="0">
    <w:nsid w:val="F7F271CB"/>
    <w:multiLevelType w:val="singleLevel"/>
    <w:tmpl w:val="F7F271CB"/>
    <w:lvl w:ilvl="0">
      <w:start w:val="1"/>
      <w:numFmt w:val="decimal"/>
      <w:lvlText w:val="%1."/>
      <w:lvlJc w:val="left"/>
      <w:rPr>
        <w:color w:val="3370FF"/>
      </w:rPr>
    </w:lvl>
  </w:abstractNum>
  <w:abstractNum w:abstractNumId="30" w15:restartNumberingAfterBreak="0">
    <w:nsid w:val="F7FD7A93"/>
    <w:multiLevelType w:val="singleLevel"/>
    <w:tmpl w:val="F7FD7A93"/>
    <w:lvl w:ilvl="0">
      <w:start w:val="2"/>
      <w:numFmt w:val="decimal"/>
      <w:lvlText w:val="%1."/>
      <w:lvlJc w:val="left"/>
      <w:rPr>
        <w:color w:val="3370FF"/>
      </w:rPr>
    </w:lvl>
  </w:abstractNum>
  <w:abstractNum w:abstractNumId="31" w15:restartNumberingAfterBreak="0">
    <w:nsid w:val="FBE3D300"/>
    <w:multiLevelType w:val="singleLevel"/>
    <w:tmpl w:val="FBE3D300"/>
    <w:lvl w:ilvl="0">
      <w:start w:val="2"/>
      <w:numFmt w:val="decimal"/>
      <w:lvlText w:val="%1."/>
      <w:lvlJc w:val="left"/>
      <w:rPr>
        <w:color w:val="3370FF"/>
      </w:rPr>
    </w:lvl>
  </w:abstractNum>
  <w:abstractNum w:abstractNumId="32" w15:restartNumberingAfterBreak="0">
    <w:nsid w:val="FBEF82F9"/>
    <w:multiLevelType w:val="singleLevel"/>
    <w:tmpl w:val="FBEF82F9"/>
    <w:lvl w:ilvl="0">
      <w:start w:val="3"/>
      <w:numFmt w:val="decimal"/>
      <w:lvlText w:val="%1."/>
      <w:lvlJc w:val="left"/>
      <w:rPr>
        <w:color w:val="3370FF"/>
      </w:rPr>
    </w:lvl>
  </w:abstractNum>
  <w:abstractNum w:abstractNumId="33" w15:restartNumberingAfterBreak="0">
    <w:nsid w:val="FC2731CC"/>
    <w:multiLevelType w:val="singleLevel"/>
    <w:tmpl w:val="FC2731CC"/>
    <w:lvl w:ilvl="0">
      <w:start w:val="3"/>
      <w:numFmt w:val="decimal"/>
      <w:lvlText w:val="%1."/>
      <w:lvlJc w:val="left"/>
      <w:rPr>
        <w:color w:val="3370FF"/>
      </w:rPr>
    </w:lvl>
  </w:abstractNum>
  <w:abstractNum w:abstractNumId="34" w15:restartNumberingAfterBreak="0">
    <w:nsid w:val="FCFF1023"/>
    <w:multiLevelType w:val="singleLevel"/>
    <w:tmpl w:val="FCFF1023"/>
    <w:lvl w:ilvl="0">
      <w:start w:val="3"/>
      <w:numFmt w:val="decimal"/>
      <w:lvlText w:val="%1."/>
      <w:lvlJc w:val="left"/>
      <w:rPr>
        <w:color w:val="3370FF"/>
      </w:rPr>
    </w:lvl>
  </w:abstractNum>
  <w:abstractNum w:abstractNumId="35" w15:restartNumberingAfterBreak="0">
    <w:nsid w:val="FEF2150B"/>
    <w:multiLevelType w:val="singleLevel"/>
    <w:tmpl w:val="FEF2150B"/>
    <w:lvl w:ilvl="0">
      <w:start w:val="2"/>
      <w:numFmt w:val="decimal"/>
      <w:lvlText w:val="%1."/>
      <w:lvlJc w:val="left"/>
      <w:rPr>
        <w:color w:val="3370FF"/>
      </w:rPr>
    </w:lvl>
  </w:abstractNum>
  <w:abstractNum w:abstractNumId="36" w15:restartNumberingAfterBreak="0">
    <w:nsid w:val="FF5A5757"/>
    <w:multiLevelType w:val="singleLevel"/>
    <w:tmpl w:val="FF5A5757"/>
    <w:lvl w:ilvl="0">
      <w:start w:val="1"/>
      <w:numFmt w:val="decimal"/>
      <w:lvlText w:val="%1."/>
      <w:lvlJc w:val="left"/>
      <w:rPr>
        <w:color w:val="3370FF"/>
      </w:rPr>
    </w:lvl>
  </w:abstractNum>
  <w:abstractNum w:abstractNumId="37" w15:restartNumberingAfterBreak="0">
    <w:nsid w:val="FF5C886C"/>
    <w:multiLevelType w:val="singleLevel"/>
    <w:tmpl w:val="FF5C886C"/>
    <w:lvl w:ilvl="0">
      <w:start w:val="2"/>
      <w:numFmt w:val="decimal"/>
      <w:lvlText w:val="%1."/>
      <w:lvlJc w:val="left"/>
      <w:rPr>
        <w:color w:val="3370FF"/>
      </w:rPr>
    </w:lvl>
  </w:abstractNum>
  <w:abstractNum w:abstractNumId="38" w15:restartNumberingAfterBreak="0">
    <w:nsid w:val="FF9EDFEC"/>
    <w:multiLevelType w:val="singleLevel"/>
    <w:tmpl w:val="FF9EDFEC"/>
    <w:lvl w:ilvl="0">
      <w:start w:val="2"/>
      <w:numFmt w:val="decimal"/>
      <w:lvlText w:val="%1."/>
      <w:lvlJc w:val="left"/>
      <w:rPr>
        <w:color w:val="3370FF"/>
      </w:rPr>
    </w:lvl>
  </w:abstractNum>
  <w:abstractNum w:abstractNumId="39" w15:restartNumberingAfterBreak="0">
    <w:nsid w:val="FFB6C9BF"/>
    <w:multiLevelType w:val="singleLevel"/>
    <w:tmpl w:val="FFB6C9BF"/>
    <w:lvl w:ilvl="0">
      <w:start w:val="2"/>
      <w:numFmt w:val="decimal"/>
      <w:lvlText w:val="%1."/>
      <w:lvlJc w:val="left"/>
      <w:rPr>
        <w:color w:val="3370FF"/>
      </w:rPr>
    </w:lvl>
  </w:abstractNum>
  <w:abstractNum w:abstractNumId="40" w15:restartNumberingAfterBreak="0">
    <w:nsid w:val="FFD4D58E"/>
    <w:multiLevelType w:val="singleLevel"/>
    <w:tmpl w:val="FFD4D58E"/>
    <w:lvl w:ilvl="0">
      <w:start w:val="1"/>
      <w:numFmt w:val="decimal"/>
      <w:lvlText w:val="%1."/>
      <w:lvlJc w:val="left"/>
      <w:rPr>
        <w:color w:val="3370FF"/>
      </w:rPr>
    </w:lvl>
  </w:abstractNum>
  <w:abstractNum w:abstractNumId="41" w15:restartNumberingAfterBreak="0">
    <w:nsid w:val="3FE7B0B4"/>
    <w:multiLevelType w:val="singleLevel"/>
    <w:tmpl w:val="3FE7B0B4"/>
    <w:lvl w:ilvl="0">
      <w:start w:val="3"/>
      <w:numFmt w:val="decimal"/>
      <w:lvlText w:val="%1."/>
      <w:lvlJc w:val="left"/>
      <w:rPr>
        <w:color w:val="3370FF"/>
      </w:rPr>
    </w:lvl>
  </w:abstractNum>
  <w:abstractNum w:abstractNumId="42" w15:restartNumberingAfterBreak="0">
    <w:nsid w:val="599A1840"/>
    <w:multiLevelType w:val="singleLevel"/>
    <w:tmpl w:val="599A1840"/>
    <w:lvl w:ilvl="0">
      <w:start w:val="1"/>
      <w:numFmt w:val="decimal"/>
      <w:lvlText w:val="%1."/>
      <w:lvlJc w:val="left"/>
      <w:rPr>
        <w:color w:val="3370FF"/>
      </w:rPr>
    </w:lvl>
  </w:abstractNum>
  <w:abstractNum w:abstractNumId="43" w15:restartNumberingAfterBreak="0">
    <w:nsid w:val="5F7F1521"/>
    <w:multiLevelType w:val="singleLevel"/>
    <w:tmpl w:val="5F7F1521"/>
    <w:lvl w:ilvl="0">
      <w:start w:val="1"/>
      <w:numFmt w:val="decimal"/>
      <w:lvlText w:val="%1."/>
      <w:lvlJc w:val="left"/>
      <w:rPr>
        <w:color w:val="3370FF"/>
      </w:rPr>
    </w:lvl>
  </w:abstractNum>
  <w:abstractNum w:abstractNumId="44" w15:restartNumberingAfterBreak="0">
    <w:nsid w:val="63FB8761"/>
    <w:multiLevelType w:val="singleLevel"/>
    <w:tmpl w:val="63FB8761"/>
    <w:lvl w:ilvl="0">
      <w:start w:val="1"/>
      <w:numFmt w:val="decimal"/>
      <w:lvlText w:val="%1."/>
      <w:lvlJc w:val="left"/>
      <w:rPr>
        <w:color w:val="3370FF"/>
      </w:rPr>
    </w:lvl>
  </w:abstractNum>
  <w:abstractNum w:abstractNumId="45" w15:restartNumberingAfterBreak="0">
    <w:nsid w:val="66BA9FE8"/>
    <w:multiLevelType w:val="singleLevel"/>
    <w:tmpl w:val="66BA9FE8"/>
    <w:lvl w:ilvl="0">
      <w:start w:val="2"/>
      <w:numFmt w:val="decimal"/>
      <w:lvlText w:val="%1."/>
      <w:lvlJc w:val="left"/>
      <w:rPr>
        <w:color w:val="3370FF"/>
      </w:rPr>
    </w:lvl>
  </w:abstractNum>
  <w:abstractNum w:abstractNumId="46" w15:restartNumberingAfterBreak="0">
    <w:nsid w:val="69EA75EA"/>
    <w:multiLevelType w:val="singleLevel"/>
    <w:tmpl w:val="69EA75EA"/>
    <w:lvl w:ilvl="0">
      <w:start w:val="3"/>
      <w:numFmt w:val="decimal"/>
      <w:lvlText w:val="%1."/>
      <w:lvlJc w:val="left"/>
      <w:rPr>
        <w:color w:val="3370FF"/>
      </w:rPr>
    </w:lvl>
  </w:abstractNum>
  <w:abstractNum w:abstractNumId="47" w15:restartNumberingAfterBreak="0">
    <w:nsid w:val="6F7F8904"/>
    <w:multiLevelType w:val="singleLevel"/>
    <w:tmpl w:val="6F7F8904"/>
    <w:lvl w:ilvl="0">
      <w:start w:val="2"/>
      <w:numFmt w:val="decimal"/>
      <w:lvlText w:val="%1."/>
      <w:lvlJc w:val="left"/>
      <w:rPr>
        <w:color w:val="3370FF"/>
      </w:rPr>
    </w:lvl>
  </w:abstractNum>
  <w:abstractNum w:abstractNumId="48" w15:restartNumberingAfterBreak="0">
    <w:nsid w:val="6FD72DFF"/>
    <w:multiLevelType w:val="singleLevel"/>
    <w:tmpl w:val="6FD72DFF"/>
    <w:lvl w:ilvl="0">
      <w:start w:val="3"/>
      <w:numFmt w:val="decimal"/>
      <w:lvlText w:val="%1."/>
      <w:lvlJc w:val="left"/>
      <w:rPr>
        <w:color w:val="3370FF"/>
      </w:rPr>
    </w:lvl>
  </w:abstractNum>
  <w:abstractNum w:abstractNumId="49" w15:restartNumberingAfterBreak="0">
    <w:nsid w:val="79B08F7F"/>
    <w:multiLevelType w:val="singleLevel"/>
    <w:tmpl w:val="79B08F7F"/>
    <w:lvl w:ilvl="0">
      <w:start w:val="1"/>
      <w:numFmt w:val="decimal"/>
      <w:lvlText w:val="%1."/>
      <w:lvlJc w:val="left"/>
      <w:rPr>
        <w:color w:val="3370FF"/>
      </w:rPr>
    </w:lvl>
  </w:abstractNum>
  <w:abstractNum w:abstractNumId="50" w15:restartNumberingAfterBreak="0">
    <w:nsid w:val="7BDA53E1"/>
    <w:multiLevelType w:val="singleLevel"/>
    <w:tmpl w:val="7BDA53E1"/>
    <w:lvl w:ilvl="0">
      <w:start w:val="1"/>
      <w:numFmt w:val="decimal"/>
      <w:lvlText w:val="%1."/>
      <w:lvlJc w:val="left"/>
      <w:rPr>
        <w:color w:val="3370FF"/>
      </w:rPr>
    </w:lvl>
  </w:abstractNum>
  <w:abstractNum w:abstractNumId="51" w15:restartNumberingAfterBreak="0">
    <w:nsid w:val="7BDF92E7"/>
    <w:multiLevelType w:val="singleLevel"/>
    <w:tmpl w:val="7BDF92E7"/>
    <w:lvl w:ilvl="0">
      <w:start w:val="2"/>
      <w:numFmt w:val="decimal"/>
      <w:lvlText w:val="%1."/>
      <w:lvlJc w:val="left"/>
      <w:rPr>
        <w:color w:val="3370FF"/>
      </w:rPr>
    </w:lvl>
  </w:abstractNum>
  <w:abstractNum w:abstractNumId="52" w15:restartNumberingAfterBreak="0">
    <w:nsid w:val="7BF7A3DC"/>
    <w:multiLevelType w:val="singleLevel"/>
    <w:tmpl w:val="7BF7A3DC"/>
    <w:lvl w:ilvl="0">
      <w:start w:val="1"/>
      <w:numFmt w:val="decimal"/>
      <w:lvlText w:val="%1."/>
      <w:lvlJc w:val="left"/>
      <w:rPr>
        <w:color w:val="3370FF"/>
      </w:rPr>
    </w:lvl>
  </w:abstractNum>
  <w:abstractNum w:abstractNumId="53" w15:restartNumberingAfterBreak="0">
    <w:nsid w:val="7D6FDDAD"/>
    <w:multiLevelType w:val="singleLevel"/>
    <w:tmpl w:val="7D6FDDAD"/>
    <w:lvl w:ilvl="0">
      <w:start w:val="2"/>
      <w:numFmt w:val="decimal"/>
      <w:lvlText w:val="%1."/>
      <w:lvlJc w:val="left"/>
      <w:rPr>
        <w:color w:val="3370FF"/>
      </w:rPr>
    </w:lvl>
  </w:abstractNum>
  <w:abstractNum w:abstractNumId="54" w15:restartNumberingAfterBreak="0">
    <w:nsid w:val="7EBDB7D7"/>
    <w:multiLevelType w:val="singleLevel"/>
    <w:tmpl w:val="7EBDB7D7"/>
    <w:lvl w:ilvl="0">
      <w:start w:val="1"/>
      <w:numFmt w:val="decimal"/>
      <w:lvlText w:val="%1."/>
      <w:lvlJc w:val="left"/>
      <w:rPr>
        <w:color w:val="3370FF"/>
      </w:rPr>
    </w:lvl>
  </w:abstractNum>
  <w:abstractNum w:abstractNumId="55" w15:restartNumberingAfterBreak="0">
    <w:nsid w:val="7F799D31"/>
    <w:multiLevelType w:val="singleLevel"/>
    <w:tmpl w:val="7F799D31"/>
    <w:lvl w:ilvl="0">
      <w:start w:val="2"/>
      <w:numFmt w:val="decimal"/>
      <w:lvlText w:val="%1."/>
      <w:lvlJc w:val="left"/>
      <w:rPr>
        <w:color w:val="3370FF"/>
      </w:rPr>
    </w:lvl>
  </w:abstractNum>
  <w:num w:numId="1" w16cid:durableId="2070418341">
    <w:abstractNumId w:val="49"/>
  </w:num>
  <w:num w:numId="2" w16cid:durableId="398988783">
    <w:abstractNumId w:val="45"/>
  </w:num>
  <w:num w:numId="3" w16cid:durableId="652832473">
    <w:abstractNumId w:val="34"/>
  </w:num>
  <w:num w:numId="4" w16cid:durableId="2115513910">
    <w:abstractNumId w:val="29"/>
  </w:num>
  <w:num w:numId="5" w16cid:durableId="341469910">
    <w:abstractNumId w:val="31"/>
  </w:num>
  <w:num w:numId="6" w16cid:durableId="1351762720">
    <w:abstractNumId w:val="4"/>
  </w:num>
  <w:num w:numId="7" w16cid:durableId="918909988">
    <w:abstractNumId w:val="28"/>
  </w:num>
  <w:num w:numId="8" w16cid:durableId="1296793166">
    <w:abstractNumId w:val="2"/>
  </w:num>
  <w:num w:numId="9" w16cid:durableId="2101366596">
    <w:abstractNumId w:val="6"/>
  </w:num>
  <w:num w:numId="10" w16cid:durableId="1994141517">
    <w:abstractNumId w:val="30"/>
  </w:num>
  <w:num w:numId="11" w16cid:durableId="144707890">
    <w:abstractNumId w:val="33"/>
  </w:num>
  <w:num w:numId="12" w16cid:durableId="304166947">
    <w:abstractNumId w:val="10"/>
  </w:num>
  <w:num w:numId="13" w16cid:durableId="679890179">
    <w:abstractNumId w:val="37"/>
  </w:num>
  <w:num w:numId="14" w16cid:durableId="111487456">
    <w:abstractNumId w:val="16"/>
  </w:num>
  <w:num w:numId="15" w16cid:durableId="1416509529">
    <w:abstractNumId w:val="25"/>
  </w:num>
  <w:num w:numId="16" w16cid:durableId="704452314">
    <w:abstractNumId w:val="1"/>
  </w:num>
  <w:num w:numId="17" w16cid:durableId="1641303594">
    <w:abstractNumId w:val="21"/>
  </w:num>
  <w:num w:numId="18" w16cid:durableId="1023438615">
    <w:abstractNumId w:val="38"/>
  </w:num>
  <w:num w:numId="19" w16cid:durableId="964502409">
    <w:abstractNumId w:val="41"/>
  </w:num>
  <w:num w:numId="20" w16cid:durableId="127404691">
    <w:abstractNumId w:val="8"/>
  </w:num>
  <w:num w:numId="21" w16cid:durableId="1868132421">
    <w:abstractNumId w:val="47"/>
  </w:num>
  <w:num w:numId="22" w16cid:durableId="701437850">
    <w:abstractNumId w:val="14"/>
  </w:num>
  <w:num w:numId="23" w16cid:durableId="1692145187">
    <w:abstractNumId w:val="15"/>
  </w:num>
  <w:num w:numId="24" w16cid:durableId="2004622875">
    <w:abstractNumId w:val="35"/>
  </w:num>
  <w:num w:numId="25" w16cid:durableId="1599292663">
    <w:abstractNumId w:val="19"/>
  </w:num>
  <w:num w:numId="26" w16cid:durableId="1503164226">
    <w:abstractNumId w:val="43"/>
  </w:num>
  <w:num w:numId="27" w16cid:durableId="1375429268">
    <w:abstractNumId w:val="51"/>
  </w:num>
  <w:num w:numId="28" w16cid:durableId="525295818">
    <w:abstractNumId w:val="40"/>
  </w:num>
  <w:num w:numId="29" w16cid:durableId="499085970">
    <w:abstractNumId w:val="13"/>
  </w:num>
  <w:num w:numId="30" w16cid:durableId="1184905366">
    <w:abstractNumId w:val="26"/>
  </w:num>
  <w:num w:numId="31" w16cid:durableId="713771759">
    <w:abstractNumId w:val="36"/>
  </w:num>
  <w:num w:numId="32" w16cid:durableId="1864587698">
    <w:abstractNumId w:val="3"/>
  </w:num>
  <w:num w:numId="33" w16cid:durableId="2041543182">
    <w:abstractNumId w:val="48"/>
  </w:num>
  <w:num w:numId="34" w16cid:durableId="803305003">
    <w:abstractNumId w:val="52"/>
  </w:num>
  <w:num w:numId="35" w16cid:durableId="382365212">
    <w:abstractNumId w:val="53"/>
  </w:num>
  <w:num w:numId="36" w16cid:durableId="1361393366">
    <w:abstractNumId w:val="0"/>
  </w:num>
  <w:num w:numId="37" w16cid:durableId="1469013924">
    <w:abstractNumId w:val="9"/>
  </w:num>
  <w:num w:numId="38" w16cid:durableId="444157156">
    <w:abstractNumId w:val="12"/>
  </w:num>
  <w:num w:numId="39" w16cid:durableId="1005284219">
    <w:abstractNumId w:val="54"/>
  </w:num>
  <w:num w:numId="40" w16cid:durableId="276522631">
    <w:abstractNumId w:val="11"/>
  </w:num>
  <w:num w:numId="41" w16cid:durableId="19598821">
    <w:abstractNumId w:val="17"/>
  </w:num>
  <w:num w:numId="42" w16cid:durableId="417336207">
    <w:abstractNumId w:val="50"/>
  </w:num>
  <w:num w:numId="43" w16cid:durableId="903949441">
    <w:abstractNumId w:val="7"/>
  </w:num>
  <w:num w:numId="44" w16cid:durableId="843402850">
    <w:abstractNumId w:val="24"/>
  </w:num>
  <w:num w:numId="45" w16cid:durableId="900216343">
    <w:abstractNumId w:val="44"/>
  </w:num>
  <w:num w:numId="46" w16cid:durableId="438136695">
    <w:abstractNumId w:val="20"/>
  </w:num>
  <w:num w:numId="47" w16cid:durableId="871724162">
    <w:abstractNumId w:val="46"/>
  </w:num>
  <w:num w:numId="48" w16cid:durableId="1459638602">
    <w:abstractNumId w:val="27"/>
  </w:num>
  <w:num w:numId="49" w16cid:durableId="321396173">
    <w:abstractNumId w:val="18"/>
  </w:num>
  <w:num w:numId="50" w16cid:durableId="912617946">
    <w:abstractNumId w:val="22"/>
  </w:num>
  <w:num w:numId="51" w16cid:durableId="1262957912">
    <w:abstractNumId w:val="5"/>
  </w:num>
  <w:num w:numId="52" w16cid:durableId="1371415771">
    <w:abstractNumId w:val="39"/>
  </w:num>
  <w:num w:numId="53" w16cid:durableId="1496872568">
    <w:abstractNumId w:val="32"/>
  </w:num>
  <w:num w:numId="54" w16cid:durableId="1795782741">
    <w:abstractNumId w:val="42"/>
  </w:num>
  <w:num w:numId="55" w16cid:durableId="605963977">
    <w:abstractNumId w:val="55"/>
  </w:num>
  <w:num w:numId="56" w16cid:durableId="17253319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6D"/>
    <w:rsid w:val="00042324"/>
    <w:rsid w:val="001C3914"/>
    <w:rsid w:val="00292BB6"/>
    <w:rsid w:val="002F1B14"/>
    <w:rsid w:val="00352BFE"/>
    <w:rsid w:val="007F142D"/>
    <w:rsid w:val="00A56ACA"/>
    <w:rsid w:val="00B85C6D"/>
    <w:rsid w:val="00CE11CE"/>
    <w:rsid w:val="00FB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A81A492-44C6-224B-AE88-528A8BE1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5C6D"/>
    <w:pPr>
      <w:widowControl w:val="0"/>
      <w:jc w:val="both"/>
    </w:pPr>
    <w:rPr>
      <w:kern w:val="0"/>
      <w:szCs w:val="22"/>
    </w:rPr>
  </w:style>
  <w:style w:type="paragraph" w:styleId="1">
    <w:name w:val="heading 1"/>
    <w:basedOn w:val="a"/>
    <w:next w:val="a"/>
    <w:link w:val="10"/>
    <w:uiPriority w:val="9"/>
    <w:qFormat/>
    <w:rsid w:val="00B85C6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85C6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85C6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85C6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85C6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85C6D"/>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85C6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5C6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85C6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5C6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85C6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85C6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85C6D"/>
    <w:rPr>
      <w:rFonts w:cstheme="majorBidi"/>
      <w:color w:val="2F5496" w:themeColor="accent1" w:themeShade="BF"/>
      <w:sz w:val="28"/>
      <w:szCs w:val="28"/>
    </w:rPr>
  </w:style>
  <w:style w:type="character" w:customStyle="1" w:styleId="50">
    <w:name w:val="标题 5 字符"/>
    <w:basedOn w:val="a0"/>
    <w:link w:val="5"/>
    <w:uiPriority w:val="9"/>
    <w:semiHidden/>
    <w:rsid w:val="00B85C6D"/>
    <w:rPr>
      <w:rFonts w:cstheme="majorBidi"/>
      <w:color w:val="2F5496" w:themeColor="accent1" w:themeShade="BF"/>
      <w:sz w:val="24"/>
    </w:rPr>
  </w:style>
  <w:style w:type="character" w:customStyle="1" w:styleId="60">
    <w:name w:val="标题 6 字符"/>
    <w:basedOn w:val="a0"/>
    <w:link w:val="6"/>
    <w:uiPriority w:val="9"/>
    <w:semiHidden/>
    <w:rsid w:val="00B85C6D"/>
    <w:rPr>
      <w:rFonts w:cstheme="majorBidi"/>
      <w:b/>
      <w:bCs/>
      <w:color w:val="2F5496" w:themeColor="accent1" w:themeShade="BF"/>
    </w:rPr>
  </w:style>
  <w:style w:type="character" w:customStyle="1" w:styleId="70">
    <w:name w:val="标题 7 字符"/>
    <w:basedOn w:val="a0"/>
    <w:link w:val="7"/>
    <w:uiPriority w:val="9"/>
    <w:semiHidden/>
    <w:rsid w:val="00B85C6D"/>
    <w:rPr>
      <w:rFonts w:cstheme="majorBidi"/>
      <w:b/>
      <w:bCs/>
      <w:color w:val="595959" w:themeColor="text1" w:themeTint="A6"/>
    </w:rPr>
  </w:style>
  <w:style w:type="character" w:customStyle="1" w:styleId="80">
    <w:name w:val="标题 8 字符"/>
    <w:basedOn w:val="a0"/>
    <w:link w:val="8"/>
    <w:uiPriority w:val="9"/>
    <w:semiHidden/>
    <w:rsid w:val="00B85C6D"/>
    <w:rPr>
      <w:rFonts w:cstheme="majorBidi"/>
      <w:color w:val="595959" w:themeColor="text1" w:themeTint="A6"/>
    </w:rPr>
  </w:style>
  <w:style w:type="character" w:customStyle="1" w:styleId="90">
    <w:name w:val="标题 9 字符"/>
    <w:basedOn w:val="a0"/>
    <w:link w:val="9"/>
    <w:uiPriority w:val="9"/>
    <w:semiHidden/>
    <w:rsid w:val="00B85C6D"/>
    <w:rPr>
      <w:rFonts w:eastAsiaTheme="majorEastAsia" w:cstheme="majorBidi"/>
      <w:color w:val="595959" w:themeColor="text1" w:themeTint="A6"/>
    </w:rPr>
  </w:style>
  <w:style w:type="paragraph" w:styleId="a3">
    <w:name w:val="Title"/>
    <w:basedOn w:val="a"/>
    <w:next w:val="a"/>
    <w:link w:val="a4"/>
    <w:uiPriority w:val="10"/>
    <w:qFormat/>
    <w:rsid w:val="00B85C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5C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5C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5C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5C6D"/>
    <w:pPr>
      <w:spacing w:before="160" w:after="160"/>
      <w:jc w:val="center"/>
    </w:pPr>
    <w:rPr>
      <w:i/>
      <w:iCs/>
      <w:color w:val="404040" w:themeColor="text1" w:themeTint="BF"/>
    </w:rPr>
  </w:style>
  <w:style w:type="character" w:customStyle="1" w:styleId="a8">
    <w:name w:val="引用 字符"/>
    <w:basedOn w:val="a0"/>
    <w:link w:val="a7"/>
    <w:uiPriority w:val="29"/>
    <w:rsid w:val="00B85C6D"/>
    <w:rPr>
      <w:i/>
      <w:iCs/>
      <w:color w:val="404040" w:themeColor="text1" w:themeTint="BF"/>
    </w:rPr>
  </w:style>
  <w:style w:type="paragraph" w:styleId="a9">
    <w:name w:val="List Paragraph"/>
    <w:basedOn w:val="a"/>
    <w:uiPriority w:val="34"/>
    <w:qFormat/>
    <w:rsid w:val="00B85C6D"/>
    <w:pPr>
      <w:ind w:left="720"/>
      <w:contextualSpacing/>
    </w:pPr>
  </w:style>
  <w:style w:type="character" w:styleId="aa">
    <w:name w:val="Intense Emphasis"/>
    <w:basedOn w:val="a0"/>
    <w:uiPriority w:val="21"/>
    <w:qFormat/>
    <w:rsid w:val="00B85C6D"/>
    <w:rPr>
      <w:i/>
      <w:iCs/>
      <w:color w:val="2F5496" w:themeColor="accent1" w:themeShade="BF"/>
    </w:rPr>
  </w:style>
  <w:style w:type="paragraph" w:styleId="ab">
    <w:name w:val="Intense Quote"/>
    <w:basedOn w:val="a"/>
    <w:next w:val="a"/>
    <w:link w:val="ac"/>
    <w:uiPriority w:val="30"/>
    <w:qFormat/>
    <w:rsid w:val="00B85C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85C6D"/>
    <w:rPr>
      <w:i/>
      <w:iCs/>
      <w:color w:val="2F5496" w:themeColor="accent1" w:themeShade="BF"/>
    </w:rPr>
  </w:style>
  <w:style w:type="character" w:styleId="ad">
    <w:name w:val="Intense Reference"/>
    <w:basedOn w:val="a0"/>
    <w:uiPriority w:val="32"/>
    <w:qFormat/>
    <w:rsid w:val="00B85C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4576</Words>
  <Characters>26086</Characters>
  <Application>Microsoft Office Word</Application>
  <DocSecurity>0</DocSecurity>
  <Lines>217</Lines>
  <Paragraphs>61</Paragraphs>
  <ScaleCrop>false</ScaleCrop>
  <Company/>
  <LinksUpToDate>false</LinksUpToDate>
  <CharactersWithSpaces>30601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2025-09-23T10:26:00Z</dcterms:created>
  <dcterms:modified xsi:type="dcterms:W3CDTF">2025-09-23T10:28:00Z</dcterms:modified>
</cp:coreProperties>
</file>