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8B1" w:rsidRDefault="00C156EB" w:rsidP="00C156EB">
      <w:pPr>
        <w:widowControl/>
        <w:shd w:val="clear" w:color="auto" w:fill="FFFFFF"/>
        <w:spacing w:before="100" w:beforeAutospacing="1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</w:pP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媄月</w:t>
      </w: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Pre-A</w:t>
      </w: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轮融资备忘录：</w:t>
      </w:r>
    </w:p>
    <w:p w:rsidR="00C156EB" w:rsidRPr="00C156EB" w:rsidRDefault="00C156EB" w:rsidP="00B038B1">
      <w:pPr>
        <w:widowControl/>
        <w:shd w:val="clear" w:color="auto" w:fill="FFFFFF"/>
        <w:spacing w:before="100" w:beforeAutospacing="1" w:after="240"/>
        <w:jc w:val="center"/>
        <w:outlineLvl w:val="2"/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</w:pP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基于</w:t>
      </w: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“</w:t>
      </w: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合伙人共同体</w:t>
      </w: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”</w:t>
      </w:r>
      <w:r w:rsidRPr="00B038B1">
        <w:rPr>
          <w:rFonts w:ascii="Segoe UI" w:eastAsia="宋体" w:hAnsi="Segoe UI" w:cs="Segoe UI"/>
          <w:b/>
          <w:bCs/>
          <w:color w:val="0F1115"/>
          <w:kern w:val="0"/>
          <w:sz w:val="36"/>
          <w:szCs w:val="27"/>
        </w:rPr>
        <w:t>模型的增长飞轮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文件性质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：本备忘录旨在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向具备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产业视野与长期耐心的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觉悟资本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阐述媄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月独特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的组织模式如何从根本上构建竞争壁垒，并系统性降低早期投资风险。</w:t>
      </w:r>
    </w:p>
    <w:p w:rsidR="00C156EB" w:rsidRPr="00C156EB" w:rsidRDefault="00C156EB" w:rsidP="00C156E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C156EB">
        <w:rPr>
          <w:rFonts w:ascii="宋体" w:eastAsia="宋体" w:hAnsi="宋体" w:cs="宋体"/>
          <w:kern w:val="0"/>
          <w:sz w:val="28"/>
          <w:szCs w:val="28"/>
        </w:rPr>
        <w:pict>
          <v:rect id="_x0000_i1025" style="width:0;height:.75pt" o:hralign="center" o:hrstd="t" o:hrnoshade="t" o:hr="t" fillcolor="#0f1115" stroked="f"/>
        </w:pict>
      </w:r>
    </w:p>
    <w:p w:rsidR="00C156EB" w:rsidRPr="00C156EB" w:rsidRDefault="00C156EB" w:rsidP="00C156E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第一部分：投资摘要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——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我们为何独特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本轮融资核心命题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：投资媄月，并非投资一个传统的创业团队，而是投资一个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通过精巧的合伙人共同体设计，能够自我驱动、持续进化的文明操作系统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。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我们致力于解决的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文化价值囚禁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与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信仰缺失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问题是宏大且长期的。传统的雇佣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制创业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公司无法承载这一使命，因其面临人才天花板、执行断层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与愿景稀释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的核心风险。为此，我们从创立之初就构建了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使命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-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利益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-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治理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三位一体的合伙人共同体模型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。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本轮融资的关键用途，正是为了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启动并燃料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这个合伙人引擎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，其核心支出将用于：</w:t>
      </w:r>
    </w:p>
    <w:p w:rsidR="00C156EB" w:rsidRPr="00C156EB" w:rsidRDefault="00C156EB" w:rsidP="00C156EB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吸引并锁定首批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标准定义合伙人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与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价值创造合伙人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（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60%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资金）。</w:t>
      </w:r>
    </w:p>
    <w:p w:rsidR="00C156EB" w:rsidRPr="00C156EB" w:rsidRDefault="00C156EB" w:rsidP="00C156EB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lastRenderedPageBreak/>
        <w:t>为合伙人共同体提供首个高价值的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资产炼金炉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项目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（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30%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资金）。</w:t>
      </w:r>
    </w:p>
    <w:p w:rsidR="00C156EB" w:rsidRPr="00C156EB" w:rsidRDefault="00C156EB" w:rsidP="00C156EB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构建支持合伙人协作与贡献记录的数字基础设施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（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10%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资金）。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我们相信，一个由顶尖合伙人驱动、利益深度绑定、目标高度一致的组织，是实现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宏大愿景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的唯一可行路径。这构成了我们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最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核心的投资逻辑与护城河。</w:t>
      </w:r>
    </w:p>
    <w:p w:rsidR="00C156EB" w:rsidRPr="00C156EB" w:rsidRDefault="00C156EB" w:rsidP="00C156E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C156EB">
        <w:rPr>
          <w:rFonts w:ascii="宋体" w:eastAsia="宋体" w:hAnsi="宋体" w:cs="宋体"/>
          <w:kern w:val="0"/>
          <w:sz w:val="28"/>
          <w:szCs w:val="28"/>
        </w:rPr>
        <w:pict>
          <v:rect id="_x0000_i1026" style="width:0;height:.75pt" o:hralign="center" o:hrstd="t" o:hrnoshade="t" o:hr="t" fillcolor="#0f1115" stroked="f"/>
        </w:pict>
      </w:r>
    </w:p>
    <w:p w:rsidR="00C156EB" w:rsidRPr="00C156EB" w:rsidRDefault="00C156EB" w:rsidP="00C156E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第二部分：问题与机遇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——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为何传统模式必然失败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2.1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传统创业公司在解决复杂系统问题时的</w:t>
      </w:r>
      <w:proofErr w:type="gramStart"/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三大死穴</w:t>
      </w:r>
      <w:proofErr w:type="gramEnd"/>
    </w:p>
    <w:p w:rsidR="00C156EB" w:rsidRPr="00C156EB" w:rsidRDefault="00C156EB" w:rsidP="00C156EB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人才悖论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：最需要的顶尖复合型人才（懂文化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+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懂金融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+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懂技术），无法通过薪酬在早期招募。</w:t>
      </w:r>
    </w:p>
    <w:p w:rsidR="00C156EB" w:rsidRPr="00C156EB" w:rsidRDefault="00C156EB" w:rsidP="00C156EB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激励错配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：职业经理人与打工心态，无法承受漫长且不确定的价值探索期，导致动作变形。</w:t>
      </w:r>
    </w:p>
    <w:p w:rsidR="00C156EB" w:rsidRPr="00C156EB" w:rsidRDefault="00C156EB" w:rsidP="00C156EB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生态隔离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：作为外部服务商，难以与核心资源方（政府、学院、传承人）建立产权与命运层面的深度绑定。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2.2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媄月的</w:t>
      </w:r>
      <w:proofErr w:type="gramStart"/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破局点</w:t>
      </w:r>
      <w:proofErr w:type="gramEnd"/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：从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公司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到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共同体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br/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市场机遇（千亿文化价值转化）与时代命题（精神重建）是真实的，但捕获机遇需要一种全新的组织形态。我们不是第一个发现金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lastRenderedPageBreak/>
        <w:t>矿的人，但我们正打造第一把能够高效、可持续挖掘金矿的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特种钻机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”——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即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合伙人共同体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。</w:t>
      </w:r>
    </w:p>
    <w:p w:rsidR="00C156EB" w:rsidRPr="00C156EB" w:rsidRDefault="00C156EB" w:rsidP="00C156E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C156EB">
        <w:rPr>
          <w:rFonts w:ascii="宋体" w:eastAsia="宋体" w:hAnsi="宋体" w:cs="宋体"/>
          <w:kern w:val="0"/>
          <w:sz w:val="28"/>
          <w:szCs w:val="28"/>
        </w:rPr>
        <w:pict>
          <v:rect id="_x0000_i1027" style="width:0;height:.75pt" o:hralign="center" o:hrstd="t" o:hrnoshade="t" o:hr="t" fillcolor="#0f1115" stroked="f"/>
        </w:pict>
      </w:r>
    </w:p>
    <w:p w:rsidR="00C156EB" w:rsidRPr="00C156EB" w:rsidRDefault="00C156EB" w:rsidP="00C156E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第三部分：解决方案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——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合伙人共同体模型详解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我们的解决方案是一个动态、开放、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利益深绑的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合伙人体系，它直接对应并解决了上述死穴。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3.1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三类战略合伙人：构建完整的能力飞轮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625"/>
        <w:gridCol w:w="2227"/>
        <w:gridCol w:w="2315"/>
      </w:tblGrid>
      <w:tr w:rsidR="00C156EB" w:rsidRPr="00C156EB" w:rsidTr="00B038B1">
        <w:trPr>
          <w:tblHeader/>
        </w:trPr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合伙人类型</w:t>
            </w:r>
          </w:p>
        </w:tc>
        <w:tc>
          <w:tcPr>
            <w:tcW w:w="15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核心画像与价值</w:t>
            </w:r>
          </w:p>
        </w:tc>
        <w:tc>
          <w:tcPr>
            <w:tcW w:w="13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吸引他们的“非货币价值”</w:t>
            </w:r>
          </w:p>
        </w:tc>
        <w:tc>
          <w:tcPr>
            <w:tcW w:w="1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利益绑定设计</w:t>
            </w:r>
          </w:p>
        </w:tc>
      </w:tr>
      <w:tr w:rsidR="00C156EB" w:rsidRPr="00C156EB" w:rsidTr="00B038B1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标准定义合伙人</w:t>
            </w:r>
          </w:p>
        </w:tc>
        <w:tc>
          <w:tcPr>
            <w:tcW w:w="15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规则破壁者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。金融工程、合</w:t>
            </w:r>
            <w:proofErr w:type="gramStart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法律、学术标准背景。解决“从0到1建立规则”的难题。</w:t>
            </w:r>
          </w:p>
        </w:tc>
        <w:tc>
          <w:tcPr>
            <w:tcW w:w="13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1. 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定义未来的权力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：参与制定行业底层协议。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历史性参与感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：在文明数字化进程中刻下名字。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顶级资源网络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13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高比例期权 (1.5-3.0%) + 资产协议专利署名权 + 标准制定专项奖金</w:t>
            </w:r>
          </w:p>
        </w:tc>
      </w:tr>
      <w:tr w:rsidR="00C156EB" w:rsidRPr="00C156EB" w:rsidTr="00B038B1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价值创造合伙人</w:t>
            </w:r>
          </w:p>
        </w:tc>
        <w:tc>
          <w:tcPr>
            <w:tcW w:w="15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项目特种兵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。顶尖的文化转译官、情绪设计师、商业架构师。解决“打造极致标杆”的难题。</w:t>
            </w:r>
          </w:p>
        </w:tc>
        <w:tc>
          <w:tcPr>
            <w:tcW w:w="13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1. 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定义行业的战场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：操盘国家级标杆项目。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职业资产银行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：链上数字职业档案。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顶尖同侪网络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13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项目跟投权</w:t>
            </w:r>
            <w:proofErr w:type="gramEnd"/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+ 高比例超额利润分成 (20-30%) + 核心期权 (0.8-2.0%)</w:t>
            </w:r>
          </w:p>
        </w:tc>
      </w:tr>
      <w:tr w:rsidR="00C156EB" w:rsidRPr="00C156EB" w:rsidTr="00B038B1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生态增长合伙人</w:t>
            </w:r>
          </w:p>
        </w:tc>
        <w:tc>
          <w:tcPr>
            <w:tcW w:w="15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生态编织者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。城市合伙人、产业资源方。解决“从1到N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快速复</w:t>
            </w:r>
            <w:bookmarkStart w:id="0" w:name="_GoBack"/>
            <w:bookmarkEnd w:id="0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制”的难题。</w:t>
            </w:r>
          </w:p>
        </w:tc>
        <w:tc>
          <w:tcPr>
            <w:tcW w:w="13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1. 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一片自耕的土壤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：区域独家经营权。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2. 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平台增长红利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3. 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轻资产创业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13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区域业务高额分成 + 股权 (与对赌挂</w:t>
            </w: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钩) + 资产孵化权益</w:t>
            </w:r>
          </w:p>
        </w:tc>
      </w:tr>
    </w:tbl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lastRenderedPageBreak/>
        <w:t xml:space="preserve">3.2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核心创新：三维动态权益包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br/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我们为每位合伙人提供由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股权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+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项目收益权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+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资产收益权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(Carry)”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构成的复合权益包。</w:t>
      </w:r>
    </w:p>
    <w:p w:rsidR="00C156EB" w:rsidRPr="00C156EB" w:rsidRDefault="00C156EB" w:rsidP="00C156EB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资产收益权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(Carry)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是关键创新：合伙人主导孵化的文化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IP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、设计模板，在封装为平台标准资产后，其产生的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后续所有授权、交易收益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，该合伙人将永久享有分成（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5-15%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）。这将其个人成功与平台生态的长期价值增长彻底锁定。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3.3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治理与进化机制</w:t>
      </w:r>
    </w:p>
    <w:p w:rsidR="00C156EB" w:rsidRPr="00C156EB" w:rsidRDefault="00C156EB" w:rsidP="00C156EB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进入机制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战功制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而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非邀请制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。需通过一个真实的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90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天攻坚任务（如完成一个项目模块、攻克一个合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规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课题）证明价值。</w:t>
      </w:r>
    </w:p>
    <w:p w:rsidR="00C156EB" w:rsidRPr="00C156EB" w:rsidRDefault="00C156EB" w:rsidP="00C156EB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决策机制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联邦制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治理。战略委员会由各类合伙人代表组成，专业领域内合伙人有一票否决权。</w:t>
      </w:r>
    </w:p>
    <w:p w:rsidR="00C156EB" w:rsidRPr="00C156EB" w:rsidRDefault="00C156EB" w:rsidP="00C156EB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动态调整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：每年基于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三维贡献度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（业务、方法论、生态）评估，对权益进行动态增减，确保共同体永葆活力与公平。</w:t>
      </w:r>
    </w:p>
    <w:p w:rsidR="00C156EB" w:rsidRPr="00C156EB" w:rsidRDefault="00C156EB" w:rsidP="00C156E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C156EB">
        <w:rPr>
          <w:rFonts w:ascii="宋体" w:eastAsia="宋体" w:hAnsi="宋体" w:cs="宋体"/>
          <w:kern w:val="0"/>
          <w:sz w:val="28"/>
          <w:szCs w:val="28"/>
        </w:rPr>
        <w:pict>
          <v:rect id="_x0000_i1028" style="width:0;height:.75pt" o:hralign="center" o:hrstd="t" o:hrnoshade="t" o:hr="t" fillcolor="#0f1115" stroked="f"/>
        </w:pict>
      </w:r>
    </w:p>
    <w:p w:rsidR="00C156EB" w:rsidRPr="00C156EB" w:rsidRDefault="00C156EB" w:rsidP="00C156E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lastRenderedPageBreak/>
        <w:t>第四部分：商业模式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——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合伙人驱动下的增长飞轮</w:t>
      </w:r>
    </w:p>
    <w:p w:rsidR="00C156EB" w:rsidRPr="00C156EB" w:rsidRDefault="00C156EB" w:rsidP="00F55905">
      <w:pPr>
        <w:widowControl/>
        <w:shd w:val="clear" w:color="auto" w:fill="FFFFFF"/>
        <w:spacing w:before="240" w:after="240"/>
        <w:jc w:val="center"/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</w:pP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资本注入将直接催化以下飞轮加速运转：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资本注入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↓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【吸引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1-2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位关键合伙人加入】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（如：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1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位标准定义合伙人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 xml:space="preserve"> + 1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位价值创造合伙人）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↓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【启动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“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灯塔炼金炉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”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项目】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（利用合伙人能力，打造首个标杆，并完成资产封装）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↓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【产生两种产出】</w:t>
      </w:r>
    </w:p>
    <w:p w:rsidR="00C156EB" w:rsidRPr="00C156EB" w:rsidRDefault="00C156EB" w:rsidP="00C156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 xml:space="preserve">1. 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可复制的成功案例与现金流（验证模式）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 xml:space="preserve">→ 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吸引更多价值创造合伙人</w:t>
      </w:r>
    </w:p>
    <w:p w:rsidR="00C156EB" w:rsidRPr="00C156EB" w:rsidRDefault="00C156EB" w:rsidP="00C156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 xml:space="preserve">2. 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可流通的资产协议与标准（建立壁垒）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 xml:space="preserve">→ 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吸引更多标准定义合伙人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↓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【合伙人网络与生态能力双重增强】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↓</w:t>
      </w:r>
    </w:p>
    <w:p w:rsidR="00C156EB" w:rsidRPr="00C156EB" w:rsidRDefault="00C156EB" w:rsidP="00F55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</w:pP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【估值提升，并为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A</w:t>
      </w:r>
      <w:r w:rsidRPr="00C156EB">
        <w:rPr>
          <w:rFonts w:ascii="var(--ds-font-family-code)" w:eastAsia="宋体" w:hAnsi="var(--ds-font-family-code)" w:cs="宋体"/>
          <w:color w:val="0F1115"/>
          <w:kern w:val="0"/>
          <w:sz w:val="28"/>
          <w:szCs w:val="28"/>
        </w:rPr>
        <w:t>轮融资奠定坚实基础】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Pre-A</w:t>
      </w:r>
      <w:proofErr w:type="gramStart"/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轮资金</w:t>
      </w:r>
      <w:proofErr w:type="gramEnd"/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的使用，本质是购买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最稀缺的合伙人时间与智力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，并将其转化为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可衡量的资产与标准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。</w:t>
      </w:r>
    </w:p>
    <w:p w:rsidR="00C156EB" w:rsidRPr="00C156EB" w:rsidRDefault="00C156EB" w:rsidP="00C156E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C156EB">
        <w:rPr>
          <w:rFonts w:ascii="宋体" w:eastAsia="宋体" w:hAnsi="宋体" w:cs="宋体"/>
          <w:kern w:val="0"/>
          <w:sz w:val="28"/>
          <w:szCs w:val="28"/>
        </w:rPr>
        <w:lastRenderedPageBreak/>
        <w:pict>
          <v:rect id="_x0000_i1029" style="width:0;height:.75pt" o:hralign="center" o:hrstd="t" o:hrnoshade="t" o:hr="t" fillcolor="#0f1115" stroked="f"/>
        </w:pict>
      </w:r>
    </w:p>
    <w:p w:rsidR="00C156EB" w:rsidRPr="00C156EB" w:rsidRDefault="00C156EB" w:rsidP="00C156E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第五部分：执行路线图与资金规划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5.1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资金使用计划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(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总计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2000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万元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182"/>
        <w:gridCol w:w="1346"/>
        <w:gridCol w:w="4281"/>
      </w:tblGrid>
      <w:tr w:rsidR="00C156EB" w:rsidRPr="00C156EB" w:rsidTr="00B038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用途板块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分配比例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金额 (万元)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详细说明与预期成果</w:t>
            </w:r>
          </w:p>
        </w:tc>
      </w:tr>
      <w:tr w:rsidR="00C156EB" w:rsidRPr="00C156EB" w:rsidTr="00B03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F37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合伙人引入与激励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1. 为2-3位关键合伙人提供有竞争力的薪酬包及期权</w:t>
            </w:r>
            <w:proofErr w:type="gramStart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池设立</w:t>
            </w:r>
            <w:proofErr w:type="gramEnd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(800万)。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设立“首战必胜”专项项目奖金及</w:t>
            </w:r>
            <w:proofErr w:type="gramStart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跟投基金</w:t>
            </w:r>
            <w:proofErr w:type="gramEnd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(400万)。</w:t>
            </w:r>
          </w:p>
        </w:tc>
      </w:tr>
      <w:tr w:rsidR="00C156EB" w:rsidRPr="00C156EB" w:rsidTr="00B03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F37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灯塔项目“炼金炉”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1. </w:t>
            </w:r>
            <w:proofErr w:type="gramStart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全额保障</w:t>
            </w:r>
            <w:proofErr w:type="gramEnd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首个双城标杆项目的极致交付与资产封装 (500万)。</w:t>
            </w: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项目相关的合</w:t>
            </w:r>
            <w:proofErr w:type="gramStart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、审计、法律结构设计 (100万)。</w:t>
            </w:r>
          </w:p>
        </w:tc>
      </w:tr>
      <w:tr w:rsidR="00C156EB" w:rsidRPr="00C156EB" w:rsidTr="00B03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F37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数字共同体基建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56EB">
              <w:rPr>
                <w:rFonts w:ascii="宋体" w:eastAsia="宋体" w:hAnsi="宋体" w:cs="宋体"/>
                <w:kern w:val="0"/>
                <w:sz w:val="24"/>
                <w:szCs w:val="24"/>
              </w:rPr>
              <w:t>开发合伙人贡献记录系统（SBT雏形）、内部协同平台及资产管理系统MVP。</w:t>
            </w:r>
          </w:p>
        </w:tc>
      </w:tr>
      <w:tr w:rsidR="00C156EB" w:rsidRPr="00C156EB" w:rsidTr="00B03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B038B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F37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F37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F37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6EB" w:rsidRPr="00C156EB" w:rsidRDefault="00C156EB" w:rsidP="00C156E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5.2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关键里程碑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 (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融资后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12-18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个月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)</w:t>
      </w:r>
    </w:p>
    <w:p w:rsidR="00C156EB" w:rsidRPr="00C156EB" w:rsidRDefault="00C156EB" w:rsidP="00C156EB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Q2-Q3 2026 (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合伙奠基期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)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：完成首批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3-4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位核心合伙人的签约与到位；首个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炼金炉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项目启动。</w:t>
      </w:r>
    </w:p>
    <w:p w:rsidR="00C156EB" w:rsidRPr="00C156EB" w:rsidRDefault="00C156EB" w:rsidP="00C156EB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Q4 2026 - Q1 2027 (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资产产出期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)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：首个项目高标准交付，并完成合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规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数字收益权凭证的发行；合伙人贡献系统上线。</w:t>
      </w:r>
    </w:p>
    <w:p w:rsidR="00C156EB" w:rsidRPr="00C156EB" w:rsidRDefault="00C156EB" w:rsidP="00C156EB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Q2 2027 (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飞轮验证期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)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：利用首个资产案例，签约第二个城市合伙人及项目；启动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A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轮融资。</w:t>
      </w:r>
    </w:p>
    <w:p w:rsidR="00C156EB" w:rsidRPr="00C156EB" w:rsidRDefault="00C156EB" w:rsidP="00C156EB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C156EB">
        <w:rPr>
          <w:rFonts w:ascii="宋体" w:eastAsia="宋体" w:hAnsi="宋体" w:cs="宋体"/>
          <w:kern w:val="0"/>
          <w:sz w:val="28"/>
          <w:szCs w:val="28"/>
        </w:rPr>
        <w:lastRenderedPageBreak/>
        <w:pict>
          <v:rect id="_x0000_i1030" style="width:0;height:.75pt" o:hralign="center" o:hrstd="t" o:hrnoshade="t" o:hr="t" fillcolor="#0f1115" stroked="f"/>
        </w:pict>
      </w:r>
    </w:p>
    <w:p w:rsidR="00C156EB" w:rsidRPr="00C156EB" w:rsidRDefault="00C156EB" w:rsidP="00C156E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第六部分：风险与回报分析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6.1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风险缓释：为何合伙人模型能降低风险</w:t>
      </w:r>
    </w:p>
    <w:p w:rsidR="00C156EB" w:rsidRPr="00C156EB" w:rsidRDefault="00C156EB" w:rsidP="00C156EB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人才流失风险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→ 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被缓解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：三维权益绑定（尤其资产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Carry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）使合伙人离开成本极高。</w:t>
      </w:r>
    </w:p>
    <w:p w:rsidR="00C156EB" w:rsidRPr="00C156EB" w:rsidRDefault="00C156EB" w:rsidP="00C156EB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执行不力风险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→ 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被缓解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：合伙人是为自己事业而战，非执行任务，且内部有动态评估与淘汰。</w:t>
      </w:r>
    </w:p>
    <w:p w:rsidR="00C156EB" w:rsidRPr="00C156EB" w:rsidRDefault="00C156EB" w:rsidP="00C156EB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方向漂移风险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→ 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被缓解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：联邦治理确保战略由</w:t>
      </w:r>
      <w:proofErr w:type="gramStart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最懂各领域</w:t>
      </w:r>
      <w:proofErr w:type="gramEnd"/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的人共同决定，避免创始人独断。</w:t>
      </w:r>
    </w:p>
    <w:p w:rsidR="00C156EB" w:rsidRPr="00C156EB" w:rsidRDefault="00C156EB" w:rsidP="00C156E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6.2 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投资回报逻辑</w:t>
      </w:r>
    </w:p>
    <w:p w:rsidR="00C156EB" w:rsidRPr="00C156EB" w:rsidRDefault="00C156EB" w:rsidP="00C156EB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基础价值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：投资于一个解决千亿市场痛点的商业模式。</w:t>
      </w:r>
    </w:p>
    <w:p w:rsidR="00C156EB" w:rsidRPr="00C156EB" w:rsidRDefault="00C156EB" w:rsidP="00C156EB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溢价来源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投资于一个能够自我驱动、自我进化、具有网络效应的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合伙人共同体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。该组织形态本身，在文化产业中具有稀缺性和高壁垒。</w:t>
      </w:r>
    </w:p>
    <w:p w:rsidR="00C156EB" w:rsidRPr="00C156EB" w:rsidRDefault="00C156EB" w:rsidP="00C156EB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指数可能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：当合伙人网络与数字资产生态形成交叉网络效应时，公司将不再是线性增长的服务商，而是指数增长的生态平台，其价值将重估。</w:t>
      </w:r>
    </w:p>
    <w:p w:rsidR="00400238" w:rsidRPr="00C156EB" w:rsidRDefault="00C156EB" w:rsidP="00DF375C">
      <w:pPr>
        <w:widowControl/>
        <w:shd w:val="clear" w:color="auto" w:fill="FFFFFF"/>
        <w:spacing w:before="240" w:after="240"/>
        <w:jc w:val="left"/>
      </w:pP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我们寻求的，不仅是资本，更是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“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共识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”</w:t>
      </w:r>
      <w:r w:rsidRPr="00DF375C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。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我们期待与理解组织创新、看重长期结构性价值的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“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觉悟资本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”</w:t>
      </w:r>
      <w:r w:rsidRPr="00C156EB">
        <w:rPr>
          <w:rFonts w:ascii="Segoe UI" w:eastAsia="宋体" w:hAnsi="Segoe UI" w:cs="Segoe UI"/>
          <w:color w:val="0F1115"/>
          <w:kern w:val="0"/>
          <w:sz w:val="28"/>
          <w:szCs w:val="28"/>
        </w:rPr>
        <w:t>携手，共同打造这个属于未来的共同体。</w:t>
      </w:r>
    </w:p>
    <w:sectPr w:rsidR="00400238" w:rsidRPr="00C15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85CBC"/>
    <w:multiLevelType w:val="multilevel"/>
    <w:tmpl w:val="A62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C273B"/>
    <w:multiLevelType w:val="multilevel"/>
    <w:tmpl w:val="898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F7466"/>
    <w:multiLevelType w:val="multilevel"/>
    <w:tmpl w:val="A2A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96D48"/>
    <w:multiLevelType w:val="multilevel"/>
    <w:tmpl w:val="539A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66EA9"/>
    <w:multiLevelType w:val="multilevel"/>
    <w:tmpl w:val="374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51C03"/>
    <w:multiLevelType w:val="multilevel"/>
    <w:tmpl w:val="C21A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027C8"/>
    <w:multiLevelType w:val="multilevel"/>
    <w:tmpl w:val="A960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6EB"/>
    <w:rsid w:val="00B038B1"/>
    <w:rsid w:val="00C156EB"/>
    <w:rsid w:val="00DA6F58"/>
    <w:rsid w:val="00DF375C"/>
    <w:rsid w:val="00DF63E2"/>
    <w:rsid w:val="00F55905"/>
    <w:rsid w:val="00F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4021"/>
  <w15:chartTrackingRefBased/>
  <w15:docId w15:val="{B29236DD-0583-4DE2-A599-318879FB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156E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156EB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156EB"/>
    <w:rPr>
      <w:b/>
      <w:bCs/>
    </w:rPr>
  </w:style>
  <w:style w:type="paragraph" w:customStyle="1" w:styleId="ds-markdown-paragraph">
    <w:name w:val="ds-markdown-paragraph"/>
    <w:basedOn w:val="a"/>
    <w:rsid w:val="00C156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C156EB"/>
  </w:style>
  <w:style w:type="character" w:customStyle="1" w:styleId="code-info-button-text">
    <w:name w:val="code-info-button-text"/>
    <w:basedOn w:val="a0"/>
    <w:rsid w:val="00C156EB"/>
  </w:style>
  <w:style w:type="paragraph" w:styleId="HTML">
    <w:name w:val="HTML Preformatted"/>
    <w:basedOn w:val="a"/>
    <w:link w:val="HTML0"/>
    <w:uiPriority w:val="99"/>
    <w:semiHidden/>
    <w:unhideWhenUsed/>
    <w:rsid w:val="00C156E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156E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52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0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05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7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许锋</dc:creator>
  <cp:keywords/>
  <dc:description/>
  <cp:lastModifiedBy>许锋</cp:lastModifiedBy>
  <cp:revision>5</cp:revision>
  <dcterms:created xsi:type="dcterms:W3CDTF">2026-01-12T23:45:00Z</dcterms:created>
  <dcterms:modified xsi:type="dcterms:W3CDTF">2026-01-12T23:54:00Z</dcterms:modified>
</cp:coreProperties>
</file>