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20"/>
      </w:pPr>
      <w:r>
        <w:rPr>
          <w:rFonts w:ascii="Microsoft YaHei" w:hAnsi="Microsoft YaHei" w:eastAsia="Microsoft YaHei"/>
          <w:b/>
          <w:color w:val="59636E"/>
          <w:sz w:val="16"/>
        </w:rPr>
        <w:t>优先级：U1</w:t>
      </w:r>
    </w:p>
    <w:p>
      <w:pPr>
        <w:pStyle w:val="Title"/>
        <w:spacing w:after="40"/>
      </w:pPr>
      <w:r>
        <w:rPr>
          <w:rFonts w:ascii="Microsoft YaHei" w:hAnsi="Microsoft YaHei" w:eastAsia="Microsoft YaHei"/>
          <w:b/>
          <w:color w:val="000000"/>
          <w:sz w:val="33"/>
        </w:rPr>
        <w:t>20 Lines Social 模型机制说明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9636E"/>
          <w:sz w:val="18"/>
        </w:rPr>
        <w:t>Beginner 低波动与 Advanced 高波动对比</w:t>
      </w:r>
    </w:p>
    <w:p>
      <w:pPr>
        <w:spacing w:before="0" w:after="60" w:line="250" w:lineRule="auto"/>
      </w:pPr>
      <w:r>
        <w:rPr>
          <w:rFonts w:ascii="Microsoft YaHei" w:hAnsi="Microsoft YaHei" w:eastAsia="Microsoft YaHei"/>
          <w:b w:val="0"/>
          <w:color w:val="1F2933"/>
          <w:sz w:val="18"/>
        </w:rPr>
        <w:t>两档都采用 5×3、20 条固定线、7 个普通符号，并使用同一个蓄水池。Beginner 命中率更高、SD 更低；Advanced 的 Base 更干、顶部赔率更高，主要差异来自轴权重与赔率。</w:t>
      </w:r>
    </w:p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核心规格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523"/>
        <w:gridCol w:w="3523"/>
        <w:gridCol w:w="3523"/>
      </w:tblGrid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Advanced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盘面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5×3，20 条固定线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5×3，20 条固定线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符号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K Q J 10 9 8 7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K Q J 10 9 8 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赔率口径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总下注倍数 / 中奖线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总下注倍数 / 中奖线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设计总 RTP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94.8458%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94.4424%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1M 模拟 RTP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94.3894%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93.3683%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Hit rate / SD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31.7843% / 2.7947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25.1184% / 4.9126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Max Win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封顶 500x；观察 122x</w:t>
            </w:r>
          </w:p>
        </w:tc>
        <w:tc>
          <w:tcPr>
            <w:tcW w:type="dxa" w:w="432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封顶 2000x；观察 410x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20 条固定线图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Line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Reel 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Reel 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Reel 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Reel 4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Reel 5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4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6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7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9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14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16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17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19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</w:tr>
      <w:tr>
        <w:trPr>
          <w:cantSplit/>
          <w:trHeight w:val="245" w:hRule="exact"/>
        </w:trPr>
        <w:tc>
          <w:tcPr>
            <w:tcW w:type="dxa" w:w="10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1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4"/>
              </w:rPr>
              <w:t>2</w:t>
            </w:r>
          </w:p>
        </w:tc>
      </w:tr>
    </w:tbl>
    <w:p>
      <w:pPr>
        <w:spacing w:before="40" w:after="40" w:line="250" w:lineRule="auto"/>
      </w:pPr>
      <w:r>
        <w:rPr>
          <w:rFonts w:ascii="Microsoft YaHei" w:hAnsi="Microsoft YaHei" w:eastAsia="Microsoft YaHei"/>
          <w:b w:val="0"/>
          <w:color w:val="59636E"/>
          <w:sz w:val="15"/>
        </w:rPr>
        <w:t>线图数字 1 / 2 / 3 分别表示顶行 / 中行 / 底行。两档共用本线图。</w:t>
      </w:r>
    </w:p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共享蓄水池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85"/>
        <w:gridCol w:w="5285"/>
      </w:tblGrid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加分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每条 Base game 中奖线：max(1, round(赔率 × 2)) 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触发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累计到 100 分，触发 1 次 Free Spin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Free Spin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 次，普通线奖 ×2；Free Spin 内不再给蓄水池加分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清零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触发后水位直接归零，不保留溢出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边界</w:t>
            </w:r>
          </w:p>
        </w:tc>
        <w:tc>
          <w:tcPr>
            <w:tcW w:type="dxa" w:w="89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只在 Base game 加分；两档共用同一阈值和奖励</w:t>
            </w:r>
          </w:p>
        </w:tc>
      </w:tr>
    </w:tbl>
    <w:p>
      <w:pPr>
        <w:pageBreakBefore/>
        <w:spacing w:after="20"/>
      </w:pPr>
      <w:r>
        <w:rPr>
          <w:rFonts w:ascii="Microsoft YaHei" w:hAnsi="Microsoft YaHei" w:eastAsia="Microsoft YaHei"/>
          <w:b/>
          <w:color w:val="59636E"/>
          <w:sz w:val="16"/>
        </w:rPr>
        <w:t>优先级：U1</w:t>
      </w:r>
    </w:p>
    <w:p>
      <w:pPr>
        <w:pStyle w:val="Title"/>
        <w:spacing w:after="40"/>
      </w:pPr>
      <w:r>
        <w:rPr>
          <w:rFonts w:ascii="Microsoft YaHei" w:hAnsi="Microsoft YaHei" w:eastAsia="Microsoft YaHei"/>
          <w:b/>
          <w:color w:val="000000"/>
          <w:sz w:val="33"/>
        </w:rPr>
        <w:t>20 Lines Social RTP 与两档对比</w:t>
      </w:r>
    </w:p>
    <w:p>
      <w:pPr>
        <w:spacing w:before="0" w:after="60" w:line="250" w:lineRule="auto"/>
      </w:pPr>
      <w:r>
        <w:rPr>
          <w:rFonts w:ascii="Microsoft YaHei" w:hAnsi="Microsoft YaHei" w:eastAsia="Microsoft YaHei"/>
          <w:b w:val="0"/>
          <w:color w:val="1F2933"/>
          <w:sz w:val="18"/>
        </w:rPr>
        <w:t>Beginner 的设计 RTP 为 94.8458%，Advanced 为 94.4424%。两档 RTP 接近，但 Advanced 把 RTP 更集中到少量高赔率命中，因此 hit rate 更低、SD 与 Max Win 更高。</w:t>
      </w:r>
    </w:p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两档赔率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符号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Beginner 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Beginner 4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Beginner 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Advanced 3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Advanced 4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Advanced 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K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5.0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30.0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80.0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Q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3.0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15.0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5.0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40.0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J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3.0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15.0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4.0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40.0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9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20.0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7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0.8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1.5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10.0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2.0</w:t>
            </w:r>
          </w:p>
        </w:tc>
        <w:tc>
          <w:tcPr>
            <w:tcW w:type="dxa" w:w="1296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20.0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RTP 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523"/>
        <w:gridCol w:w="3523"/>
        <w:gridCol w:w="3523"/>
      </w:tblGrid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Advanced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精确 Base RTP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91.5397%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91.6437%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蓄水池贡献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3.3061%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2.7987%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设计总 RTP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94.8458%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94.4424%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1M 模拟总 RTP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94.3894%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93.3683%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蓄水池触发率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1.8591%</w:t>
            </w:r>
          </w:p>
        </w:tc>
        <w:tc>
          <w:tcPr>
            <w:tcW w:type="dxa" w:w="3312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1.4824%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体验与波动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2"/>
        <w:gridCol w:w="2642"/>
        <w:gridCol w:w="2642"/>
        <w:gridCol w:w="2642"/>
      </w:tblGrid>
      <w:tr>
        <w:trPr>
          <w:cantSplit/>
        </w:trPr>
        <w:tc>
          <w:tcPr>
            <w:tcW w:type="dxa" w:w="17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Beginner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Advanced</w:t>
            </w:r>
          </w:p>
        </w:tc>
        <w:tc>
          <w:tcPr>
            <w:tcW w:type="dxa" w:w="46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解读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Hit rate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31.7843%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25.1184%</w:t>
            </w:r>
          </w:p>
        </w:tc>
        <w:tc>
          <w:tcPr>
            <w:tcW w:type="dxa" w:w="46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Beginner 更容易出现中奖反馈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单转 SD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2.7947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4.9126</w:t>
            </w:r>
          </w:p>
        </w:tc>
        <w:tc>
          <w:tcPr>
            <w:tcW w:type="dxa" w:w="46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Advanced 波动约为 Beginner 的 1.76 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Max Win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500x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2000x</w:t>
            </w:r>
          </w:p>
        </w:tc>
        <w:tc>
          <w:tcPr>
            <w:tcW w:type="dxa" w:w="46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Advanced 上限更高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1M 最大观察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122x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410x</w:t>
            </w:r>
          </w:p>
        </w:tc>
        <w:tc>
          <w:tcPr>
            <w:tcW w:type="dxa" w:w="460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Advanced 更依赖稀有高赔率事件</w:t>
            </w:r>
          </w:p>
        </w:tc>
      </w:tr>
    </w:tbl>
    <w:p>
      <w:pPr>
        <w:pStyle w:val="Heading1"/>
        <w:keepNext/>
        <w:spacing w:before="80" w:after="40"/>
      </w:pPr>
      <w:r>
        <w:rPr>
          <w:rFonts w:ascii="Microsoft YaHei" w:hAnsi="Microsoft YaHei" w:eastAsia="Microsoft YaHei"/>
          <w:b/>
          <w:color w:val="000000"/>
          <w:sz w:val="22"/>
        </w:rPr>
        <w:t>模拟误差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523"/>
        <w:gridCol w:w="3523"/>
        <w:gridCol w:w="3523"/>
      </w:tblGrid>
      <w:tr>
        <w:trPr>
          <w:cantSplit/>
        </w:trPr>
        <w:tc>
          <w:tcPr>
            <w:tcW w:type="dxa" w:w="28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Beginner</w:t>
            </w:r>
          </w:p>
        </w:tc>
        <w:tc>
          <w:tcPr>
            <w:tcW w:type="dxa" w:w="446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3B454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Advanced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设计 - 1M</w:t>
            </w:r>
          </w:p>
        </w:tc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+0.4564pp</w:t>
            </w:r>
          </w:p>
        </w:tc>
        <w:tc>
          <w:tcPr>
            <w:tcW w:type="dxa" w:w="446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+1.0741pp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单转 SE ≈ SD ÷ √1M</w:t>
            </w:r>
          </w:p>
        </w:tc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0.2795pp</w:t>
            </w:r>
          </w:p>
        </w:tc>
        <w:tc>
          <w:tcPr>
            <w:tcW w:type="dxa" w:w="446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0.4913pp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观察差约合 SE</w:t>
            </w:r>
          </w:p>
        </w:tc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1.63 SE</w:t>
            </w:r>
          </w:p>
        </w:tc>
        <w:tc>
          <w:tcPr>
            <w:tcW w:type="dxa" w:w="446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2.19 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解读</w:t>
            </w:r>
          </w:p>
        </w:tc>
        <w:tc>
          <w:tcPr>
            <w:tcW w:type="dxa" w:w="3168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在普通抽样波动内</w:t>
            </w:r>
          </w:p>
        </w:tc>
        <w:tc>
          <w:tcPr>
            <w:tcW w:type="dxa" w:w="4464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fill="F3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5"/>
              </w:rPr>
              <w:t>高波动档的尾部事件更稀疏，1M 偏低约 2.2 SE；本作品直接引用交接结果，不重跑模拟</w:t>
            </w:r>
          </w:p>
        </w:tc>
      </w:tr>
    </w:tbl>
    <w:p>
      <w:pPr>
        <w:spacing w:before="80" w:after="0" w:line="250" w:lineRule="auto"/>
      </w:pPr>
      <w:r>
        <w:rPr>
          <w:rFonts w:ascii="Microsoft YaHei" w:hAnsi="Microsoft YaHei" w:eastAsia="Microsoft YaHei"/>
          <w:b w:val="0"/>
          <w:color w:val="1F2933"/>
          <w:sz w:val="16"/>
        </w:rPr>
        <w:t>面试讲法：两档使用同一 5×3、20 线和蓄水池，所以差异来自轴权重与赔率。Beginner 用更密的低中符号提高命中率并把 SD 控制在 2.79；Advanced 把更多价值放到 K、Q、J 的 4/5 连，设计 RTP 仍约 94.4%，但命中率降到 25.12%，SD 升到 4.91，Max Win 上限从 500x 提到 2000x。蓄水池按每条中奖线的赔率乘 2 后取整加分，100 分触发 1 次 x2 Free Spin，触发后清零且只在 Base game 加分。</w:t>
      </w:r>
    </w:p>
    <w:sectPr w:rsidR="00FC693F" w:rsidRPr="0006063C" w:rsidSect="00034616">
      <w:pgSz w:w="12240" w:h="15840"/>
      <w:pgMar w:top="720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 w:eastAsia="Microsoft YaHei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