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2026年第三季度交付质量报告</w:t>
      </w:r>
    </w:p>
    <w:p>
      <w:r>
        <w:t>编写：张三；复核：李四；归档路径 D:\company\reports\2026q3。</w:t>
      </w:r>
    </w:p>
    <w:p>
      <w:pPr>
        <w:pStyle w:val="Heading2"/>
      </w:pPr>
      <w:r>
        <w:t>一、项目概况</w:t>
      </w:r>
    </w:p>
    <w:p>
      <w:r>
        <w:t>本季度团队共完成三个批次的交付，累计处理工单 12,450 件，较去年同期上升 18%,客户满意度 4.6 分。首批次于 2026-07-15 通过验收，第二批次于 2026.8.20 完成上线，第三批次计划 9月30日 收尾。三条业务线中，已有 5条 完成工具化改造。</w:t>
      </w:r>
    </w:p>
    <w:p>
      <w:r>
        <w:t>截至 2026-09-30，系统连续 90 天 无重大故障。磁盘容量 800GB，备份空间 500 GB，内存占用率维持在 62 %左右，整体健康。</w:t>
      </w:r>
    </w:p>
    <w:p>
      <w:pPr>
        <w:pStyle w:val="Heading2"/>
      </w:pPr>
      <w:r>
        <w:t>二、质量数据分析</w:t>
      </w:r>
    </w:p>
    <w:p>
      <w:pPr>
        <w:pStyle w:val="Heading4"/>
      </w:pPr>
      <w:r>
        <w:t>2.1 缺陷分布</w:t>
      </w:r>
    </w:p>
    <w:p>
      <w:r>
        <w:rPr>
          <w:rFonts w:ascii="楷体" w:hAnsi="楷体" w:eastAsia="楷体"/>
        </w:rPr>
        <w:t>本季度共记录缺陷 320 个，其中严重缺陷 3 个，一般缺陷 45 个，轻微缺陷 272 个，严重缺陷均在 24 小时内闭环。值得注意的是，缺陷集中在接口模块，占六成。</w:t>
      </w:r>
    </w:p>
    <w:p>
      <w:r>
        <w:rPr>
          <w:rFonts w:ascii="楷体" w:hAnsi="楷体" w:eastAsia="楷体"/>
        </w:rPr>
        <w:t>修复团队由四名工程师与 2名 值班人员组成，平均修复耗时 1.5 天。</w:t>
      </w:r>
    </w:p>
    <w:p>
      <w:pPr>
        <w:pStyle w:val="Heading4"/>
      </w:pPr>
      <w:r>
        <w:t>2.2 近三月说明</w:t>
      </w:r>
    </w:p>
    <w:p>
      <w:r>
        <w:t>数据口径为当月新增，详见 https://reports.company.local/q3/dashboard,如有疑问请联系王经理?</w:t>
      </w:r>
    </w:p>
    <w:p>
      <w:pPr>
        <w:pStyle w:val="Heading2"/>
      </w:pPr>
      <w:r>
        <w:t>三、过程改进</w:t>
      </w:r>
    </w:p>
    <w:p>
      <w:r>
        <w:t>首先，我们建立了交付前检查清单，覆盖排版与敏感信息。</w:t>
      </w:r>
    </w:p>
    <w:p>
      <w:r>
        <w:t>其次，引入了自动化回归，发布 3 次 均无回退。</w:t>
      </w:r>
    </w:p>
    <w:p>
      <w:r>
        <w:t>最后，规范了值班交接，详细值班表见内网门户 http://intranet.company.local/duty。</w:t>
      </w:r>
    </w:p>
    <w:p>
      <w:r>
        <w:t>改进效果方面，需求更清晰，分工更明确，交付更顺畅。响应更快，延迟更低，体验更好。变更窗口固定在 22:00。</w:t>
      </w:r>
    </w:p>
    <w:p>
      <w:r>
        <w:rPr>
          <w:b/>
        </w:rPr>
        <w:t>进度：</w:t>
      </w:r>
      <w:r>
        <w:t>正常</w:t>
      </w:r>
    </w:p>
    <w:p>
      <w:r>
        <w:rPr>
          <w:b/>
        </w:rPr>
        <w:t>风险：</w:t>
      </w:r>
      <w:r>
        <w:t>中</w:t>
      </w:r>
    </w:p>
    <w:p>
      <w:r>
        <w:rPr>
          <w:b/>
        </w:rPr>
        <w:t>结论：</w:t>
      </w:r>
      <w:r>
        <w:t>按期交付</w:t>
      </w:r>
    </w:p>
    <w:p>
      <w:pPr>
        <w:pStyle w:val="Heading2"/>
      </w:pPr>
      <w:r>
        <w:t>四、遗留问题</w:t>
      </w:r>
    </w:p>
    <w:p>
      <w:pPr>
        <w:pStyle w:val="Heading4"/>
      </w:pPr>
      <w:r>
        <w:t>4.1 遗留明细</w:t>
      </w:r>
    </w:p>
    <w:p>
      <w:r>
        <w:t>目前仍有 97200 行 遗留代码未迁移，历史构建产物 57600 个 未清理，GPT模型 需要人工复核生成的段落。值得注意的是，API 网关配额仅剩 40 %。</w:t>
      </w:r>
    </w:p>
    <w:p>
      <w:r>
        <w:t>综上所述，技术债清理要进入下季度计划。内网代号 凤凰计划 的迁移已排期。让我们在下季度——而不是更晚——把 QA检查 前移到构建阶段。</w:t>
      </w:r>
    </w:p>
    <w:p>
      <w:r>
        <w:rPr>
          <w:b/>
        </w:rPr>
        <w:t>待办一：</w:t>
      </w:r>
      <w:r>
        <w:t>补充灰度方案</w:t>
      </w:r>
    </w:p>
    <w:p>
      <w:r>
        <w:rPr>
          <w:b/>
        </w:rPr>
        <w:t>待办二：</w:t>
      </w:r>
      <w:r>
        <w:t>补齐监控告警</w:t>
      </w:r>
    </w:p>
    <w:p>
      <w:r>
        <w:rPr>
          <w:b/>
        </w:rPr>
        <w:t>待办三：</w:t>
      </w:r>
      <w:r>
        <w:t>更新应急预案</w:t>
      </w:r>
    </w:p>
    <w:p>
      <w:pPr>
        <w:pStyle w:val="Heading2"/>
      </w:pPr>
      <w:r>
        <w:t>五、附录：配置片段</w:t>
      </w:r>
    </w:p>
    <w:p>
      <w:r>
        <w:t>接口鉴权(示例，已失效)：</w:t>
      </w:r>
    </w:p>
    <w:p>
      <w:r>
        <w:t>AWS 访问密钥：AKIA2QKX9LMW7TGZ4PJ2</w:t>
      </w:r>
    </w:p>
    <w:p>
      <w:r>
        <w:t>模型服务密钥：sk-live-9f2K7xQmZ4bN8vLs3RtU</w:t>
      </w:r>
    </w:p>
    <w:p>
      <w:r>
        <w:t>代码仓库令牌：ghp_9Xk2mPq4rS7tV1wYz5L8nB6cD0eF3aH</w:t>
      </w:r>
    </w:p>
    <w:p>
      <w:r>
        <w:t>鉴权头示例：Bearer eyJhbGciOiJIUzI1NiIsInR5cCI6IkpXVCJ9</w:t>
      </w:r>
    </w:p>
    <w:p>
      <w:r>
        <w:t>私钥开头：-----BEGIN RSA PRIVATE KEY-----</w:t>
      </w:r>
    </w:p>
    <w:p>
      <w:r>
        <w:t>联系人：王经理，手机 13812345678；备用联系人王经理助理，电话 13998877666，证件号 110101199003077758。</w:t>
      </w:r>
    </w:p>
    <w:p>
      <w:r>
        <w:t>总而言之，本季度交付质量整体可控——响应及时——风险收敛——团队稳定，相信在大家的共同努力下，交付质量必将迈上新台阶。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