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E057C">
      <w:pPr>
        <w:jc w:val="center"/>
        <w:rPr>
          <w:rFonts w:hint="default" w:ascii="Times New Roman" w:hAnsi="Times New Roman" w:eastAsia="黑体" w:cs="Times New Roman"/>
          <w:b/>
          <w:bCs/>
          <w:sz w:val="32"/>
          <w:szCs w:val="40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40"/>
          <w:lang w:val="en-US" w:eastAsia="zh-CN"/>
        </w:rPr>
        <w:t>浙江大学脑育实验室</w:t>
      </w:r>
      <w:r>
        <w:rPr>
          <w:rFonts w:hint="eastAsia" w:eastAsia="黑体" w:cs="Times New Roman"/>
          <w:b/>
          <w:bCs/>
          <w:sz w:val="32"/>
          <w:szCs w:val="40"/>
          <w:lang w:val="en-US" w:eastAsia="zh-CN"/>
        </w:rPr>
        <w:t>脑智素养课程及科普展览实施方案</w:t>
      </w:r>
    </w:p>
    <w:p w14:paraId="4163CF72">
      <w:pPr>
        <w:rPr>
          <w:rFonts w:hint="default" w:ascii="Times New Roman" w:hAnsi="Times New Roman" w:cs="Times New Roman"/>
          <w:lang w:val="en-US" w:eastAsia="zh-CN"/>
        </w:rPr>
      </w:pPr>
    </w:p>
    <w:p w14:paraId="317CCA26">
      <w:pPr>
        <w:numPr>
          <w:ilvl w:val="0"/>
          <w:numId w:val="1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活动背景</w:t>
      </w:r>
    </w:p>
    <w:p w14:paraId="6F403620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当前，中小学生在学习过程中普遍存在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高投入、低回报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、元认知能力薄弱等问题，传统的知识灌输模式难以适应核心素养培育的要求。研究表明，脑智素养不仅有助于个体理解认知、情绪及学习过程，还与学习策略和学业兴趣密切相关，且中小学生的脑智素养是可以通过课程与活动提升的。</w:t>
      </w:r>
    </w:p>
    <w:p w14:paraId="283E8CEA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本项目直面上述痛点，基于项目式学习（PBL）理论与认知神经科学前沿，开发了</w:t>
      </w:r>
      <w:r>
        <w:rPr>
          <w:rFonts w:hint="eastAsia" w:cs="Times New Roman"/>
          <w:sz w:val="24"/>
          <w:szCs w:val="24"/>
          <w:lang w:val="en-US" w:eastAsia="zh-CN"/>
        </w:rPr>
        <w:t>记忆主题的脑育课程与配套线上学习平台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，旨在通过科学探究与协作学习，帮助中小学生理解大脑运作机制，提升元认知水平，激发学习动机，并培养科学探究能力。</w:t>
      </w:r>
    </w:p>
    <w:p w14:paraId="1D6F74A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B19D694">
      <w:pPr>
        <w:numPr>
          <w:ilvl w:val="0"/>
          <w:numId w:val="1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基本信息</w:t>
      </w:r>
    </w:p>
    <w:p w14:paraId="4FF7D639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活动名称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eastAsia" w:cs="Times New Roman"/>
          <w:sz w:val="24"/>
          <w:szCs w:val="24"/>
          <w:lang w:val="en-US" w:eastAsia="zh-CN"/>
        </w:rPr>
        <w:t>“记忆侦探社”脑智素养课程&amp;</w:t>
      </w:r>
    </w:p>
    <w:p w14:paraId="0791B40B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活动时间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：</w:t>
      </w:r>
    </w:p>
    <w:p w14:paraId="48491B5A">
      <w:pPr>
        <w:spacing w:line="360" w:lineRule="auto"/>
        <w:ind w:firstLine="480" w:firstLineChars="200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①课程持续4-5周，每周一次，一次90-120分钟左右（也可每周两次，一次45-60分钟）</w:t>
      </w:r>
    </w:p>
    <w:p w14:paraId="2E789AD3">
      <w:pPr>
        <w:spacing w:line="360" w:lineRule="auto"/>
        <w:ind w:firstLine="480" w:firstLineChars="200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②科普展览持续1-2周，</w:t>
      </w:r>
    </w:p>
    <w:p w14:paraId="7466A433">
      <w:pPr>
        <w:spacing w:line="360" w:lineRule="auto"/>
        <w:ind w:firstLine="480" w:firstLineChars="200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活动地点：</w:t>
      </w:r>
    </w:p>
    <w:p w14:paraId="46B37CE8">
      <w:pPr>
        <w:spacing w:line="360" w:lineRule="auto"/>
        <w:ind w:firstLine="480" w:firstLineChars="200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①课程：校内机房（需要有电脑或者平板支持）</w:t>
      </w:r>
    </w:p>
    <w:p w14:paraId="4A767F1F">
      <w:pPr>
        <w:spacing w:line="360" w:lineRule="auto"/>
        <w:ind w:firstLine="480" w:firstLineChars="200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②科普展览：</w:t>
      </w:r>
    </w:p>
    <w:p w14:paraId="265A929F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指导教师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耿凤基</w:t>
      </w:r>
    </w:p>
    <w:p w14:paraId="70F2F8C0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课程负责人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：程徐航</w:t>
      </w:r>
    </w:p>
    <w:p w14:paraId="514D2E0D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展览负责人：朱双琳</w:t>
      </w:r>
    </w:p>
    <w:p w14:paraId="072E632F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E515A81">
      <w:pPr>
        <w:numPr>
          <w:ilvl w:val="0"/>
          <w:numId w:val="1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活动</w:t>
      </w:r>
      <w:r>
        <w:rPr>
          <w:rFonts w:hint="eastAsia" w:cs="Times New Roman"/>
          <w:sz w:val="24"/>
          <w:szCs w:val="24"/>
          <w:lang w:val="en-US" w:eastAsia="zh-CN"/>
        </w:rPr>
        <w:t>安排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70"/>
        <w:gridCol w:w="3932"/>
        <w:gridCol w:w="2551"/>
      </w:tblGrid>
      <w:tr w14:paraId="6F37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3B103D4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时间</w:t>
            </w:r>
          </w:p>
        </w:tc>
        <w:tc>
          <w:tcPr>
            <w:tcW w:w="3932" w:type="dxa"/>
            <w:vAlign w:val="center"/>
          </w:tcPr>
          <w:p w14:paraId="210504E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课程安排</w:t>
            </w:r>
          </w:p>
        </w:tc>
        <w:tc>
          <w:tcPr>
            <w:tcW w:w="2551" w:type="dxa"/>
            <w:vAlign w:val="center"/>
          </w:tcPr>
          <w:p w14:paraId="70BC6DC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展览安排</w:t>
            </w:r>
          </w:p>
        </w:tc>
      </w:tr>
      <w:tr w14:paraId="265EB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0DD969B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第一周</w:t>
            </w:r>
          </w:p>
        </w:tc>
        <w:tc>
          <w:tcPr>
            <w:tcW w:w="3932" w:type="dxa"/>
            <w:vAlign w:val="center"/>
          </w:tcPr>
          <w:p w14:paraId="6EDE305A">
            <w:pPr>
              <w:spacing w:line="360" w:lineRule="auto"/>
              <w:jc w:val="center"/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课堂破冰、背景介绍、</w:t>
            </w:r>
          </w:p>
          <w:p w14:paraId="351BD7B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活动一“记忆容量调查”</w:t>
            </w:r>
          </w:p>
        </w:tc>
        <w:tc>
          <w:tcPr>
            <w:tcW w:w="2551" w:type="dxa"/>
            <w:vAlign w:val="center"/>
          </w:tcPr>
          <w:p w14:paraId="28FF732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42C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2E81344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第二周</w:t>
            </w:r>
          </w:p>
        </w:tc>
        <w:tc>
          <w:tcPr>
            <w:tcW w:w="3932" w:type="dxa"/>
            <w:vAlign w:val="center"/>
          </w:tcPr>
          <w:p w14:paraId="4AD69E7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活动二“工作记忆追踪”</w:t>
            </w:r>
          </w:p>
        </w:tc>
        <w:tc>
          <w:tcPr>
            <w:tcW w:w="2551" w:type="dxa"/>
            <w:vAlign w:val="center"/>
          </w:tcPr>
          <w:p w14:paraId="5B2F9BC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AC79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54D7586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第三周</w:t>
            </w:r>
          </w:p>
        </w:tc>
        <w:tc>
          <w:tcPr>
            <w:tcW w:w="3932" w:type="dxa"/>
            <w:vAlign w:val="center"/>
          </w:tcPr>
          <w:p w14:paraId="7BDA031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活动三“遗忘元凶调查”</w:t>
            </w:r>
          </w:p>
        </w:tc>
        <w:tc>
          <w:tcPr>
            <w:tcW w:w="2551" w:type="dxa"/>
            <w:vAlign w:val="center"/>
          </w:tcPr>
          <w:p w14:paraId="1DF1462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06B9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28E54D4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第四周</w:t>
            </w:r>
          </w:p>
        </w:tc>
        <w:tc>
          <w:tcPr>
            <w:tcW w:w="3932" w:type="dxa"/>
            <w:vAlign w:val="center"/>
          </w:tcPr>
          <w:p w14:paraId="183B761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活动四“记忆策略破解”</w:t>
            </w:r>
          </w:p>
        </w:tc>
        <w:tc>
          <w:tcPr>
            <w:tcW w:w="2551" w:type="dxa"/>
            <w:vAlign w:val="center"/>
          </w:tcPr>
          <w:p w14:paraId="716820A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2AF8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639C19D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第五周</w:t>
            </w:r>
          </w:p>
        </w:tc>
        <w:tc>
          <w:tcPr>
            <w:tcW w:w="3932" w:type="dxa"/>
            <w:vAlign w:val="center"/>
          </w:tcPr>
          <w:p w14:paraId="1FB4D7A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活动五“成果展示”</w:t>
            </w:r>
          </w:p>
        </w:tc>
        <w:tc>
          <w:tcPr>
            <w:tcW w:w="2551" w:type="dxa"/>
            <w:vAlign w:val="center"/>
          </w:tcPr>
          <w:p w14:paraId="7186594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1A3AB2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9C0A44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4A21CB7">
      <w:pPr>
        <w:numPr>
          <w:ilvl w:val="0"/>
          <w:numId w:val="1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活动内容</w:t>
      </w:r>
    </w:p>
    <w:p w14:paraId="11429235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（一）科学探究活动</w:t>
      </w:r>
    </w:p>
    <w:p w14:paraId="144D1AA2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各小组以合作探究的方式完成与当日主题相关的行为/认知任务测评，并通过线上平台实时监控学习进度，理解任务背后的脑科学原理。</w:t>
      </w:r>
    </w:p>
    <w:p>
      <w:pPr>
        <w:spacing w:after="120" w:line="324" w:lineRule="auto"/>
      </w:pPr>
      <w:r>
        <w:rPr>
          <w:b/>
        </w:rPr>
        <w:t>课程导入与学习准备</w:t>
      </w:r>
    </w:p>
    <w:p>
      <w:pPr>
        <w:spacing w:after="120" w:line="324" w:lineRule="auto"/>
      </w:pPr>
      <w:r>
        <w:t>第一周先通过课堂破冰和生活中的记忆现象引出“记忆侦探社”主题，说明课程要研究的四个问题及小组合作方式。学生在网页完成课程开始前的记忆知识前测和元认知情况问卷，作为了解已有认识和后续比较的依据；教师说明测评用于学习活动分析，不作为学业成绩。</w:t>
      </w:r>
    </w:p>
    <w:p>
      <w:pPr>
        <w:spacing w:after="120" w:line="324" w:lineRule="auto"/>
      </w:pPr>
      <w:r>
        <w:rPr>
          <w:b/>
        </w:rPr>
        <w:t>活动一 记忆容量调查</w:t>
      </w:r>
    </w:p>
    <w:p>
      <w:pPr>
        <w:spacing w:after="120" w:line="324" w:lineRule="auto"/>
      </w:pPr>
      <w:r>
        <w:t>学生围绕“短时记忆一次能记住多少信息”提出问题并预测结果。小组学习顺背、倒背的测量方法，选择数字、字母等材料，确定呈现速度和测量次数，再分工完成网页记忆任务：材料从较短序列开始，学生在材料消失后按要求复述，系统逐步增加长度并记录作答。学生整理每位参与者的有效记忆长度与小组平均值，结合结果图和可用的头环观察记录，讨论个人差异及与阅读材料中“7±2个信息单位”这一理论的关系，最后反思测量方法可能带来的误差。</w:t>
      </w:r>
    </w:p>
    <w:p>
      <w:pPr>
        <w:spacing w:after="120" w:line="324" w:lineRule="auto"/>
      </w:pPr>
      <w:r>
        <w:rPr>
          <w:b/>
        </w:rPr>
        <w:t>活动二 工作记忆追踪</w:t>
      </w:r>
    </w:p>
    <w:p>
      <w:pPr>
        <w:spacing w:after="120" w:line="324" w:lineRule="auto"/>
      </w:pPr>
      <w:r>
        <w:t>学生先了解工作记忆是边暂存信息边加工信息的能力，并体验网页中的 N-back 任务：依次看到数字、图片、字母或汉字，判断当前内容是否与前面第 N 个内容相同。小组可比较不同 N 值或不同关卡数量，但须保持其余条件尽量一致；学生事先提出预测、安排被测试者与记录员，再完成不同条件的测量。网页记录正确率、漏答率和反应时，学生用表格或图表比较任务难度变化时的表现，并结合可用的头环观察讨论前额叶活动，说明数据是否支持原先假设。</w:t>
      </w:r>
    </w:p>
    <w:p>
      <w:pPr>
        <w:spacing w:after="120" w:line="324" w:lineRule="auto"/>
      </w:pPr>
      <w:r>
        <w:rPr>
          <w:b/>
        </w:rPr>
        <w:t>活动三 遗忘元凶调查</w:t>
      </w:r>
    </w:p>
    <w:p>
      <w:pPr>
        <w:spacing w:after="120" w:line="324" w:lineRule="auto"/>
      </w:pPr>
      <w:r>
        <w:t>学生从“为什么学过的内容会忘记”出发，阅读长时记忆干扰材料。各小组从后续学习材料造成的倒摄干扰、材料相似性或情绪状态中选择一个可比较的因素，提出研究问题和假设。随后在网页设置材料难度及记忆、间隔或干扰、回忆测试等环节，在两种条件下分别完成任务；例如比较有无后续干扰时的回忆表现。学生记录各条件的得分或正确率，必要时补充头环观察，对照结果判断所选因素是否影响回忆，并讨论样本量、材料差异等可能影响结论的因素。</w:t>
      </w:r>
    </w:p>
    <w:p>
      <w:pPr>
        <w:spacing w:after="120" w:line="324" w:lineRule="auto"/>
      </w:pPr>
      <w:r>
        <w:rPr>
          <w:b/>
        </w:rPr>
        <w:t>活动四 记忆策略破解</w:t>
      </w:r>
    </w:p>
    <w:p>
      <w:pPr>
        <w:spacing w:after="120" w:line="324" w:lineRule="auto"/>
      </w:pPr>
      <w:r>
        <w:t>学生回顾自己的背诵经验，学习简单复述、主动回忆、情景关联、新旧知识关联、信息可视化和线索提取等方法，并为不同学习材料选择适合的策略。小组从中选取两种策略提出假设，围绕英文单词、古诗或中文词语等材料设计两轮比较：每轮先用简单复述，再用所选策略，在材料类型、难度和数量尽量一致的条件下完成记忆、短暂的“找不同”任务与回忆测试。学生计算并比较各阶段回忆率，结合策略评分和可用的头环观察，讨论哪些方法对本次材料更有效、为何有效以及能怎样用于日常学习。</w:t>
      </w:r>
    </w:p>
    <w:p w14:paraId="6A94749E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（二）小组海报制作</w:t>
      </w:r>
    </w:p>
    <w:p w14:paraId="0420B56B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最后一周时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，各小组将学习成果以海报形式呈现，内容涵盖科学问题、探究过程、数据分析与结论，并进行小组间展示交流。</w:t>
      </w:r>
    </w:p>
    <w:p>
      <w:pPr>
        <w:spacing w:after="120" w:line="324" w:lineRule="auto"/>
      </w:pPr>
      <w:r>
        <w:t>活动五 成果展示：各组先从前四次实验中选定一项，调取相应实验记录，拟定包含研究问题、假设、实验步骤、数据图表、结论与不足的海报方案；再分工绘制正式海报，标明图表所代表的条件和结果。展示时由小组讲解员说明“研究了什么、怎样比较、证据说明什么”，其他小组依据研究问题、实验数据和结论提问并记录回答。学生从科学性、美观性、创意性和交流展示四个方面互评海报，最后总结可迁移到学习中的记忆方法，并完成课程知识后测。</w:t>
      </w:r>
    </w:p>
    <w:p w14:paraId="531752CA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（三）数据采集与反馈</w:t>
      </w:r>
    </w:p>
    <w:p w14:paraId="1FBA9CDD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活动过程中将采集问卷数据（元认知情况、科学探究参与度、认知负荷）及行为任务数据，帮助学生直观了解自身大脑活动规律。</w:t>
      </w:r>
    </w:p>
    <w:p>
      <w:pPr>
        <w:spacing w:after="120" w:line="324" w:lineRule="auto"/>
      </w:pPr>
      <w:r>
        <w:t>网页会保存各实验的作答与过程记录，并在实验后安排知识验证、学习收获、认知负荷和探究参与情况调查。教师可据此查看活动完成情况与班级整体表现，学生可结合个人实验报告回顾自己的假设、证据和反思。头环观察仅作为条件允许时的辅助材料，不以脑活动颜色单独判断学生的记忆能力。</w:t>
      </w:r>
    </w:p>
    <w:p w14:paraId="3B161611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952560D">
      <w:pPr>
        <w:numPr>
          <w:ilvl w:val="0"/>
          <w:numId w:val="1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预期成果</w:t>
      </w:r>
    </w:p>
    <w:p w14:paraId="42CE4602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 学生在记忆相关元认知知识方面显著提升；</w:t>
      </w:r>
    </w:p>
    <w:p w14:paraId="238A32CA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 学生在科学探究活动中的参与积极性显著提高；</w:t>
      </w:r>
    </w:p>
    <w:p w14:paraId="417CC50C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 学生能够识别并运用至少三种记忆策略；</w:t>
      </w:r>
    </w:p>
    <w:p w14:paraId="230D5D81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 各小组完成一份记忆主题科学探究海报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4787585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BFADED9">
      <w:pPr>
        <w:numPr>
          <w:ilvl w:val="0"/>
          <w:numId w:val="1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安全保障</w:t>
      </w:r>
    </w:p>
    <w:p w14:paraId="10F152B1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向每位学生</w:t>
      </w:r>
      <w:r>
        <w:rPr>
          <w:rFonts w:hint="eastAsia" w:cs="Times New Roman"/>
          <w:sz w:val="24"/>
          <w:szCs w:val="24"/>
          <w:lang w:val="en-US" w:eastAsia="zh-CN"/>
        </w:rPr>
        <w:t>及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家长发放《家长知情同意书》，要求签字确认；</w:t>
      </w:r>
    </w:p>
    <w:p w14:paraId="2C878D08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活动项目不涉及危险源，所有设备操作均有教师或助教现场指导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；</w:t>
      </w:r>
    </w:p>
    <w:p w14:paraId="7C8C1887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所采集的实验数据将保存在课题组专用服务器上，仅限课题组内部人员根据研究需求申请使用。所有发表或公开报告中将隐去受试者编号等敏感信息。</w:t>
      </w:r>
    </w:p>
    <w:p w14:paraId="090DEBA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E7D70"/>
    <w:multiLevelType w:val="singleLevel"/>
    <w:tmpl w:val="8F6E7D7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8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2026-10-20T02:55:16Z</dcterms:created>
  <dc:creator>32567</dc:creator>
  <cp:lastModifiedBy>程徐航</cp:lastModifiedBy>
  <dcterms:modified xsi:type="dcterms:W3CDTF">2026-10-20T03:20:10Z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eyJoZGlkIjoiMThhYTczNDMyM2RjNThlNzdjZjgyNTI4NzFmYjJhYTEiLCJ1c2VySWQiOiIxNzE4MTgzNjg1In0=</vt:lpwstr>
  </property>
  <property fmtid="{D5CDD505-2E9C-101B-9397-08002B2CF9AE}" pid="4" name="ICV">
    <vt:lpwstr>42160DA8FFE14BB2A1EA0B982154AD4F_12</vt:lpwstr>
  </property>
</Properties>
</file>