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3ADD8">
      <w:pPr>
        <w:spacing w:before="312" w:beforeLines="100" w:after="312" w:afterLines="100" w:line="400" w:lineRule="exact"/>
        <w:jc w:val="center"/>
        <w:rPr>
          <w:rFonts w:hint="eastAsia" w:eastAsia="黑体"/>
          <w:b/>
          <w:bCs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软件设计</w:t>
      </w:r>
    </w:p>
    <w:p w14:paraId="043CB55D">
      <w:pPr>
        <w:spacing w:line="36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课程编号：</w:t>
      </w:r>
      <w:r>
        <w:rPr>
          <w:rFonts w:ascii="黑体" w:hAnsi="宋体" w:eastAsia="黑体"/>
          <w:sz w:val="24"/>
        </w:rPr>
        <w:t>B0465011C</w:t>
      </w:r>
    </w:p>
    <w:p w14:paraId="186D0617">
      <w:pPr>
        <w:spacing w:line="360" w:lineRule="exact"/>
        <w:rPr>
          <w:rFonts w:hint="eastAsia"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课内周数：</w:t>
      </w:r>
      <w:r>
        <w:rPr>
          <w:rFonts w:hint="eastAsia" w:ascii="黑体" w:hAnsi="宋体" w:eastAsia="黑体"/>
          <w:sz w:val="24"/>
          <w:lang w:val="en-US" w:eastAsia="zh-CN"/>
        </w:rPr>
        <w:t>一</w:t>
      </w:r>
      <w:r>
        <w:rPr>
          <w:rFonts w:hint="eastAsia" w:ascii="黑体" w:hAnsi="宋体" w:eastAsia="黑体"/>
          <w:sz w:val="24"/>
        </w:rPr>
        <w:t>周</w:t>
      </w:r>
    </w:p>
    <w:p w14:paraId="239B10EA">
      <w:pPr>
        <w:spacing w:line="360" w:lineRule="exact"/>
        <w:rPr>
          <w:rFonts w:hint="default" w:ascii="黑体" w:hAnsi="宋体" w:eastAsia="黑体"/>
          <w:sz w:val="24"/>
          <w:lang w:val="en-US" w:eastAsia="zh-CN"/>
        </w:rPr>
      </w:pPr>
      <w:r>
        <w:rPr>
          <w:rFonts w:hint="eastAsia" w:ascii="黑体" w:hAnsi="宋体" w:eastAsia="黑体"/>
          <w:sz w:val="24"/>
        </w:rPr>
        <w:t>适用专业：集成电路</w:t>
      </w:r>
      <w:r>
        <w:rPr>
          <w:rFonts w:hint="eastAsia" w:ascii="黑体" w:hAnsi="宋体" w:eastAsia="黑体"/>
          <w:sz w:val="24"/>
          <w:lang w:val="en-US" w:eastAsia="zh-CN"/>
        </w:rPr>
        <w:t>设计与集成系统</w:t>
      </w:r>
      <w:r>
        <w:rPr>
          <w:rFonts w:hint="eastAsia" w:ascii="黑体" w:hAnsi="宋体" w:eastAsia="黑体"/>
          <w:sz w:val="24"/>
        </w:rPr>
        <w:t>、微电子</w:t>
      </w:r>
      <w:r>
        <w:rPr>
          <w:rFonts w:hint="eastAsia" w:ascii="黑体" w:hAnsi="宋体" w:eastAsia="黑体"/>
          <w:sz w:val="24"/>
          <w:lang w:val="en-US" w:eastAsia="zh-CN"/>
        </w:rPr>
        <w:t>科学与工程</w:t>
      </w:r>
    </w:p>
    <w:p w14:paraId="25BBF90A">
      <w:pPr>
        <w:spacing w:line="360" w:lineRule="exact"/>
        <w:rPr>
          <w:rFonts w:hint="eastAsia" w:ascii="黑体" w:hAnsi="宋体" w:eastAsia="黑体"/>
          <w:sz w:val="24"/>
        </w:rPr>
      </w:pPr>
    </w:p>
    <w:p w14:paraId="4648AC5F">
      <w:pPr>
        <w:spacing w:line="400" w:lineRule="exact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t>一、所涉及的课程及知识点</w:t>
      </w:r>
    </w:p>
    <w:p w14:paraId="2BD2527A">
      <w:pPr>
        <w:spacing w:line="400" w:lineRule="exact"/>
        <w:ind w:firstLine="482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涉及的课程：</w:t>
      </w:r>
      <w:r>
        <w:rPr>
          <w:rFonts w:hint="eastAsia" w:ascii="宋体" w:hAnsi="宋体"/>
          <w:sz w:val="24"/>
        </w:rPr>
        <w:t>第6学期之前的专业基础课程。</w:t>
      </w:r>
    </w:p>
    <w:p w14:paraId="7C94C0A5">
      <w:pPr>
        <w:spacing w:line="400" w:lineRule="exact"/>
        <w:ind w:firstLine="482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知识点：</w:t>
      </w:r>
      <w:r>
        <w:rPr>
          <w:rFonts w:hint="eastAsia" w:ascii="宋体" w:hAnsi="宋体"/>
          <w:sz w:val="24"/>
        </w:rPr>
        <w:t>专业基础课程中所学的知识点。</w:t>
      </w:r>
    </w:p>
    <w:p w14:paraId="5228B5AA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421DD049">
      <w:pPr>
        <w:spacing w:line="400" w:lineRule="exact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t>二、目的与仿真工具</w:t>
      </w:r>
    </w:p>
    <w:p w14:paraId="07327EDA">
      <w:pPr>
        <w:spacing w:line="360" w:lineRule="exact"/>
        <w:ind w:firstLine="482" w:firstLineChars="20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目的：</w:t>
      </w:r>
      <w:r>
        <w:rPr>
          <w:rFonts w:hint="eastAsia" w:ascii="宋体" w:hAnsi="宋体"/>
          <w:sz w:val="24"/>
        </w:rPr>
        <w:t xml:space="preserve">通过软件设计，培养学生的实践能力和创新精神，加强学生对专业基础课程的理解和掌握，加强学生高级语言编程能力、应用软件以及仿真能力。      </w:t>
      </w:r>
    </w:p>
    <w:p w14:paraId="4632A3DD">
      <w:pPr>
        <w:spacing w:line="360" w:lineRule="exact"/>
        <w:ind w:firstLine="482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工具：</w:t>
      </w:r>
      <w:r>
        <w:rPr>
          <w:rFonts w:hint="eastAsia" w:ascii="宋体" w:hAnsi="宋体"/>
          <w:sz w:val="24"/>
        </w:rPr>
        <w:t>Matlab等软件。</w:t>
      </w:r>
    </w:p>
    <w:p w14:paraId="29477FBC">
      <w:pPr>
        <w:spacing w:line="360" w:lineRule="exact"/>
        <w:ind w:left="409" w:leftChars="195"/>
        <w:rPr>
          <w:rFonts w:hint="eastAsia" w:ascii="宋体" w:hAnsi="宋体"/>
          <w:sz w:val="24"/>
        </w:rPr>
      </w:pPr>
    </w:p>
    <w:p w14:paraId="210BBE9A">
      <w:pPr>
        <w:spacing w:line="400" w:lineRule="exact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t>三、要求</w:t>
      </w:r>
    </w:p>
    <w:p w14:paraId="5F1108C6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软件设计总评成绩包括3项：</w:t>
      </w:r>
    </w:p>
    <w:p w14:paraId="0CF71C53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平时（包括点名，占总成绩的20%）</w:t>
      </w:r>
    </w:p>
    <w:p w14:paraId="1F564B28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程序验收占总成绩的30%</w:t>
      </w:r>
    </w:p>
    <w:p w14:paraId="7C99768E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软件报告（占总成绩的50%）（内容+程序+运行结果+分析+……）</w:t>
      </w:r>
    </w:p>
    <w:p w14:paraId="77B2BDE5">
      <w:pPr>
        <w:spacing w:line="400" w:lineRule="exact"/>
        <w:rPr>
          <w:rFonts w:hint="eastAsia" w:ascii="宋体" w:hAnsi="宋体"/>
          <w:sz w:val="24"/>
        </w:rPr>
      </w:pPr>
    </w:p>
    <w:p w14:paraId="78A260D6">
      <w:pPr>
        <w:spacing w:line="400" w:lineRule="exact"/>
        <w:rPr>
          <w:rStyle w:val="8"/>
          <w:rFonts w:hint="eastAsia"/>
        </w:rPr>
      </w:pPr>
      <w:r>
        <w:rPr>
          <w:rStyle w:val="8"/>
        </w:rPr>
        <w:fldChar w:fldCharType="begin"/>
      </w:r>
      <w:r>
        <w:rPr>
          <w:rStyle w:val="8"/>
          <w:rFonts w:hint="eastAsia"/>
        </w:rPr>
        <w:instrText xml:space="preserve">HYPERLINK "mailto:请班长将所有同学的电子档收齐后压缩后一起发到邮箱xj</w:instrText>
      </w:r>
      <w:r>
        <w:rPr>
          <w:rStyle w:val="8"/>
        </w:rPr>
        <w:instrText xml:space="preserve">lian@njupt.edu.cn</w:instrText>
      </w:r>
      <w:r>
        <w:rPr>
          <w:rStyle w:val="8"/>
          <w:rFonts w:hint="eastAsia"/>
        </w:rPr>
        <w:instrText xml:space="preserve">"</w:instrText>
      </w:r>
      <w:r>
        <w:rPr>
          <w:rStyle w:val="8"/>
        </w:rPr>
        <w:fldChar w:fldCharType="separate"/>
      </w:r>
      <w:r>
        <w:rPr>
          <w:rStyle w:val="8"/>
          <w:rFonts w:hint="eastAsia" w:ascii="宋体" w:hAnsi="宋体"/>
          <w:b/>
          <w:bCs/>
          <w:sz w:val="24"/>
        </w:rPr>
        <w:t>请班长将所有同学的</w:t>
      </w:r>
      <w:r>
        <w:rPr>
          <w:rStyle w:val="8"/>
          <w:rFonts w:hint="eastAsia" w:ascii="宋体" w:hAnsi="宋体"/>
          <w:b/>
          <w:bCs/>
          <w:sz w:val="24"/>
          <w:lang w:val="en-US" w:eastAsia="zh-CN"/>
        </w:rPr>
        <w:t>软件报告</w:t>
      </w:r>
      <w:r>
        <w:rPr>
          <w:rStyle w:val="8"/>
          <w:rFonts w:hint="eastAsia" w:ascii="宋体" w:hAnsi="宋体"/>
          <w:b/>
          <w:bCs/>
          <w:sz w:val="24"/>
        </w:rPr>
        <w:t>电子档</w:t>
      </w:r>
      <w:r>
        <w:rPr>
          <w:rStyle w:val="8"/>
          <w:rFonts w:hint="eastAsia" w:ascii="宋体" w:hAnsi="宋体"/>
          <w:b/>
          <w:bCs/>
          <w:sz w:val="24"/>
          <w:lang w:eastAsia="zh-CN"/>
        </w:rPr>
        <w:t>（</w:t>
      </w:r>
      <w:r>
        <w:rPr>
          <w:rStyle w:val="8"/>
          <w:rFonts w:hint="eastAsia" w:ascii="宋体" w:hAnsi="宋体"/>
          <w:b/>
          <w:bCs/>
          <w:sz w:val="24"/>
          <w:lang w:val="en-US" w:eastAsia="zh-CN"/>
        </w:rPr>
        <w:t>一份WORD版，一份PDF版</w:t>
      </w:r>
      <w:r>
        <w:rPr>
          <w:rStyle w:val="8"/>
          <w:rFonts w:hint="eastAsia" w:ascii="宋体" w:hAnsi="宋体"/>
          <w:b/>
          <w:bCs/>
          <w:sz w:val="24"/>
          <w:lang w:eastAsia="zh-CN"/>
        </w:rPr>
        <w:t>）</w:t>
      </w:r>
      <w:r>
        <w:rPr>
          <w:rStyle w:val="8"/>
          <w:rFonts w:hint="eastAsia" w:ascii="宋体" w:hAnsi="宋体"/>
          <w:b/>
          <w:bCs/>
          <w:sz w:val="24"/>
        </w:rPr>
        <w:t>收齐压缩后一起发到</w:t>
      </w:r>
      <w:r>
        <w:rPr>
          <w:rStyle w:val="8"/>
          <w:rFonts w:hint="eastAsia" w:ascii="宋体" w:hAnsi="宋体"/>
          <w:b/>
          <w:bCs/>
          <w:sz w:val="24"/>
          <w:lang w:val="en-US" w:eastAsia="zh-CN"/>
        </w:rPr>
        <w:t>任课老师</w:t>
      </w:r>
      <w:r>
        <w:rPr>
          <w:rStyle w:val="8"/>
          <w:rFonts w:hint="eastAsia" w:ascii="宋体" w:hAnsi="宋体"/>
          <w:b/>
          <w:bCs/>
          <w:sz w:val="24"/>
        </w:rPr>
        <w:t>邮箱</w:t>
      </w:r>
      <w:r>
        <w:rPr>
          <w:rStyle w:val="8"/>
        </w:rPr>
        <w:fldChar w:fldCharType="end"/>
      </w:r>
      <w:r>
        <w:rPr>
          <w:rStyle w:val="8"/>
          <w:rFonts w:hint="eastAsia"/>
        </w:rPr>
        <w:t>。</w:t>
      </w:r>
    </w:p>
    <w:p w14:paraId="070503CD">
      <w:pPr>
        <w:spacing w:line="400" w:lineRule="exact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color w:val="FF0000"/>
          <w:sz w:val="24"/>
        </w:rPr>
        <w:t>软件报告截至日期为20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  <w:lang w:val="en-US" w:eastAsia="zh-CN"/>
        </w:rPr>
        <w:t>6</w:t>
      </w:r>
      <w:r>
        <w:rPr>
          <w:rFonts w:hint="eastAsia" w:ascii="宋体" w:hAnsi="宋体"/>
          <w:color w:val="FF0000"/>
          <w:sz w:val="24"/>
        </w:rPr>
        <w:t>.07.0</w:t>
      </w:r>
      <w:r>
        <w:rPr>
          <w:rFonts w:hint="eastAsia" w:ascii="宋体" w:hAnsi="宋体"/>
          <w:color w:val="FF0000"/>
          <w:sz w:val="24"/>
          <w:lang w:val="en-US" w:eastAsia="zh-CN"/>
        </w:rPr>
        <w:t>2</w:t>
      </w:r>
      <w:r>
        <w:rPr>
          <w:rFonts w:hint="eastAsia" w:ascii="宋体" w:hAnsi="宋体"/>
          <w:sz w:val="24"/>
          <w:lang w:eastAsia="zh-CN"/>
        </w:rPr>
        <w:t>。</w:t>
      </w:r>
    </w:p>
    <w:p w14:paraId="07F31935">
      <w:pPr>
        <w:spacing w:line="400" w:lineRule="exact"/>
        <w:rPr>
          <w:rFonts w:hint="eastAsia" w:ascii="宋体" w:hAnsi="宋体"/>
          <w:sz w:val="24"/>
        </w:rPr>
      </w:pPr>
    </w:p>
    <w:p w14:paraId="4C794598">
      <w:pPr>
        <w:spacing w:line="400" w:lineRule="exact"/>
        <w:rPr>
          <w:rFonts w:hint="default" w:ascii="宋体" w:hAnsi="宋体" w:eastAsia="宋体"/>
          <w:sz w:val="24"/>
          <w:lang w:val="en-US" w:eastAsia="zh-CN"/>
        </w:rPr>
      </w:pPr>
      <w:r>
        <w:rPr>
          <w:rStyle w:val="8"/>
          <w:rFonts w:hint="eastAsia" w:ascii="宋体" w:hAnsi="宋体" w:eastAsia="宋体" w:cs="Times New Roman"/>
          <w:b/>
          <w:bCs/>
          <w:sz w:val="24"/>
          <w:lang w:val="en-US" w:eastAsia="zh-CN"/>
        </w:rPr>
        <w:t>班长收集设计报告时注意：</w:t>
      </w:r>
    </w:p>
    <w:p w14:paraId="3191D6EB">
      <w:pPr>
        <w:spacing w:line="400" w:lineRule="exac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  <w:sz w:val="24"/>
          <w:lang w:val="en-US" w:eastAsia="zh-CN"/>
        </w:rPr>
        <w:t>整个班级的</w:t>
      </w:r>
      <w:r>
        <w:rPr>
          <w:rFonts w:hint="eastAsia" w:ascii="宋体" w:hAnsi="宋体"/>
          <w:sz w:val="24"/>
        </w:rPr>
        <w:t>打包文件</w:t>
      </w:r>
      <w:r>
        <w:rPr>
          <w:rFonts w:hint="eastAsia" w:ascii="宋体" w:hAnsi="宋体"/>
          <w:sz w:val="24"/>
          <w:lang w:val="en-US" w:eastAsia="zh-CN"/>
        </w:rPr>
        <w:t>命名格式例如：</w:t>
      </w:r>
    </w:p>
    <w:p w14:paraId="709C7B03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B050406-软件设计.rar</w:t>
      </w:r>
    </w:p>
    <w:p w14:paraId="08517195">
      <w:pPr>
        <w:spacing w:line="400" w:lineRule="exact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  <w:sz w:val="24"/>
          <w:lang w:val="en-US" w:eastAsia="zh-CN"/>
        </w:rPr>
        <w:t>各人的</w:t>
      </w:r>
      <w:r>
        <w:rPr>
          <w:rFonts w:hint="eastAsia" w:ascii="宋体" w:hAnsi="宋体"/>
          <w:sz w:val="24"/>
        </w:rPr>
        <w:t>软件设计报告命名</w:t>
      </w:r>
      <w:r>
        <w:rPr>
          <w:rFonts w:hint="eastAsia" w:ascii="宋体" w:hAnsi="宋体"/>
          <w:sz w:val="24"/>
          <w:lang w:val="en-US" w:eastAsia="zh-CN"/>
        </w:rPr>
        <w:t>格式例如：</w:t>
      </w:r>
    </w:p>
    <w:p w14:paraId="3EA54F80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B05040645-宋庆伟-软件设计报告.doc</w:t>
      </w:r>
    </w:p>
    <w:p w14:paraId="03C8F48A">
      <w:pPr>
        <w:spacing w:line="400" w:lineRule="exac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B05040645-宋庆伟-软件设计报告.</w:t>
      </w:r>
      <w:r>
        <w:rPr>
          <w:rFonts w:hint="eastAsia" w:ascii="宋体" w:hAnsi="宋体"/>
          <w:sz w:val="24"/>
          <w:lang w:val="en-US" w:eastAsia="zh-CN"/>
        </w:rPr>
        <w:t>pdf</w:t>
      </w:r>
    </w:p>
    <w:p w14:paraId="01B713FC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、注意检查文件版本：Word2007以上时请另存为Word兼容格式，使Word2000以上都能打开。</w:t>
      </w:r>
    </w:p>
    <w:p w14:paraId="0EC1CDC1">
      <w:pPr>
        <w:spacing w:line="360" w:lineRule="auto"/>
        <w:rPr>
          <w:rFonts w:eastAsia="黑体"/>
          <w:b/>
          <w:sz w:val="24"/>
        </w:rPr>
      </w:pPr>
      <w:r>
        <w:rPr>
          <w:rFonts w:eastAsia="黑体"/>
          <w:sz w:val="24"/>
        </w:rPr>
        <w:br w:type="page"/>
      </w:r>
      <w:r>
        <w:rPr>
          <w:rFonts w:hint="eastAsia" w:eastAsia="黑体"/>
          <w:b/>
          <w:sz w:val="24"/>
        </w:rPr>
        <w:t>四、题目</w:t>
      </w:r>
    </w:p>
    <w:p w14:paraId="33A97D99">
      <w:pPr>
        <w:adjustRightInd w:val="0"/>
        <w:snapToGrid w:val="0"/>
        <w:spacing w:line="360" w:lineRule="auto"/>
        <w:rPr>
          <w:rFonts w:hint="eastAsia" w:eastAsia="黑体"/>
          <w:b/>
          <w:sz w:val="24"/>
        </w:rPr>
      </w:pPr>
    </w:p>
    <w:p w14:paraId="4CA72A82">
      <w:pPr>
        <w:adjustRightInd w:val="0"/>
        <w:snapToGrid w:val="0"/>
        <w:spacing w:line="360" w:lineRule="auto"/>
        <w:rPr>
          <w:rFonts w:hAnsi="宋体"/>
          <w:sz w:val="24"/>
        </w:rPr>
      </w:pPr>
      <w:r>
        <w:rPr>
          <w:rFonts w:hint="eastAsia" w:eastAsia="黑体"/>
          <w:b/>
          <w:sz w:val="24"/>
        </w:rPr>
        <w:t>题目1：</w:t>
      </w:r>
      <w:r>
        <w:rPr>
          <w:rFonts w:hint="eastAsia" w:hAnsi="宋体"/>
          <w:sz w:val="24"/>
        </w:rPr>
        <w:t>给出两个矩阵，</w:t>
      </w:r>
    </w:p>
    <w:p w14:paraId="0B62DE4E">
      <w:pPr>
        <w:adjustRightInd w:val="0"/>
        <w:snapToGrid w:val="0"/>
        <w:spacing w:line="360" w:lineRule="auto"/>
        <w:ind w:firstLine="480" w:firstLineChars="200"/>
        <w:rPr>
          <w:rFonts w:hint="eastAsia" w:hAnsi="宋体" w:eastAsia="宋体"/>
          <w:sz w:val="24"/>
          <w:lang w:eastAsia="zh-CN"/>
        </w:rPr>
      </w:pPr>
      <m:oMath>
        <m:r>
          <m:rPr/>
          <w:rPr>
            <w:rFonts w:hint="default" w:ascii="Cambria Math" w:hAnsi="Cambria Math"/>
            <w:sz w:val="24"/>
            <w:lang w:val="en-US" w:eastAsia="zh-CN"/>
          </w:rPr>
          <m:t>A</m:t>
        </m:r>
        <m:r>
          <m:rPr/>
          <w:rPr>
            <w:rFonts w:ascii="Cambria Math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23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56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43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9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14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37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216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</w:rPr>
            </m:ctrlPr>
          </m:e>
        </m:d>
      </m:oMath>
      <w:r>
        <w:rPr>
          <w:rFonts w:hint="eastAsia" w:hAnsi="Cambria Math"/>
          <w:i w:val="0"/>
          <w:sz w:val="24"/>
          <w:lang w:eastAsia="zh-CN"/>
        </w:rPr>
        <w:t>，</w:t>
      </w:r>
      <m:oMath>
        <m:r>
          <m:rPr/>
          <w:rPr>
            <w:rFonts w:hint="default" w:ascii="Cambria Math" w:hAnsi="Cambria Math"/>
            <w:sz w:val="24"/>
            <w:lang w:val="en-US" w:eastAsia="zh-CN"/>
          </w:rPr>
          <m:t>B</m:t>
        </m:r>
        <m:r>
          <m:rPr/>
          <w:rPr>
            <w:rFonts w:ascii="Cambria Math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7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13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99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61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76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</w:rPr>
            </m:ctrlPr>
          </m:e>
        </m:d>
      </m:oMath>
    </w:p>
    <w:p w14:paraId="52E492A4">
      <w:pPr>
        <w:adjustRightInd w:val="0"/>
        <w:snapToGrid w:val="0"/>
        <w:spacing w:line="360" w:lineRule="auto"/>
        <w:rPr>
          <w:rFonts w:hint="eastAsia" w:hAnsi="宋体"/>
          <w:sz w:val="24"/>
        </w:rPr>
      </w:pPr>
    </w:p>
    <w:p w14:paraId="66A8FAC0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 w:hAnsi="宋体"/>
          <w:sz w:val="24"/>
        </w:rPr>
        <w:t>执行下面的矩阵运算命令：</w:t>
      </w:r>
    </w:p>
    <w:p w14:paraId="60A66C49">
      <w:pPr>
        <w:adjustRightInd w:val="0"/>
        <w:snapToGrid w:val="0"/>
        <w:spacing w:line="360" w:lineRule="auto"/>
        <w:ind w:firstLine="480" w:firstLineChars="200"/>
        <w:rPr>
          <w:sz w:val="24"/>
        </w:rPr>
      </w:pPr>
      <w:bookmarkStart w:id="0" w:name="_Hlk535595005"/>
      <w:r>
        <w:rPr>
          <w:rFonts w:hint="eastAsia"/>
          <w:sz w:val="24"/>
        </w:rPr>
        <w:t>（1）6</w:t>
      </w:r>
      <w:r>
        <w:rPr>
          <w:sz w:val="24"/>
        </w:rPr>
        <w:t>*</w:t>
      </w:r>
      <w:r>
        <w:rPr>
          <w:position w:val="-6"/>
          <w:sz w:val="24"/>
        </w:rPr>
        <w:object>
          <v:shape id="_x0000_i1025" o:spt="75" type="#_x0000_t75" style="height:14.1pt;width:46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4"/>
          <w:sz w:val="24"/>
        </w:rPr>
        <w:object>
          <v:shape id="_x0000_i1026" o:spt="75" type="#_x0000_t75" style="height:13.5pt;width:46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4"/>
        </w:rPr>
        <w:t>分别是多少（其中I为单位矩阵）？</w:t>
      </w:r>
    </w:p>
    <w:p w14:paraId="54E53D63">
      <w:pPr>
        <w:numPr>
          <w:ilvl w:val="0"/>
          <w:numId w:val="1"/>
        </w:numPr>
        <w:adjustRightInd w:val="0"/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position w:val="-4"/>
          <w:sz w:val="24"/>
        </w:rPr>
        <w:object>
          <v:shape id="_x0000_i1027" o:spt="75" type="#_x0000_t75" style="height:13.5pt;width:31.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4"/>
          <w:sz w:val="24"/>
        </w:rPr>
        <w:object>
          <v:shape id="_x0000_i1028" o:spt="75" type="#_x0000_t75" style="height:13.5pt;width:28.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4"/>
        </w:rPr>
        <w:t>将分别给出什么结果，它们是否相同？为什么？</w:t>
      </w:r>
    </w:p>
    <w:p w14:paraId="62D141E7">
      <w:pPr>
        <w:numPr>
          <w:ilvl w:val="0"/>
          <w:numId w:val="0"/>
        </w:numPr>
        <w:adjustRightInd w:val="0"/>
        <w:snapToGrid w:val="0"/>
        <w:spacing w:line="360" w:lineRule="auto"/>
        <w:rPr>
          <w:rFonts w:hint="eastAsia"/>
          <w:sz w:val="24"/>
        </w:rPr>
      </w:pPr>
    </w:p>
    <w:p w14:paraId="5368FBE2">
      <w:pPr>
        <w:spacing w:line="360" w:lineRule="auto"/>
        <w:rPr>
          <w:rFonts w:hint="eastAsia" w:eastAsia="黑体"/>
          <w:b/>
          <w:sz w:val="24"/>
        </w:rPr>
      </w:pPr>
    </w:p>
    <w:p w14:paraId="027FF0A6">
      <w:pPr>
        <w:spacing w:line="360" w:lineRule="auto"/>
        <w:rPr>
          <w:rFonts w:hint="eastAsia" w:hAnsi="宋体"/>
          <w:sz w:val="24"/>
        </w:rPr>
      </w:pPr>
      <w:r>
        <w:rPr>
          <w:rFonts w:hint="eastAsia" w:eastAsia="黑体"/>
          <w:b/>
          <w:sz w:val="24"/>
        </w:rPr>
        <w:t>题目2：</w:t>
      </w:r>
      <w:bookmarkEnd w:id="0"/>
      <w:r>
        <w:rPr>
          <w:rFonts w:hint="eastAsia" w:hAnsi="宋体"/>
          <w:sz w:val="24"/>
        </w:rPr>
        <w:t>请绘制出一个圆形，要求用函数实现。</w:t>
      </w:r>
    </w:p>
    <w:p w14:paraId="1C6E93F1">
      <w:pPr>
        <w:spacing w:line="360" w:lineRule="auto"/>
        <w:rPr>
          <w:rFonts w:hint="eastAsia" w:hAnsi="宋体"/>
          <w:sz w:val="24"/>
        </w:rPr>
      </w:pPr>
    </w:p>
    <w:p w14:paraId="0E7D7999">
      <w:pPr>
        <w:spacing w:line="400" w:lineRule="exact"/>
        <w:rPr>
          <w:rFonts w:hint="eastAsia" w:eastAsia="黑体"/>
          <w:b/>
          <w:sz w:val="24"/>
        </w:rPr>
      </w:pPr>
    </w:p>
    <w:p w14:paraId="68029F2F">
      <w:pPr>
        <w:spacing w:line="400" w:lineRule="exact"/>
        <w:rPr>
          <w:rFonts w:hint="eastAsia" w:hAnsi="宋体"/>
          <w:sz w:val="24"/>
        </w:rPr>
      </w:pPr>
      <w:r>
        <w:rPr>
          <w:rFonts w:hint="eastAsia" w:eastAsia="黑体"/>
          <w:b/>
          <w:sz w:val="24"/>
        </w:rPr>
        <w:t>题目</w:t>
      </w: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hint="eastAsia" w:eastAsia="黑体"/>
          <w:b/>
          <w:sz w:val="24"/>
        </w:rPr>
        <w:t>：</w:t>
      </w:r>
      <w:r>
        <w:rPr>
          <w:rFonts w:hint="eastAsia" w:hAnsi="宋体"/>
          <w:sz w:val="24"/>
        </w:rPr>
        <w:t>双极型晶体管基区少子浓度分布</w:t>
      </w:r>
    </w:p>
    <w:p w14:paraId="17273BA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试绘出</w:t>
      </w:r>
      <w:r>
        <w:rPr>
          <w:rFonts w:hint="eastAsia" w:ascii="宋体" w:hAnsi="宋体"/>
          <w:sz w:val="24"/>
        </w:rPr>
        <w:t>缓变基区的杂质分布为</w:t>
      </w:r>
      <w:r>
        <w:rPr>
          <w:rFonts w:hint="eastAsia"/>
          <w:sz w:val="24"/>
        </w:rPr>
        <w:t>：</w:t>
      </w:r>
    </w:p>
    <w:p w14:paraId="0893689A">
      <w:pPr>
        <w:spacing w:line="360" w:lineRule="auto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position w:val="-32"/>
          <w:sz w:val="24"/>
        </w:rPr>
        <w:object>
          <v:shape id="_x0000_i1029" o:spt="75" type="#_x0000_t75" style="height:38pt;width:119pt;" o:ole="t" filled="f" o:preferrelative="t" stroked="f" coordsize="21600,21600">
            <v:path/>
            <v:fill on="f" alignshape="1" focussize="0,0"/>
            <v:stroke on="f"/>
            <v:imagedata r:id="rId14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/>
          <w:sz w:val="24"/>
        </w:rPr>
        <w:t>；</w:t>
      </w:r>
    </w:p>
    <w:p w14:paraId="02F840AB">
      <w:pPr>
        <w:spacing w:line="360" w:lineRule="auto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2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②</w:t>
      </w:r>
      <w:r>
        <w:rPr>
          <w:sz w:val="24"/>
        </w:rPr>
        <w:fldChar w:fldCharType="end"/>
      </w:r>
      <w:r>
        <w:rPr>
          <w:position w:val="-10"/>
          <w:sz w:val="24"/>
        </w:rPr>
        <w:object>
          <v:shape id="_x0000_i1030" o:spt="75" type="#_x0000_t75" style="height:29pt;width:100pt;" o:ole="t" filled="f" o:preferrelative="t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/>
          <w:sz w:val="24"/>
        </w:rPr>
        <w:t>时，</w:t>
      </w:r>
    </w:p>
    <w:p w14:paraId="4D1861B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基区的少子浓度分布图，并能清楚解释各参量对少子浓度分布函数的影响。</w:t>
      </w:r>
    </w:p>
    <w:p w14:paraId="13DE5CD9">
      <w:pPr>
        <w:spacing w:line="360" w:lineRule="auto"/>
        <w:rPr>
          <w:rFonts w:hint="eastAsia" w:ascii="宋体" w:hAnsi="宋体"/>
          <w:sz w:val="24"/>
        </w:rPr>
      </w:pPr>
    </w:p>
    <w:p w14:paraId="718B21B0">
      <w:pPr>
        <w:spacing w:line="360" w:lineRule="auto"/>
        <w:rPr>
          <w:sz w:val="24"/>
        </w:rPr>
      </w:pPr>
      <w:r>
        <w:rPr>
          <w:rFonts w:hint="eastAsia" w:hAnsi="宋体"/>
          <w:b/>
          <w:color w:val="FF0000"/>
          <w:sz w:val="24"/>
        </w:rPr>
        <w:t>程序说明：</w:t>
      </w:r>
      <w:r>
        <w:rPr>
          <w:rFonts w:hint="eastAsia"/>
          <w:bCs/>
          <w:sz w:val="24"/>
        </w:rPr>
        <w:t>当晶体管偏置在有源放大区时，</w:t>
      </w:r>
      <w:r>
        <w:rPr>
          <w:bCs/>
          <w:i/>
          <w:sz w:val="24"/>
        </w:rPr>
        <w:t>V</w:t>
      </w:r>
      <w:r>
        <w:rPr>
          <w:bCs/>
          <w:sz w:val="24"/>
          <w:vertAlign w:val="subscript"/>
        </w:rPr>
        <w:t>C</w:t>
      </w:r>
      <w:r>
        <w:rPr>
          <w:bCs/>
          <w:sz w:val="24"/>
        </w:rPr>
        <w:t>&lt;0</w:t>
      </w:r>
      <w:r>
        <w:rPr>
          <w:rFonts w:hint="eastAsia"/>
          <w:bCs/>
          <w:sz w:val="24"/>
        </w:rPr>
        <w:t>且</w:t>
      </w:r>
      <w:r>
        <w:rPr>
          <w:bCs/>
          <w:sz w:val="24"/>
        </w:rPr>
        <w:t>|</w:t>
      </w:r>
      <w:r>
        <w:rPr>
          <w:bCs/>
          <w:i/>
          <w:sz w:val="24"/>
        </w:rPr>
        <w:t>V</w:t>
      </w:r>
      <w:r>
        <w:rPr>
          <w:bCs/>
          <w:sz w:val="24"/>
          <w:vertAlign w:val="subscript"/>
        </w:rPr>
        <w:t>C</w:t>
      </w:r>
      <w:r>
        <w:rPr>
          <w:bCs/>
          <w:sz w:val="24"/>
        </w:rPr>
        <w:t>|&gt;&gt;</w:t>
      </w:r>
      <w:r>
        <w:rPr>
          <w:bCs/>
          <w:i/>
          <w:sz w:val="24"/>
        </w:rPr>
        <w:t>kT</w:t>
      </w:r>
      <w:r>
        <w:rPr>
          <w:bCs/>
          <w:sz w:val="24"/>
        </w:rPr>
        <w:t>/</w:t>
      </w:r>
      <w:r>
        <w:rPr>
          <w:bCs/>
          <w:i/>
          <w:sz w:val="24"/>
        </w:rPr>
        <w:t>q</w:t>
      </w:r>
      <w:r>
        <w:rPr>
          <w:rFonts w:hint="eastAsia"/>
          <w:bCs/>
          <w:sz w:val="24"/>
        </w:rPr>
        <w:t>，集电结边缘处电子密度为零，即</w:t>
      </w:r>
      <w:r>
        <w:rPr>
          <w:bCs/>
          <w:sz w:val="24"/>
        </w:rPr>
        <w:t xml:space="preserve"> </w:t>
      </w:r>
      <w:r>
        <w:rPr>
          <w:bCs/>
          <w:i/>
          <w:sz w:val="24"/>
        </w:rPr>
        <w:t>x</w:t>
      </w:r>
      <w:r>
        <w:rPr>
          <w:bCs/>
          <w:sz w:val="24"/>
        </w:rPr>
        <w:t>=</w:t>
      </w:r>
      <w:r>
        <w:rPr>
          <w:bCs/>
          <w:i/>
          <w:sz w:val="24"/>
        </w:rPr>
        <w:t>W</w:t>
      </w:r>
      <w:r>
        <w:rPr>
          <w:bCs/>
          <w:sz w:val="24"/>
          <w:vertAlign w:val="subscript"/>
        </w:rPr>
        <w:t>B</w:t>
      </w:r>
      <w:r>
        <w:rPr>
          <w:rFonts w:hint="eastAsia"/>
          <w:bCs/>
          <w:sz w:val="24"/>
        </w:rPr>
        <w:t>，</w:t>
      </w:r>
      <w:r>
        <w:rPr>
          <w:bCs/>
          <w:i/>
          <w:sz w:val="24"/>
        </w:rPr>
        <w:t>n</w:t>
      </w:r>
      <w:r>
        <w:rPr>
          <w:bCs/>
          <w:sz w:val="24"/>
          <w:vertAlign w:val="subscript"/>
        </w:rPr>
        <w:t>B</w:t>
      </w:r>
      <w:r>
        <w:rPr>
          <w:bCs/>
          <w:sz w:val="24"/>
        </w:rPr>
        <w:t>(</w:t>
      </w:r>
      <w:r>
        <w:rPr>
          <w:bCs/>
          <w:i/>
          <w:sz w:val="24"/>
        </w:rPr>
        <w:t>W</w:t>
      </w:r>
      <w:r>
        <w:rPr>
          <w:bCs/>
          <w:sz w:val="24"/>
          <w:vertAlign w:val="subscript"/>
        </w:rPr>
        <w:t>B</w:t>
      </w:r>
      <w:r>
        <w:rPr>
          <w:bCs/>
          <w:sz w:val="24"/>
        </w:rPr>
        <w:t>)=0</w:t>
      </w:r>
      <w:r>
        <w:rPr>
          <w:rFonts w:hint="eastAsia"/>
          <w:bCs/>
          <w:sz w:val="24"/>
        </w:rPr>
        <w:t>。由此边界条件，得到缓变基区少子浓度分布函数：</w:t>
      </w:r>
    </w:p>
    <w:p w14:paraId="55F84FF1">
      <w:pPr>
        <w:spacing w:line="360" w:lineRule="auto"/>
        <w:ind w:left="481" w:leftChars="229" w:firstLine="360" w:firstLineChars="150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031" o:spt="75" type="#_x0000_t75" style="height:34pt;width:168.95pt;" o:ole="t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</w:p>
    <w:p w14:paraId="6C40C7C7">
      <w:pPr>
        <w:rPr>
          <w:rFonts w:hint="eastAsia"/>
          <w:sz w:val="24"/>
        </w:rPr>
      </w:pPr>
      <w:r>
        <w:rPr>
          <w:rFonts w:hint="eastAsia"/>
          <w:sz w:val="24"/>
        </w:rPr>
        <w:t>假定：</w:t>
      </w:r>
      <w:r>
        <w:rPr>
          <w:rFonts w:hint="eastAsia"/>
          <w:bCs/>
          <w:i/>
          <w:sz w:val="24"/>
        </w:rPr>
        <w:t>I</w:t>
      </w:r>
      <w:r>
        <w:rPr>
          <w:rFonts w:hint="eastAsia"/>
          <w:bCs/>
          <w:sz w:val="24"/>
          <w:vertAlign w:val="subscript"/>
        </w:rPr>
        <w:t>nE</w:t>
      </w:r>
      <w:r>
        <w:rPr>
          <w:rFonts w:hint="eastAsia"/>
          <w:sz w:val="24"/>
        </w:rPr>
        <w:t>=0.01</w:t>
      </w:r>
      <w:r>
        <w:rPr>
          <w:sz w:val="24"/>
        </w:rPr>
        <w:t>mA</w:t>
      </w:r>
      <w:r>
        <w:rPr>
          <w:rFonts w:hint="eastAsia"/>
          <w:sz w:val="24"/>
        </w:rPr>
        <w:t>；</w:t>
      </w:r>
      <w:r>
        <w:rPr>
          <w:bCs/>
          <w:i/>
          <w:sz w:val="24"/>
        </w:rPr>
        <w:t>D</w:t>
      </w:r>
      <w:r>
        <w:rPr>
          <w:bCs/>
          <w:sz w:val="24"/>
          <w:vertAlign w:val="subscript"/>
        </w:rPr>
        <w:t>nB</w:t>
      </w:r>
      <w:r>
        <w:rPr>
          <w:sz w:val="24"/>
        </w:rPr>
        <w:t>=2cm</w:t>
      </w:r>
      <w:r>
        <w:rPr>
          <w:sz w:val="24"/>
          <w:vertAlign w:val="superscript"/>
        </w:rPr>
        <w:t>2</w:t>
      </w:r>
      <w:r>
        <w:rPr>
          <w:sz w:val="24"/>
        </w:rPr>
        <w:t>/s</w:t>
      </w:r>
      <w:r>
        <w:rPr>
          <w:rFonts w:hint="eastAsia"/>
          <w:sz w:val="24"/>
        </w:rPr>
        <w:t>；</w:t>
      </w:r>
      <w:r>
        <w:rPr>
          <w:bCs/>
          <w:i/>
          <w:sz w:val="24"/>
        </w:rPr>
        <w:t>W</w:t>
      </w:r>
      <w:r>
        <w:rPr>
          <w:bCs/>
          <w:sz w:val="24"/>
          <w:vertAlign w:val="subscript"/>
        </w:rPr>
        <w:t>B</w:t>
      </w:r>
      <w:r>
        <w:rPr>
          <w:sz w:val="24"/>
        </w:rPr>
        <w:t>=0.05</w:t>
      </w:r>
      <w:r>
        <w:rPr>
          <w:rFonts w:hint="default" w:ascii="Times New Roman" w:hAnsi="Times New Roman" w:cs="Times New Roman"/>
          <w:sz w:val="24"/>
          <w:lang w:val="en-US" w:eastAsia="zh-CN"/>
        </w:rPr>
        <w:t>μ</w:t>
      </w:r>
      <w:r>
        <w:rPr>
          <w:rFonts w:hint="eastAsia"/>
          <w:sz w:val="24"/>
          <w:lang w:val="en-US" w:eastAsia="zh-CN"/>
        </w:rPr>
        <w:t>m</w:t>
      </w:r>
      <w:r>
        <w:rPr>
          <w:rFonts w:hint="eastAsia"/>
          <w:sz w:val="24"/>
        </w:rPr>
        <w:t>；</w:t>
      </w:r>
      <w:r>
        <w:rPr>
          <w:bCs/>
          <w:i/>
          <w:sz w:val="24"/>
        </w:rPr>
        <w:t>q</w:t>
      </w:r>
      <w:r>
        <w:rPr>
          <w:sz w:val="24"/>
        </w:rPr>
        <w:t>=1.6</w:t>
      </w:r>
      <w:r>
        <w:rPr>
          <w:rFonts w:hint="eastAsia"/>
          <w:sz w:val="24"/>
          <w:lang w:val="en-US" w:eastAsia="zh-CN"/>
        </w:rPr>
        <w:t>×10</w:t>
      </w:r>
      <w:r>
        <w:rPr>
          <w:sz w:val="24"/>
          <w:vertAlign w:val="superscript"/>
        </w:rPr>
        <w:t>-19</w:t>
      </w:r>
      <w:r>
        <w:rPr>
          <w:rFonts w:hint="eastAsia"/>
          <w:sz w:val="24"/>
        </w:rPr>
        <w:t>C。</w:t>
      </w:r>
    </w:p>
    <w:p w14:paraId="466A03D0">
      <w:pPr>
        <w:rPr>
          <w:rFonts w:hint="eastAsia"/>
          <w:sz w:val="24"/>
        </w:rPr>
      </w:pPr>
    </w:p>
    <w:p w14:paraId="24D9EC1B">
      <w:pPr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br w:type="page"/>
      </w:r>
    </w:p>
    <w:p w14:paraId="62CE12E7">
      <w:pPr>
        <w:spacing w:line="360" w:lineRule="auto"/>
        <w:rPr>
          <w:rFonts w:hint="eastAsia" w:hAnsi="宋体"/>
          <w:sz w:val="24"/>
        </w:rPr>
      </w:pPr>
      <w:r>
        <w:rPr>
          <w:rFonts w:hint="eastAsia" w:eastAsia="黑体"/>
          <w:b/>
          <w:sz w:val="24"/>
        </w:rPr>
        <w:t>题目</w:t>
      </w: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hint="eastAsia" w:eastAsia="黑体"/>
          <w:b/>
          <w:sz w:val="24"/>
        </w:rPr>
        <w:t>:</w:t>
      </w:r>
      <w:r>
        <w:rPr>
          <w:rFonts w:eastAsia="黑体"/>
          <w:b/>
          <w:sz w:val="24"/>
        </w:rPr>
        <w:t xml:space="preserve"> </w:t>
      </w:r>
      <w:r>
        <w:rPr>
          <w:rFonts w:hint="eastAsia" w:hAnsi="宋体"/>
          <w:sz w:val="24"/>
        </w:rPr>
        <w:t>确定PN结势垒区内电场分布和碰撞电离率随反偏电压的变</w:t>
      </w:r>
      <w:bookmarkStart w:id="6" w:name="_GoBack"/>
      <w:bookmarkEnd w:id="6"/>
      <w:r>
        <w:rPr>
          <w:rFonts w:hint="eastAsia" w:hAnsi="宋体"/>
          <w:sz w:val="24"/>
        </w:rPr>
        <w:t>化关系。</w:t>
      </w:r>
    </w:p>
    <w:p w14:paraId="3D024A15">
      <w:pPr>
        <w:spacing w:line="360" w:lineRule="auto"/>
        <w:rPr>
          <w:rFonts w:hint="eastAsia"/>
        </w:rPr>
      </w:pPr>
      <w:r>
        <w:rPr>
          <w:rFonts w:hint="eastAsia" w:eastAsia="黑体"/>
          <w:b/>
          <w:sz w:val="24"/>
        </w:rPr>
        <w:t>题目</w:t>
      </w:r>
      <w:r>
        <w:rPr>
          <w:rFonts w:hint="eastAsia" w:eastAsia="黑体"/>
          <w:b/>
          <w:sz w:val="24"/>
          <w:lang w:val="en-US" w:eastAsia="zh-CN"/>
        </w:rPr>
        <w:t>5</w:t>
      </w:r>
      <w:r>
        <w:rPr>
          <w:rFonts w:eastAsia="黑体"/>
          <w:b/>
          <w:sz w:val="24"/>
        </w:rPr>
        <w:t xml:space="preserve">: </w:t>
      </w:r>
      <w:r>
        <w:rPr>
          <w:rFonts w:hint="eastAsia" w:hAnsi="宋体"/>
          <w:sz w:val="24"/>
        </w:rPr>
        <w:t>确定雪崩倍增因子随外加反偏电压的变化关系。</w:t>
      </w:r>
    </w:p>
    <w:p w14:paraId="78E2B23E">
      <w:pPr>
        <w:spacing w:line="360" w:lineRule="auto"/>
        <w:rPr>
          <w:rFonts w:hAnsi="宋体"/>
          <w:b/>
          <w:color w:val="FF0000"/>
          <w:sz w:val="24"/>
        </w:rPr>
      </w:pPr>
      <w:r>
        <w:rPr>
          <w:rFonts w:hint="eastAsia" w:hAnsi="宋体"/>
          <w:b/>
          <w:color w:val="FF0000"/>
          <w:sz w:val="24"/>
        </w:rPr>
        <w:t>题目</w:t>
      </w:r>
      <w:r>
        <w:rPr>
          <w:rFonts w:hint="eastAsia" w:hAnsi="宋体"/>
          <w:b/>
          <w:color w:val="FF0000"/>
          <w:sz w:val="24"/>
          <w:lang w:val="en-US" w:eastAsia="zh-CN"/>
        </w:rPr>
        <w:t>4</w:t>
      </w:r>
      <w:r>
        <w:rPr>
          <w:rFonts w:hint="eastAsia" w:hAnsi="宋体"/>
          <w:b/>
          <w:color w:val="FF0000"/>
          <w:sz w:val="24"/>
        </w:rPr>
        <w:t>、题目</w:t>
      </w:r>
      <w:r>
        <w:rPr>
          <w:rFonts w:hint="eastAsia" w:hAnsi="宋体"/>
          <w:b/>
          <w:color w:val="FF0000"/>
          <w:sz w:val="24"/>
          <w:lang w:val="en-US" w:eastAsia="zh-CN"/>
        </w:rPr>
        <w:t>5</w:t>
      </w:r>
      <w:r>
        <w:rPr>
          <w:rFonts w:hint="eastAsia" w:hAnsi="宋体"/>
          <w:b/>
          <w:color w:val="FF0000"/>
          <w:sz w:val="24"/>
        </w:rPr>
        <w:t>的物理背景可参考：</w:t>
      </w:r>
    </w:p>
    <w:p w14:paraId="32F9A489">
      <w:pPr>
        <w:spacing w:line="360" w:lineRule="auto"/>
        <w:rPr>
          <w:rFonts w:hint="eastAsia" w:hAnsi="宋体"/>
          <w:b/>
          <w:color w:val="FF0000"/>
          <w:sz w:val="24"/>
        </w:rPr>
      </w:pPr>
      <w:r>
        <w:rPr>
          <w:rFonts w:hint="eastAsia" w:hAnsi="宋体"/>
          <w:b/>
          <w:color w:val="FF0000"/>
          <w:sz w:val="24"/>
        </w:rPr>
        <w:t>施敏等，《半导体器件物理》（第3版），pp</w:t>
      </w:r>
      <w:r>
        <w:rPr>
          <w:rFonts w:hAnsi="宋体"/>
          <w:b/>
          <w:color w:val="FF0000"/>
          <w:sz w:val="24"/>
        </w:rPr>
        <w:t>61</w:t>
      </w:r>
      <w:r>
        <w:rPr>
          <w:rFonts w:hint="eastAsia" w:hAnsi="宋体"/>
          <w:b/>
          <w:color w:val="FF0000"/>
          <w:sz w:val="24"/>
        </w:rPr>
        <w:t>-pp</w:t>
      </w:r>
      <w:r>
        <w:rPr>
          <w:rFonts w:hAnsi="宋体"/>
          <w:b/>
          <w:color w:val="FF0000"/>
          <w:sz w:val="24"/>
        </w:rPr>
        <w:t>86</w:t>
      </w:r>
    </w:p>
    <w:p w14:paraId="188F68D6">
      <w:pPr>
        <w:spacing w:line="360" w:lineRule="auto"/>
        <w:rPr>
          <w:rFonts w:hAnsi="宋体"/>
          <w:b/>
          <w:color w:val="FF0000"/>
          <w:sz w:val="24"/>
        </w:rPr>
      </w:pPr>
      <w:r>
        <w:rPr>
          <w:rFonts w:hint="eastAsia" w:hAnsi="宋体"/>
          <w:b/>
          <w:color w:val="FF0000"/>
          <w:sz w:val="24"/>
        </w:rPr>
        <w:t>刘恩科等，《半导体物理学》（第7版</w:t>
      </w:r>
      <w:r>
        <w:rPr>
          <w:rFonts w:hAnsi="宋体"/>
          <w:b/>
          <w:color w:val="FF0000"/>
          <w:sz w:val="24"/>
        </w:rPr>
        <w:t xml:space="preserve">）, </w:t>
      </w:r>
      <w:r>
        <w:rPr>
          <w:rFonts w:hint="eastAsia" w:hAnsi="宋体"/>
          <w:b/>
          <w:color w:val="FF0000"/>
          <w:sz w:val="24"/>
        </w:rPr>
        <w:t>pp</w:t>
      </w:r>
      <w:r>
        <w:rPr>
          <w:rFonts w:hAnsi="宋体"/>
          <w:b/>
          <w:color w:val="FF0000"/>
          <w:sz w:val="24"/>
        </w:rPr>
        <w:t>157</w:t>
      </w:r>
      <w:r>
        <w:rPr>
          <w:rFonts w:hint="eastAsia" w:hAnsi="宋体"/>
          <w:b/>
          <w:color w:val="FF0000"/>
          <w:sz w:val="24"/>
        </w:rPr>
        <w:t>-pp</w:t>
      </w:r>
      <w:r>
        <w:rPr>
          <w:rFonts w:hAnsi="宋体"/>
          <w:b/>
          <w:color w:val="FF0000"/>
          <w:sz w:val="24"/>
        </w:rPr>
        <w:t>183</w:t>
      </w:r>
    </w:p>
    <w:p w14:paraId="20621201">
      <w:pPr>
        <w:spacing w:line="360" w:lineRule="auto"/>
        <w:rPr>
          <w:rFonts w:hAnsi="宋体"/>
          <w:b/>
          <w:color w:val="FF0000"/>
          <w:sz w:val="24"/>
        </w:rPr>
      </w:pPr>
    </w:p>
    <w:p w14:paraId="04C8E191">
      <w:pPr>
        <w:spacing w:line="360" w:lineRule="auto"/>
        <w:rPr>
          <w:rFonts w:hint="eastAsia" w:hAnsi="宋体"/>
          <w:b/>
          <w:color w:val="FF0000"/>
          <w:sz w:val="24"/>
        </w:rPr>
      </w:pPr>
      <w:r>
        <w:rPr>
          <w:rFonts w:hint="eastAsia" w:hAnsi="宋体"/>
          <w:b/>
          <w:color w:val="FF0000"/>
          <w:sz w:val="24"/>
        </w:rPr>
        <w:t>编程提示：</w:t>
      </w:r>
    </w:p>
    <w:p w14:paraId="56117A03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突变结势垒区内电场分布分析</w:t>
      </w:r>
    </w:p>
    <w:p w14:paraId="3C1CD625">
      <w:pPr>
        <w:spacing w:line="360" w:lineRule="auto"/>
        <w:rPr>
          <w:sz w:val="24"/>
        </w:rPr>
      </w:pPr>
      <w:r>
        <w:rPr>
          <w:rFonts w:hint="eastAsia"/>
          <w:sz w:val="24"/>
        </w:rPr>
        <w:t>内建电势：</w:t>
      </w:r>
    </w:p>
    <w:p w14:paraId="2A542422">
      <w:pPr>
        <w:wordWrap w:val="0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0"/>
          <w:sz w:val="24"/>
        </w:rPr>
        <w:object>
          <v:shape id="_x0000_i1032" o:spt="75" type="#_x0000_t75" style="height:36pt;width:90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  <w:sz w:val="24"/>
        </w:rPr>
        <w:t xml:space="preserve">     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1）</w:t>
      </w:r>
    </w:p>
    <w:p w14:paraId="6D99DB97">
      <w:pPr>
        <w:rPr>
          <w:sz w:val="24"/>
        </w:rPr>
      </w:pPr>
      <w:r>
        <w:rPr>
          <w:rFonts w:hint="eastAsia"/>
          <w:sz w:val="24"/>
        </w:rPr>
        <w:t>N区耗尽区宽度：</w:t>
      </w:r>
    </w:p>
    <w:p w14:paraId="6EB6423C">
      <w:pPr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0"/>
          <w:sz w:val="24"/>
        </w:rPr>
        <w:object>
          <v:shape id="_x0000_i1033" o:spt="75" type="#_x0000_t75" style="height:60pt;width:119.9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/>
          <w:sz w:val="24"/>
        </w:rPr>
        <w:t xml:space="preserve">    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2）</w:t>
      </w:r>
    </w:p>
    <w:p w14:paraId="12B0C3CF">
      <w:pPr>
        <w:rPr>
          <w:sz w:val="24"/>
        </w:rPr>
      </w:pPr>
      <w:r>
        <w:rPr>
          <w:rFonts w:hint="eastAsia"/>
          <w:sz w:val="24"/>
        </w:rPr>
        <w:t>P区耗尽区宽度：</w:t>
      </w:r>
    </w:p>
    <w:p w14:paraId="09568900">
      <w:pPr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0"/>
          <w:sz w:val="24"/>
        </w:rPr>
        <w:object>
          <v:shape id="_x0000_i1034" o:spt="75" type="#_x0000_t75" style="height:60pt;width:120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/>
          <w:sz w:val="24"/>
        </w:rPr>
        <w:t xml:space="preserve"> ， 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3）</w:t>
      </w:r>
    </w:p>
    <w:p w14:paraId="7952EEAE">
      <w:pPr>
        <w:rPr>
          <w:sz w:val="24"/>
        </w:rPr>
      </w:pPr>
      <w:r>
        <w:rPr>
          <w:rFonts w:hint="eastAsia"/>
          <w:sz w:val="24"/>
        </w:rPr>
        <w:t>其中，</w:t>
      </w:r>
      <w:r>
        <w:rPr>
          <w:position w:val="-6"/>
          <w:sz w:val="24"/>
        </w:rPr>
        <w:object>
          <v:shape id="_x0000_i1035" o:spt="75" type="#_x0000_t75" style="height:12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/>
          <w:sz w:val="24"/>
        </w:rPr>
        <w:t xml:space="preserve">为反偏电压，约化浓度 </w:t>
      </w:r>
      <w:r>
        <w:rPr>
          <w:position w:val="-30"/>
          <w:sz w:val="24"/>
        </w:rPr>
        <w:object>
          <v:shape id="_x0000_i1036" o:spt="75" type="#_x0000_t75" style="height:36pt;width:72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145F9FDE">
      <w:pPr>
        <w:rPr>
          <w:sz w:val="24"/>
        </w:rPr>
      </w:pPr>
      <w:r>
        <w:rPr>
          <w:rFonts w:hint="eastAsia"/>
          <w:sz w:val="24"/>
        </w:rPr>
        <w:t>电场强度</w:t>
      </w:r>
      <w:r>
        <w:rPr>
          <w:position w:val="-14"/>
          <w:sz w:val="24"/>
        </w:rPr>
        <w:object>
          <v:shape id="_x0000_i1037" o:spt="75" type="#_x0000_t75" style="height:18pt;width:3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/>
          <w:sz w:val="24"/>
        </w:rPr>
        <w:t>在耗尽区中的变化关系如下式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4）、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5）所示：</w:t>
      </w:r>
    </w:p>
    <w:p w14:paraId="50330E52">
      <w:pPr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186055</wp:posOffset>
                </wp:positionV>
                <wp:extent cx="175260" cy="792480"/>
                <wp:effectExtent l="4445" t="4445" r="3175" b="1079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5260" cy="792480"/>
                        </a:xfrm>
                        <a:prstGeom prst="leftBrace">
                          <a:avLst>
                            <a:gd name="adj1" fmla="val 43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9pt;margin-top:14.65pt;height:62.4pt;width:13.8pt;z-index:251660288;mso-width-relative:page;mso-height-relative:page;" filled="f" stroked="t" coordsize="21600,21600" o:gfxdata="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EbnQzaAAAACgEAAA8AAAAAAAAAAQAgAAAA&#10;IgAAAGRycy9kb3ducmV2LnhtbFBLAQIUABQAAAAIAIdO4kBFUJ1PQgIAAHIEAAAOAAAAAAAAAAEA&#10;IAAAACkBAABkcnMvZTJvRG9jLnhtbFBLBQYAAAAABgAGAFkBAADdBQAAAAA=&#10;" adj="206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position w:val="-30"/>
          <w:sz w:val="24"/>
        </w:rPr>
        <w:object>
          <v:shape id="_x0000_i1038" o:spt="75" type="#_x0000_t75" style="height:36pt;width:101.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/>
          <w:sz w:val="24"/>
        </w:rPr>
        <w:t xml:space="preserve">  (</w:t>
      </w:r>
      <w:r>
        <w:rPr>
          <w:position w:val="-12"/>
          <w:sz w:val="24"/>
        </w:rPr>
        <w:object>
          <v:shape id="_x0000_i1039" o:spt="75" type="#_x0000_t75" style="height:18pt;width:60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/>
          <w:sz w:val="24"/>
        </w:rPr>
        <w:t xml:space="preserve">)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4）</w:t>
      </w:r>
    </w:p>
    <w:p w14:paraId="6812AE23">
      <w:pPr>
        <w:jc w:val="right"/>
        <w:rPr>
          <w:sz w:val="24"/>
        </w:rPr>
      </w:pPr>
      <w:r>
        <w:rPr>
          <w:position w:val="-30"/>
          <w:sz w:val="24"/>
        </w:rPr>
        <w:object>
          <v:shape id="_x0000_i1040" o:spt="75" type="#_x0000_t75" style="height:36pt;width:101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/>
          <w:sz w:val="24"/>
        </w:rPr>
        <w:t xml:space="preserve">  (</w:t>
      </w:r>
      <w:r>
        <w:rPr>
          <w:position w:val="-14"/>
          <w:sz w:val="24"/>
        </w:rPr>
        <w:object>
          <v:shape id="_x0000_i1041" o:spt="75" type="#_x0000_t75" style="height:18pt;width:48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/>
          <w:sz w:val="24"/>
        </w:rPr>
        <w:t xml:space="preserve">)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5）</w:t>
      </w:r>
    </w:p>
    <w:p w14:paraId="52DD6820">
      <w:pPr>
        <w:rPr>
          <w:sz w:val="24"/>
        </w:rPr>
      </w:pPr>
      <w:r>
        <w:rPr>
          <w:rFonts w:hint="eastAsia"/>
          <w:sz w:val="24"/>
        </w:rPr>
        <w:t>且</w:t>
      </w:r>
      <w:r>
        <w:rPr>
          <w:position w:val="-14"/>
          <w:sz w:val="24"/>
        </w:rPr>
        <w:object>
          <v:shape id="_x0000_i1042" o:spt="75" type="#_x0000_t75" style="height:18pt;width:3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>
          <v:shape id="_x0000_i1043" o:spt="75" type="#_x0000_t75" style="height:12pt;width:3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sz w:val="24"/>
        </w:rPr>
        <w:t xml:space="preserve">处达到最大值 </w:t>
      </w:r>
    </w:p>
    <w:p w14:paraId="2CAC3938">
      <w:pPr>
        <w:wordWrap w:val="0"/>
        <w:jc w:val="right"/>
        <w:rPr>
          <w:rFonts w:hint="eastAsia"/>
          <w:sz w:val="24"/>
        </w:rPr>
      </w:pPr>
      <w:r>
        <w:rPr>
          <w:position w:val="-32"/>
          <w:sz w:val="24"/>
        </w:rPr>
        <w:object>
          <v:shape id="_x0000_i1044" o:spt="75" type="#_x0000_t75" style="height:48pt;width:12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4"/>
        </w:rPr>
        <w:t xml:space="preserve">          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6）</w:t>
      </w:r>
    </w:p>
    <w:p w14:paraId="59B06053">
      <w:pPr>
        <w:wordWrap/>
        <w:jc w:val="right"/>
        <w:rPr>
          <w:rFonts w:hint="eastAsia"/>
          <w:sz w:val="24"/>
        </w:rPr>
      </w:pPr>
    </w:p>
    <w:p w14:paraId="46DA4CEE">
      <w:pPr>
        <w:spacing w:line="360" w:lineRule="auto"/>
        <w:rPr>
          <w:sz w:val="24"/>
        </w:rPr>
      </w:pPr>
      <w:r>
        <w:rPr>
          <w:rFonts w:hint="eastAsia" w:ascii="宋体" w:hAnsi="宋体"/>
          <w:sz w:val="24"/>
        </w:rPr>
        <w:t>(2)</w:t>
      </w:r>
      <w:r>
        <w:rPr>
          <w:rFonts w:hint="eastAsia"/>
          <w:sz w:val="24"/>
        </w:rPr>
        <w:t>线性缓变结</w:t>
      </w:r>
      <w:r>
        <w:rPr>
          <w:rFonts w:hint="eastAsia" w:ascii="宋体" w:hAnsi="宋体"/>
          <w:sz w:val="24"/>
        </w:rPr>
        <w:t>电场分布</w:t>
      </w:r>
      <w:r>
        <w:rPr>
          <w:rFonts w:hint="eastAsia"/>
          <w:sz w:val="24"/>
        </w:rPr>
        <w:t>分析</w:t>
      </w:r>
    </w:p>
    <w:p w14:paraId="63AB18EB">
      <w:pPr>
        <w:spacing w:line="360" w:lineRule="auto"/>
        <w:rPr>
          <w:sz w:val="24"/>
        </w:rPr>
      </w:pPr>
      <w:r>
        <w:rPr>
          <w:rFonts w:hint="eastAsia"/>
          <w:sz w:val="24"/>
        </w:rPr>
        <w:t>内建电势：</w:t>
      </w:r>
    </w:p>
    <w:p w14:paraId="04534A35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46"/>
          <w:sz w:val="24"/>
        </w:rPr>
        <w:object>
          <v:shape id="_x0000_i1045" o:spt="75" type="#_x0000_t75" style="height:54pt;width:144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7）</w:t>
      </w:r>
    </w:p>
    <w:p w14:paraId="5B324201">
      <w:pPr>
        <w:spacing w:line="360" w:lineRule="auto"/>
        <w:rPr>
          <w:sz w:val="24"/>
        </w:rPr>
      </w:pPr>
      <w:r>
        <w:rPr>
          <w:rFonts w:hint="eastAsia"/>
          <w:sz w:val="24"/>
        </w:rPr>
        <w:t>其中，杂质浓度梯度</w:t>
      </w:r>
      <w:r>
        <w:rPr>
          <w:position w:val="-6"/>
          <w:sz w:val="24"/>
        </w:rPr>
        <w:object>
          <v:shape id="_x0000_i1046" o:spt="75" type="#_x0000_t75" style="height:12pt;width:1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/>
          <w:sz w:val="24"/>
        </w:rPr>
        <w:t>为常数，不妨取</w:t>
      </w:r>
      <w:r>
        <w:rPr>
          <w:position w:val="-6"/>
          <w:sz w:val="24"/>
        </w:rPr>
        <w:object>
          <v:shape id="_x0000_i1047" o:spt="75" type="#_x0000_t75" style="height:18pt;width:41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 w14:paraId="37E59A69">
      <w:pPr>
        <w:spacing w:line="360" w:lineRule="auto"/>
        <w:rPr>
          <w:sz w:val="24"/>
        </w:rPr>
      </w:pPr>
      <w:r>
        <w:rPr>
          <w:rFonts w:hint="eastAsia"/>
          <w:sz w:val="24"/>
        </w:rPr>
        <w:t>耗尽区宽度：</w:t>
      </w:r>
    </w:p>
    <w:p w14:paraId="5642BBA6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0"/>
          <w:sz w:val="24"/>
        </w:rPr>
        <w:object>
          <v:shape id="_x0000_i1048" o:spt="75" type="#_x0000_t75" style="height:42pt;width:138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8）</w:t>
      </w:r>
    </w:p>
    <w:p w14:paraId="73B9CFEF">
      <w:pPr>
        <w:spacing w:line="360" w:lineRule="auto"/>
        <w:rPr>
          <w:sz w:val="24"/>
        </w:rPr>
      </w:pPr>
      <w:r>
        <w:rPr>
          <w:rFonts w:hint="eastAsia"/>
          <w:sz w:val="24"/>
        </w:rPr>
        <w:t>电场强度</w:t>
      </w:r>
      <w:r>
        <w:rPr>
          <w:position w:val="-14"/>
          <w:sz w:val="24"/>
        </w:rPr>
        <w:object>
          <v:shape id="_x0000_i1049" o:spt="75" type="#_x0000_t75" style="height:18pt;width:3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>
          <v:shape id="_x0000_i1050" o:spt="75" type="#_x0000_t75" style="height:12pt;width:3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  <w:sz w:val="24"/>
        </w:rPr>
        <w:t>处达到最大值 ：</w:t>
      </w:r>
    </w:p>
    <w:p w14:paraId="78F7A731">
      <w:pPr>
        <w:wordWrap w:val="0"/>
        <w:spacing w:line="360" w:lineRule="auto"/>
        <w:jc w:val="right"/>
        <w:rPr>
          <w:sz w:val="24"/>
        </w:rPr>
      </w:pPr>
      <w:r>
        <w:rPr>
          <w:position w:val="-30"/>
          <w:sz w:val="24"/>
        </w:rPr>
        <w:object>
          <v:shape id="_x0000_i1051" o:spt="75" type="#_x0000_t75" style="height:36pt;width:10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9）</w:t>
      </w:r>
    </w:p>
    <w:p w14:paraId="48A47A9A">
      <w:pPr>
        <w:spacing w:line="360" w:lineRule="auto"/>
        <w:rPr>
          <w:sz w:val="24"/>
        </w:rPr>
      </w:pPr>
      <w:r>
        <w:rPr>
          <w:rFonts w:hint="eastAsia"/>
          <w:sz w:val="24"/>
        </w:rPr>
        <w:t>电场强度</w:t>
      </w:r>
      <w:r>
        <w:rPr>
          <w:position w:val="-14"/>
          <w:sz w:val="24"/>
        </w:rPr>
        <w:object>
          <v:shape id="_x0000_i1052" o:spt="75" type="#_x0000_t75" style="height:18pt;width:3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/>
          <w:sz w:val="24"/>
        </w:rPr>
        <w:t>在耗尽区的变化关系为：</w:t>
      </w:r>
    </w:p>
    <w:p w14:paraId="6FD636EB">
      <w:pPr>
        <w:wordWrap w:val="0"/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42"/>
          <w:sz w:val="24"/>
        </w:rPr>
        <w:object>
          <v:shape id="_x0000_i1053" o:spt="75" type="#_x0000_t75" style="height:48pt;width:102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/>
          <w:sz w:val="24"/>
        </w:rPr>
        <w:t xml:space="preserve">        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10）</w:t>
      </w:r>
    </w:p>
    <w:p w14:paraId="7DA8E74A">
      <w:pPr>
        <w:spacing w:line="360" w:lineRule="auto"/>
        <w:rPr>
          <w:sz w:val="24"/>
        </w:rPr>
      </w:pPr>
    </w:p>
    <w:p w14:paraId="5D75302B">
      <w:pPr>
        <w:spacing w:line="360" w:lineRule="auto"/>
        <w:rPr>
          <w:sz w:val="24"/>
        </w:rPr>
      </w:pPr>
      <w:r>
        <w:rPr>
          <w:rFonts w:hint="eastAsia"/>
          <w:sz w:val="24"/>
        </w:rPr>
        <w:t>(3)</w:t>
      </w:r>
      <w:r>
        <w:rPr>
          <w:sz w:val="24"/>
        </w:rPr>
        <w:t xml:space="preserve"> </w:t>
      </w:r>
      <w:r>
        <w:rPr>
          <w:rFonts w:hint="eastAsia"/>
          <w:sz w:val="24"/>
        </w:rPr>
        <w:t>碰撞电离率随反偏电压的变化关系</w:t>
      </w:r>
    </w:p>
    <w:p w14:paraId="5DF689B7">
      <w:pPr>
        <w:spacing w:line="360" w:lineRule="auto"/>
        <w:rPr>
          <w:sz w:val="24"/>
        </w:rPr>
      </w:pPr>
      <w:r>
        <w:rPr>
          <w:rFonts w:hint="eastAsia"/>
          <w:sz w:val="24"/>
        </w:rPr>
        <w:t>碰撞电离率：</w:t>
      </w:r>
    </w:p>
    <w:p w14:paraId="1A29C031">
      <w:pPr>
        <w:pStyle w:val="11"/>
        <w:spacing w:line="360" w:lineRule="auto"/>
        <w:jc w:val="right"/>
        <w:rPr>
          <w:rFonts w:eastAsia="等线"/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>
        <w:rPr>
          <w:position w:val="-34"/>
          <w:sz w:val="24"/>
          <w:szCs w:val="24"/>
        </w:rPr>
        <w:object>
          <v:shape id="_x0000_i1054" o:spt="75" type="#_x0000_t75" style="height:42pt;width:101.9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       </w:t>
      </w:r>
      <w:r>
        <w:rPr>
          <w:rFonts w:hint="eastAsia" w:eastAsia="等线"/>
          <w:sz w:val="24"/>
          <w:szCs w:val="24"/>
        </w:rPr>
        <w:t xml:space="preserve"> </w:t>
      </w:r>
      <w:r>
        <w:rPr>
          <w:rFonts w:hint="eastAsia" w:eastAsia="等线"/>
          <w:sz w:val="24"/>
          <w:szCs w:val="24"/>
          <w:lang w:eastAsia="zh-CN"/>
        </w:rPr>
        <w:t>（</w:t>
      </w:r>
      <w:r>
        <w:rPr>
          <w:rFonts w:hint="eastAsia" w:eastAsia="等线"/>
          <w:sz w:val="24"/>
          <w:szCs w:val="24"/>
        </w:rPr>
        <w:t>11）</w:t>
      </w:r>
    </w:p>
    <w:p w14:paraId="19F9C5D6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碰撞电离率表达式中的常数值</w:t>
      </w:r>
    </w:p>
    <w:p w14:paraId="53292162">
      <w:pPr>
        <w:pStyle w:val="11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 碰撞电离率中的一些参数值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38"/>
        <w:gridCol w:w="1339"/>
        <w:gridCol w:w="1338"/>
        <w:gridCol w:w="1340"/>
        <w:gridCol w:w="1339"/>
      </w:tblGrid>
      <w:tr w14:paraId="28E2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338" w:type="dxa"/>
            <w:vMerge w:val="restart"/>
            <w:shd w:val="clear" w:color="auto" w:fill="D0CECE"/>
            <w:noWrap w:val="0"/>
            <w:vAlign w:val="center"/>
          </w:tcPr>
          <w:p w14:paraId="1E88D32E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  <w:p w14:paraId="709A3D31">
            <w:pPr>
              <w:spacing w:line="360" w:lineRule="auto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材 料</w:t>
            </w:r>
          </w:p>
        </w:tc>
        <w:tc>
          <w:tcPr>
            <w:tcW w:w="2677" w:type="dxa"/>
            <w:gridSpan w:val="2"/>
            <w:shd w:val="clear" w:color="auto" w:fill="D0CECE"/>
            <w:noWrap w:val="0"/>
            <w:vAlign w:val="center"/>
          </w:tcPr>
          <w:p w14:paraId="6829AFF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电  子</w:t>
            </w:r>
          </w:p>
        </w:tc>
        <w:tc>
          <w:tcPr>
            <w:tcW w:w="2678" w:type="dxa"/>
            <w:gridSpan w:val="2"/>
            <w:shd w:val="clear" w:color="auto" w:fill="D0CECE"/>
            <w:noWrap w:val="0"/>
            <w:vAlign w:val="center"/>
          </w:tcPr>
          <w:p w14:paraId="590B1CC3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空  穴</w:t>
            </w:r>
          </w:p>
        </w:tc>
        <w:tc>
          <w:tcPr>
            <w:tcW w:w="1339" w:type="dxa"/>
            <w:vMerge w:val="restart"/>
            <w:shd w:val="clear" w:color="auto" w:fill="D0CECE"/>
            <w:noWrap w:val="0"/>
            <w:vAlign w:val="center"/>
          </w:tcPr>
          <w:p w14:paraId="330242AE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  <w:p w14:paraId="05835083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6"/>
                <w:sz w:val="24"/>
              </w:rPr>
              <w:object>
                <v:shape id="_x0000_i1055" o:spt="75" type="#_x0000_t75" style="height:12pt;width:12pt;" o:ole="t" filled="f" o:preferrelative="t" stroked="f" coordsize="21600,21600">
                  <v:path/>
                  <v:fill on="f" focussize="0,0"/>
                  <v:stroke on="f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1">
                  <o:LockedField>false</o:LockedField>
                </o:OLEObject>
              </w:object>
            </w:r>
          </w:p>
        </w:tc>
      </w:tr>
      <w:tr w14:paraId="19A1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1338" w:type="dxa"/>
            <w:vMerge w:val="continue"/>
            <w:shd w:val="clear" w:color="auto" w:fill="D0CECE"/>
            <w:noWrap w:val="0"/>
            <w:vAlign w:val="center"/>
          </w:tcPr>
          <w:p w14:paraId="6B62B7C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38" w:type="dxa"/>
            <w:shd w:val="clear" w:color="auto" w:fill="FFFFFF"/>
            <w:noWrap w:val="0"/>
            <w:vAlign w:val="center"/>
          </w:tcPr>
          <w:p w14:paraId="0A0658B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056" o:spt="75" type="#_x0000_t75" style="height:18pt;width:42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3">
                  <o:LockedField>false</o:LockedField>
                </o:OLEObject>
              </w:object>
            </w:r>
          </w:p>
        </w:tc>
        <w:tc>
          <w:tcPr>
            <w:tcW w:w="1339" w:type="dxa"/>
            <w:shd w:val="clear" w:color="auto" w:fill="FFFFFF"/>
            <w:noWrap w:val="0"/>
            <w:vAlign w:val="center"/>
          </w:tcPr>
          <w:p w14:paraId="1626743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057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5">
                  <o:LockedField>false</o:LockedField>
                </o:OLEObject>
              </w:object>
            </w:r>
          </w:p>
        </w:tc>
        <w:tc>
          <w:tcPr>
            <w:tcW w:w="1338" w:type="dxa"/>
            <w:shd w:val="clear" w:color="auto" w:fill="FFFFFF"/>
            <w:noWrap w:val="0"/>
            <w:vAlign w:val="center"/>
          </w:tcPr>
          <w:p w14:paraId="63C8830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058" o:spt="75" type="#_x0000_t75" style="height:18pt;width:42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67">
                  <o:LockedField>false</o:LockedField>
                </o:OLEObject>
              </w:object>
            </w:r>
          </w:p>
        </w:tc>
        <w:tc>
          <w:tcPr>
            <w:tcW w:w="1340" w:type="dxa"/>
            <w:shd w:val="clear" w:color="auto" w:fill="FFFFFF"/>
            <w:noWrap w:val="0"/>
            <w:vAlign w:val="center"/>
          </w:tcPr>
          <w:p w14:paraId="4E539E6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059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68">
                  <o:LockedField>false</o:LockedField>
                </o:OLEObject>
              </w:object>
            </w:r>
          </w:p>
        </w:tc>
        <w:tc>
          <w:tcPr>
            <w:tcW w:w="1339" w:type="dxa"/>
            <w:vMerge w:val="continue"/>
            <w:shd w:val="clear" w:color="auto" w:fill="D0CECE"/>
            <w:noWrap w:val="0"/>
            <w:vAlign w:val="center"/>
          </w:tcPr>
          <w:p w14:paraId="6AD18B9C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1E72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338" w:type="dxa"/>
            <w:noWrap w:val="0"/>
            <w:vAlign w:val="center"/>
          </w:tcPr>
          <w:p w14:paraId="412409A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硅</w:t>
            </w:r>
          </w:p>
        </w:tc>
        <w:tc>
          <w:tcPr>
            <w:tcW w:w="1338" w:type="dxa"/>
            <w:noWrap w:val="0"/>
            <w:vAlign w:val="center"/>
          </w:tcPr>
          <w:p w14:paraId="03BC0DF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6"/>
                <w:sz w:val="24"/>
              </w:rPr>
              <w:object>
                <v:shape id="_x0000_i1060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69">
                  <o:LockedField>false</o:LockedField>
                </o:OLEObject>
              </w:object>
            </w:r>
          </w:p>
        </w:tc>
        <w:tc>
          <w:tcPr>
            <w:tcW w:w="1339" w:type="dxa"/>
            <w:noWrap w:val="0"/>
            <w:vAlign w:val="center"/>
          </w:tcPr>
          <w:p w14:paraId="1372666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6"/>
                <w:sz w:val="24"/>
              </w:rPr>
              <w:object>
                <v:shape id="_x0000_i1061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71">
                  <o:LockedField>false</o:LockedField>
                </o:OLEObject>
              </w:object>
            </w:r>
          </w:p>
        </w:tc>
        <w:tc>
          <w:tcPr>
            <w:tcW w:w="1338" w:type="dxa"/>
            <w:noWrap w:val="0"/>
            <w:vAlign w:val="center"/>
          </w:tcPr>
          <w:p w14:paraId="270A1E8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6"/>
                <w:sz w:val="24"/>
              </w:rPr>
              <w:object>
                <v:shape id="_x0000_i1062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73">
                  <o:LockedField>false</o:LockedField>
                </o:OLEObject>
              </w:object>
            </w:r>
          </w:p>
        </w:tc>
        <w:tc>
          <w:tcPr>
            <w:tcW w:w="1340" w:type="dxa"/>
            <w:noWrap w:val="0"/>
            <w:vAlign w:val="center"/>
          </w:tcPr>
          <w:p w14:paraId="7D1FB72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6"/>
                <w:sz w:val="24"/>
              </w:rPr>
              <w:object>
                <v:shape id="_x0000_i1063" o:spt="75" type="#_x0000_t75" style="height:18pt;width:48pt;" o:ole="t" filled="f" o:preferrelative="t" stroked="f" coordsize="21600,21600">
                  <v:path/>
                  <v:fill on="f" focussize="0,0"/>
                  <v:stroke on="f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75">
                  <o:LockedField>false</o:LockedField>
                </o:OLEObject>
              </w:object>
            </w:r>
          </w:p>
        </w:tc>
        <w:tc>
          <w:tcPr>
            <w:tcW w:w="1339" w:type="dxa"/>
            <w:noWrap w:val="0"/>
            <w:vAlign w:val="center"/>
          </w:tcPr>
          <w:p w14:paraId="1050C0F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34954429">
      <w:pPr>
        <w:spacing w:line="360" w:lineRule="auto"/>
        <w:rPr>
          <w:sz w:val="24"/>
        </w:rPr>
      </w:pPr>
      <w:r>
        <w:rPr>
          <w:rFonts w:hint="eastAsia"/>
          <w:sz w:val="24"/>
        </w:rPr>
        <w:t>代入上式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11），得：</w:t>
      </w:r>
    </w:p>
    <w:p w14:paraId="40492FA2">
      <w:pPr>
        <w:spacing w:line="360" w:lineRule="auto"/>
        <w:rPr>
          <w:sz w:val="24"/>
        </w:rPr>
      </w:pPr>
      <w:r>
        <w:rPr>
          <w:rFonts w:hint="eastAsia"/>
          <w:sz w:val="24"/>
        </w:rPr>
        <w:t>电子碰撞电离率：</w:t>
      </w:r>
    </w:p>
    <w:p w14:paraId="31B89043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4"/>
          <w:sz w:val="24"/>
        </w:rPr>
        <w:object>
          <v:shape id="_x0000_i1064" o:spt="75" type="#_x0000_t75" style="height:42pt;width:174.0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/>
          <w:sz w:val="24"/>
        </w:rPr>
        <w:t xml:space="preserve">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12）</w:t>
      </w:r>
    </w:p>
    <w:p w14:paraId="4C247FEC">
      <w:pPr>
        <w:spacing w:line="360" w:lineRule="auto"/>
        <w:rPr>
          <w:sz w:val="24"/>
        </w:rPr>
      </w:pPr>
      <w:r>
        <w:rPr>
          <w:rFonts w:hint="eastAsia"/>
          <w:sz w:val="24"/>
        </w:rPr>
        <w:t>空穴碰撞电离率：</w:t>
      </w:r>
    </w:p>
    <w:p w14:paraId="2C3FF812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position w:val="-34"/>
          <w:sz w:val="24"/>
        </w:rPr>
        <w:object>
          <v:shape id="_x0000_i1065" o:spt="75" type="#_x0000_t75" style="height:42pt;width:174.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hint="eastAsia"/>
          <w:sz w:val="24"/>
        </w:rPr>
        <w:t xml:space="preserve">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13）</w:t>
      </w:r>
    </w:p>
    <w:p w14:paraId="61CD78B4">
      <w:pPr>
        <w:spacing w:line="360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4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确定给定反偏电压下的电子和空穴雪崩倍增因子</w:t>
      </w:r>
    </w:p>
    <w:p w14:paraId="44476009">
      <w:pPr>
        <w:spacing w:line="360" w:lineRule="auto"/>
        <w:rPr>
          <w:sz w:val="24"/>
        </w:rPr>
      </w:pPr>
    </w:p>
    <w:p w14:paraId="7FB56132">
      <w:pPr>
        <w:spacing w:line="360" w:lineRule="auto"/>
        <w:rPr>
          <w:sz w:val="24"/>
        </w:rPr>
      </w:pPr>
      <w:r>
        <w:rPr>
          <w:rFonts w:hint="eastAsia"/>
          <w:sz w:val="24"/>
        </w:rPr>
        <w:t>空穴雪崩倍增因子</w:t>
      </w:r>
    </w:p>
    <w:p w14:paraId="5B850480">
      <w:pPr>
        <w:spacing w:line="360" w:lineRule="auto"/>
        <w:jc w:val="right"/>
        <w:rPr>
          <w:sz w:val="24"/>
        </w:rPr>
      </w:pPr>
      <w:r>
        <w:rPr>
          <w:position w:val="-52"/>
          <w:sz w:val="24"/>
        </w:rPr>
        <w:object>
          <v:shape id="_x0000_i1066" o:spt="75" type="#_x0000_t75" style="height:45pt;width:205.8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hint="eastAsia"/>
          <w:sz w:val="24"/>
        </w:rPr>
        <w:t xml:space="preserve">                 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</w:p>
    <w:p w14:paraId="31A4DFED">
      <w:pPr>
        <w:spacing w:line="360" w:lineRule="auto"/>
        <w:rPr>
          <w:sz w:val="24"/>
        </w:rPr>
      </w:pPr>
      <w:r>
        <w:rPr>
          <w:rFonts w:hint="eastAsia"/>
          <w:sz w:val="24"/>
        </w:rPr>
        <w:t>电子雪崩倍增因子</w:t>
      </w:r>
    </w:p>
    <w:p w14:paraId="7B1002F6">
      <w:pPr>
        <w:spacing w:line="360" w:lineRule="auto"/>
        <w:jc w:val="right"/>
        <w:rPr>
          <w:sz w:val="24"/>
        </w:rPr>
      </w:pPr>
      <w:r>
        <w:rPr>
          <w:position w:val="-52"/>
          <w:sz w:val="24"/>
        </w:rPr>
        <w:object>
          <v:shape id="_x0000_i1067" o:spt="75" type="#_x0000_t75" style="height:45pt;width:205.1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eastAsia"/>
          <w:sz w:val="24"/>
        </w:rPr>
        <w:t xml:space="preserve">                </w:t>
      </w:r>
      <w:r>
        <w:rPr>
          <w:rFonts w:hint="eastAsia"/>
          <w:sz w:val="24"/>
          <w:lang w:eastAsia="zh-CN"/>
        </w:rPr>
        <w:t>（</w:t>
      </w:r>
      <w:r>
        <w:rPr>
          <w:sz w:val="24"/>
        </w:rPr>
        <w:t>15</w:t>
      </w:r>
      <w:r>
        <w:rPr>
          <w:rFonts w:hint="eastAsia"/>
          <w:sz w:val="24"/>
        </w:rPr>
        <w:t>）</w:t>
      </w:r>
    </w:p>
    <w:p w14:paraId="52D9FA30">
      <w:pPr>
        <w:spacing w:line="360" w:lineRule="auto"/>
        <w:rPr>
          <w:rFonts w:hAnsi="宋体"/>
          <w:b/>
          <w:color w:val="FF0000"/>
          <w:sz w:val="24"/>
        </w:rPr>
      </w:pPr>
    </w:p>
    <w:p w14:paraId="038763B7">
      <w:pPr>
        <w:spacing w:line="360" w:lineRule="auto"/>
        <w:outlineLvl w:val="2"/>
        <w:rPr>
          <w:rFonts w:eastAsia="Times New Roman"/>
          <w:b/>
          <w:sz w:val="24"/>
        </w:rPr>
      </w:pPr>
      <w:bookmarkStart w:id="1" w:name="_Toc262741418"/>
      <w:r>
        <w:rPr>
          <w:rFonts w:hint="eastAsia"/>
          <w:b/>
          <w:sz w:val="24"/>
        </w:rPr>
        <w:t>附：</w:t>
      </w:r>
      <w:bookmarkEnd w:id="1"/>
      <w:r>
        <w:rPr>
          <w:b/>
          <w:sz w:val="24"/>
        </w:rPr>
        <w:t xml:space="preserve"> </w:t>
      </w:r>
    </w:p>
    <w:p w14:paraId="016F6558">
      <w:pPr>
        <w:spacing w:line="360" w:lineRule="auto"/>
        <w:outlineLvl w:val="2"/>
        <w:rPr>
          <w:rFonts w:eastAsia="Times New Roman"/>
          <w:b/>
          <w:sz w:val="24"/>
        </w:rPr>
      </w:pPr>
      <w:bookmarkStart w:id="2" w:name="_Toc262741419"/>
      <w:r>
        <w:rPr>
          <w:rFonts w:eastAsia="Times New Roman"/>
          <w:b/>
          <w:sz w:val="24"/>
        </w:rPr>
        <w:drawing>
          <wp:inline distT="0" distB="0" distL="114300" distR="114300">
            <wp:extent cx="1282700" cy="228600"/>
            <wp:effectExtent l="0" t="0" r="12700" b="0"/>
            <wp:docPr id="1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25E775FD">
      <w:pPr>
        <w:spacing w:line="360" w:lineRule="auto"/>
        <w:outlineLvl w:val="2"/>
        <w:rPr>
          <w:rFonts w:eastAsia="Times New Roman"/>
          <w:b/>
          <w:sz w:val="24"/>
        </w:rPr>
      </w:pPr>
      <w:bookmarkStart w:id="3" w:name="_Toc262741420"/>
      <w:r>
        <w:rPr>
          <w:rFonts w:eastAsia="Times New Roman"/>
          <w:b/>
          <w:sz w:val="24"/>
        </w:rPr>
        <w:drawing>
          <wp:inline distT="0" distB="0" distL="114300" distR="114300">
            <wp:extent cx="1473200" cy="241300"/>
            <wp:effectExtent l="0" t="0" r="0" b="2540"/>
            <wp:docPr id="1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</w:rPr>
        <w:t>，</w:t>
      </w:r>
      <w:r>
        <w:rPr>
          <w:rFonts w:eastAsia="Times New Roman"/>
          <w:b/>
          <w:sz w:val="24"/>
        </w:rPr>
        <w:drawing>
          <wp:inline distT="0" distB="0" distL="114300" distR="114300">
            <wp:extent cx="698500" cy="228600"/>
            <wp:effectExtent l="0" t="0" r="0" b="0"/>
            <wp:docPr id="1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26F4844C">
      <w:pPr>
        <w:spacing w:line="360" w:lineRule="auto"/>
        <w:outlineLvl w:val="2"/>
        <w:rPr>
          <w:rFonts w:eastAsia="Times New Roman"/>
          <w:b/>
          <w:sz w:val="24"/>
        </w:rPr>
      </w:pPr>
      <w:bookmarkStart w:id="4" w:name="_Toc262741421"/>
      <w:r>
        <w:rPr>
          <w:rFonts w:eastAsia="Times New Roman"/>
          <w:b/>
          <w:sz w:val="24"/>
        </w:rPr>
        <w:drawing>
          <wp:inline distT="0" distB="0" distL="114300" distR="114300">
            <wp:extent cx="1155700" cy="241300"/>
            <wp:effectExtent l="0" t="0" r="2540" b="2540"/>
            <wp:docPr id="1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07247348">
      <w:pPr>
        <w:spacing w:line="360" w:lineRule="auto"/>
        <w:outlineLvl w:val="2"/>
        <w:rPr>
          <w:b/>
          <w:sz w:val="24"/>
        </w:rPr>
      </w:pPr>
      <w:bookmarkStart w:id="5" w:name="_Toc262741422"/>
      <w:r>
        <w:rPr>
          <w:rFonts w:eastAsia="Times New Roman"/>
          <w:b/>
          <w:sz w:val="24"/>
        </w:rPr>
        <w:drawing>
          <wp:inline distT="0" distB="0" distL="114300" distR="114300">
            <wp:extent cx="1016000" cy="419100"/>
            <wp:effectExtent l="0" t="0" r="0" b="6985"/>
            <wp:docPr id="1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r>
        <w:rPr>
          <w:rFonts w:hint="eastAsia"/>
          <w:b/>
          <w:sz w:val="24"/>
        </w:rPr>
        <w:t>e</w:t>
      </w:r>
      <w:r>
        <w:rPr>
          <w:b/>
          <w:sz w:val="24"/>
        </w:rPr>
        <w:t>V</w:t>
      </w:r>
    </w:p>
    <w:p w14:paraId="16F02052">
      <w:pPr>
        <w:outlineLvl w:val="2"/>
        <w:rPr>
          <w:rFonts w:hint="eastAsia"/>
          <w:b/>
          <w:sz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FCF3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025DF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025DF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92551"/>
    <w:multiLevelType w:val="multilevel"/>
    <w:tmpl w:val="16D9255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011A29"/>
    <w:multiLevelType w:val="singleLevel"/>
    <w:tmpl w:val="31011A2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wMTFkMDI3ZjBmZjczM2Q3M2EwOGI5M2VjYzUzMDkifQ=="/>
  </w:docVars>
  <w:rsids>
    <w:rsidRoot w:val="002C443A"/>
    <w:rsid w:val="0002089F"/>
    <w:rsid w:val="00032766"/>
    <w:rsid w:val="0004330F"/>
    <w:rsid w:val="00075F6C"/>
    <w:rsid w:val="000A5175"/>
    <w:rsid w:val="0014284F"/>
    <w:rsid w:val="00152F4E"/>
    <w:rsid w:val="00186C9D"/>
    <w:rsid w:val="001C351E"/>
    <w:rsid w:val="00200B71"/>
    <w:rsid w:val="0021227F"/>
    <w:rsid w:val="0023097E"/>
    <w:rsid w:val="00236155"/>
    <w:rsid w:val="00255DBB"/>
    <w:rsid w:val="00294FD2"/>
    <w:rsid w:val="002A3114"/>
    <w:rsid w:val="002C443A"/>
    <w:rsid w:val="002E5264"/>
    <w:rsid w:val="002E78B7"/>
    <w:rsid w:val="002F40C0"/>
    <w:rsid w:val="00313AEC"/>
    <w:rsid w:val="003342FC"/>
    <w:rsid w:val="00346A6A"/>
    <w:rsid w:val="00367B69"/>
    <w:rsid w:val="00395D94"/>
    <w:rsid w:val="003A4900"/>
    <w:rsid w:val="003D1F82"/>
    <w:rsid w:val="003F7D64"/>
    <w:rsid w:val="0043075A"/>
    <w:rsid w:val="00487E05"/>
    <w:rsid w:val="004B226B"/>
    <w:rsid w:val="004E3F52"/>
    <w:rsid w:val="004E41E8"/>
    <w:rsid w:val="005C43A4"/>
    <w:rsid w:val="005F6186"/>
    <w:rsid w:val="005F68CF"/>
    <w:rsid w:val="006028EA"/>
    <w:rsid w:val="006143FF"/>
    <w:rsid w:val="0061600D"/>
    <w:rsid w:val="006176A4"/>
    <w:rsid w:val="0063306D"/>
    <w:rsid w:val="00673667"/>
    <w:rsid w:val="006A1B8C"/>
    <w:rsid w:val="006A5F05"/>
    <w:rsid w:val="007369E5"/>
    <w:rsid w:val="007464AF"/>
    <w:rsid w:val="007513B0"/>
    <w:rsid w:val="00751795"/>
    <w:rsid w:val="00754593"/>
    <w:rsid w:val="00795C22"/>
    <w:rsid w:val="0083155A"/>
    <w:rsid w:val="00871715"/>
    <w:rsid w:val="00873D73"/>
    <w:rsid w:val="008D53A1"/>
    <w:rsid w:val="00906F62"/>
    <w:rsid w:val="00917BC0"/>
    <w:rsid w:val="009407E5"/>
    <w:rsid w:val="009506D6"/>
    <w:rsid w:val="00982778"/>
    <w:rsid w:val="009B0A67"/>
    <w:rsid w:val="009E318D"/>
    <w:rsid w:val="009E414E"/>
    <w:rsid w:val="00A005CA"/>
    <w:rsid w:val="00A02B94"/>
    <w:rsid w:val="00A60454"/>
    <w:rsid w:val="00A96655"/>
    <w:rsid w:val="00AA567A"/>
    <w:rsid w:val="00AD13E4"/>
    <w:rsid w:val="00AE1435"/>
    <w:rsid w:val="00AE77AE"/>
    <w:rsid w:val="00B075CA"/>
    <w:rsid w:val="00B64245"/>
    <w:rsid w:val="00B7413F"/>
    <w:rsid w:val="00BB3463"/>
    <w:rsid w:val="00BF6EFE"/>
    <w:rsid w:val="00C13F1C"/>
    <w:rsid w:val="00C2117C"/>
    <w:rsid w:val="00C2132F"/>
    <w:rsid w:val="00C33A2C"/>
    <w:rsid w:val="00C55E45"/>
    <w:rsid w:val="00CE543A"/>
    <w:rsid w:val="00D00B44"/>
    <w:rsid w:val="00D152D6"/>
    <w:rsid w:val="00D17CC7"/>
    <w:rsid w:val="00D44032"/>
    <w:rsid w:val="00D52AAE"/>
    <w:rsid w:val="00D703DC"/>
    <w:rsid w:val="00D772C6"/>
    <w:rsid w:val="00DD489C"/>
    <w:rsid w:val="00DF05DA"/>
    <w:rsid w:val="00E26FD7"/>
    <w:rsid w:val="00E43C9B"/>
    <w:rsid w:val="00E770D9"/>
    <w:rsid w:val="00E94F2A"/>
    <w:rsid w:val="00EC1E1B"/>
    <w:rsid w:val="00EC3EFB"/>
    <w:rsid w:val="00EF35DF"/>
    <w:rsid w:val="00F14693"/>
    <w:rsid w:val="00F22C7A"/>
    <w:rsid w:val="00F270D0"/>
    <w:rsid w:val="00F31B83"/>
    <w:rsid w:val="00F5449E"/>
    <w:rsid w:val="00F54895"/>
    <w:rsid w:val="00F816DC"/>
    <w:rsid w:val="00FA6045"/>
    <w:rsid w:val="17D13CA1"/>
    <w:rsid w:val="17D15060"/>
    <w:rsid w:val="1A4E7E7C"/>
    <w:rsid w:val="27E04077"/>
    <w:rsid w:val="3A344D97"/>
    <w:rsid w:val="4B082CD6"/>
    <w:rsid w:val="4B4C0631"/>
    <w:rsid w:val="4FD028FF"/>
    <w:rsid w:val="582470C0"/>
    <w:rsid w:val="58766402"/>
    <w:rsid w:val="597847D9"/>
    <w:rsid w:val="5E706B01"/>
    <w:rsid w:val="60A138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spacing w:line="440" w:lineRule="exact"/>
      <w:ind w:firstLine="420" w:firstLineChars="200"/>
      <w:jc w:val="left"/>
    </w:pPr>
    <w:rPr>
      <w:rFonts w:ascii="宋体" w:hAnsi="Courier New" w:cs="Courier New"/>
      <w:szCs w:val="21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qFormat/>
    <w:uiPriority w:val="0"/>
    <w:rPr>
      <w:color w:val="0563C1"/>
      <w:u w:val="single"/>
    </w:rPr>
  </w:style>
  <w:style w:type="character" w:customStyle="1" w:styleId="9">
    <w:name w:val="页脚 Char"/>
    <w:link w:val="3"/>
    <w:autoRedefine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autoRedefine/>
    <w:qFormat/>
    <w:uiPriority w:val="0"/>
    <w:rPr>
      <w:kern w:val="2"/>
      <w:sz w:val="18"/>
      <w:szCs w:val="18"/>
    </w:rPr>
  </w:style>
  <w:style w:type="paragraph" w:customStyle="1" w:styleId="11">
    <w:name w:val="表格字体"/>
    <w:basedOn w:val="1"/>
    <w:qFormat/>
    <w:uiPriority w:val="0"/>
    <w:pPr>
      <w:spacing w:line="264" w:lineRule="auto"/>
      <w:jc w:val="center"/>
    </w:pPr>
    <w:rPr>
      <w:rFonts w:eastAsia="黑体" w:cs="Times New Roman"/>
      <w:szCs w:val="22"/>
    </w:rPr>
  </w:style>
  <w:style w:type="character" w:customStyle="1" w:styleId="12">
    <w:name w:val="_Style 11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numbering" Target="numbering.xml"/><Relationship Id="rId90" Type="http://schemas.openxmlformats.org/officeDocument/2006/relationships/customXml" Target="../customXml/item1.xml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image" Target="media/image41.wmf"/><Relationship Id="rId87" Type="http://schemas.openxmlformats.org/officeDocument/2006/relationships/image" Target="media/image40.wmf"/><Relationship Id="rId86" Type="http://schemas.openxmlformats.org/officeDocument/2006/relationships/image" Target="media/image39.wmf"/><Relationship Id="rId85" Type="http://schemas.openxmlformats.org/officeDocument/2006/relationships/image" Target="media/image38.wmf"/><Relationship Id="rId84" Type="http://schemas.openxmlformats.org/officeDocument/2006/relationships/image" Target="media/image37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0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oleObject" Target="embeddings/oleObject34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image" Target="media/image1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oleObject" Target="embeddings/oleObject28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njupt</Company>
  <Pages>5</Pages>
  <Words>1096</Words>
  <Characters>1304</Characters>
  <Lines>25</Lines>
  <Paragraphs>7</Paragraphs>
  <TotalTime>15</TotalTime>
  <ScaleCrop>false</ScaleCrop>
  <LinksUpToDate>false</LinksUpToDate>
  <CharactersWithSpaces>1637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2019-01-18T09:12:00Z</dcterms:created>
  <dc:creator>fym</dc:creator>
  <cp:lastModifiedBy>方玉明</cp:lastModifiedBy>
  <dcterms:modified xsi:type="dcterms:W3CDTF">2026-06-20T11:05:36Z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45F9526E1DD1492191C5161D2A30BF99_13</vt:lpwstr>
  </property>
  <property fmtid="{D5CDD505-2E9C-101B-9397-08002B2CF9AE}" pid="4" name="KSOTemplateDocerSaveRecord">
    <vt:lpwstr>eyJoZGlkIjoiNDUwMTFkMDI3ZjBmZjczM2Q3M2EwOGI5M2VjYzUzMDkiLCJ1c2VySWQiOiIxNDc5NTIwMTAyIn0=</vt:lpwstr>
  </property>
</Properties>
</file>