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 w:line="276" w:lineRule="auto"/>
        <w:jc w:val="center"/>
      </w:pPr>
      <w:r>
        <w:rPr>
          <w:b/>
          <w:color w:val="1B365D"/>
          <w:sz w:val="36"/>
        </w:rPr>
        <w:t>Polymarket 自动化交易系统：策略升级技术说明书</w:t>
      </w:r>
    </w:p>
    <w:p>
      <w:pPr>
        <w:spacing w:before="0" w:after="480" w:line="276" w:lineRule="auto"/>
        <w:jc w:val="center"/>
      </w:pPr>
      <w:r>
        <w:rPr>
          <w:color w:val="555555"/>
          <w:sz w:val="24"/>
        </w:rPr>
        <w:t>基于 BTC 15m 价格区间支撑与阻力位（S/R）的过滤升级</w:t>
      </w:r>
    </w:p>
    <w:p>
      <w:pPr>
        <w:spacing w:before="0" w:after="480" w:line="276" w:lineRule="auto"/>
        <w:jc w:val="center"/>
      </w:pPr>
      <w:r>
        <w:rPr>
          <w:i/>
          <w:sz w:val="19"/>
        </w:rPr>
        <w:t>升级时间：2026年07月07日  |  策略引擎：LowBuyDoubleEngine (v1.2)  |  状态：测试通过</w:t>
      </w:r>
    </w:p>
    <w:p>
      <w:pPr>
        <w:spacing w:before="360" w:after="160" w:line="276" w:lineRule="auto"/>
      </w:pPr>
      <w:r>
        <w:rPr>
          <w:b/>
          <w:color w:val="1B365D"/>
          <w:sz w:val="28"/>
        </w:rPr>
        <w:t>一、 背景与升级动因</w:t>
      </w:r>
    </w:p>
    <w:p>
      <w:pPr>
        <w:spacing w:before="0" w:after="120" w:line="276" w:lineRule="auto"/>
      </w:pPr>
      <w:r>
        <w:t>在 Polymarket BTC-UpDown-15m 预测市场交易中，系统原先运行的 LowBuy（低买翻倍）策略纯粹依赖盘口深度、OBI（订单簿不平衡度）和短线跌幅。虽然原有的安全升级对单边暴跌砸盘和买盘过热进行了解耦拦截，但在微观价格行为上，仍存在一个严重的死角：</w:t>
      </w:r>
    </w:p>
    <w:p>
      <w:pPr>
        <w:spacing w:before="0" w:after="120" w:line="276" w:lineRule="auto"/>
      </w:pPr>
      <w:r>
        <w:t>当 BTC 现货价格正好触及强大的短期支撑位时，盘口可能会因为短暂的恐慌抛售导致本侧 Down（看跌）合约价格变得极度便宜（如跌至 32¢-34¢），触发 LowBuy 的入场扫描。然而，在支撑位上 BTC 大概率会迎来超跌反弹，此时买入看跌（Down）合约等同于在行情即将见底反弹的前夕做空，具有极高的接飞刀止损风险。为了彻底拦截这类结构性反向入场，我们需要赋予策略引擎“宏观价格结构位置感知”的能力。</w:t>
      </w:r>
    </w:p>
    <w:p>
      <w:pPr>
        <w:spacing w:before="360" w:after="160" w:line="276" w:lineRule="auto"/>
      </w:pPr>
      <w:r>
        <w:rPr>
          <w:b/>
          <w:color w:val="1B365D"/>
          <w:sz w:val="28"/>
        </w:rPr>
        <w:t>二、 架构设计：为什么不是“提前预测买下一期”？</w:t>
      </w:r>
    </w:p>
    <w:p>
      <w:pPr>
        <w:spacing w:before="0" w:after="120" w:line="276" w:lineRule="auto"/>
      </w:pPr>
      <w:r>
        <w:t>在最初的设想中，我们曾考虑使用支撑和阻力指标，提前预判下一期窗口（例如在 14:55 预测 15:00 窗口）的涨跌并提前建仓。然而，通过深入的技术分析，这套方案存在一个致命的数学陷阱：</w:t>
      </w:r>
    </w:p>
    <w:p>
      <w:pPr>
        <w:spacing w:before="120" w:after="80" w:line="276" w:lineRule="auto"/>
      </w:pPr>
      <w:r>
        <w:rPr>
          <w:b/>
          <w:color w:val="C0392B"/>
        </w:rPr>
        <w:t>■ 动态行权价锁定机制（Strike Neutralization Trap）</w:t>
      </w:r>
    </w:p>
    <w:p>
      <w:pPr>
        <w:spacing w:before="0" w:after="120" w:line="276" w:lineRule="auto"/>
      </w:pPr>
      <w:r>
        <w:t>Polymarket 15分钟区间合约的行权价（Reference Price），是在该窗口开始的瞬间（如 15:00:00）锁定的当时现货价格。如果你在 14:55（BTC 处于支撑位 $109,500）提前买入 15:00 窗口的 UP 合约，到 15:00 开盘时，BTC 现货已反弹至 $110,000 并以此作为行权价锁定。你在支撑位买入所带来的“反弹向上几率大”的方向性优势，已被行权价同步上移完全抵消。</w:t>
      </w:r>
    </w:p>
    <w:p>
      <w:pPr>
        <w:spacing w:before="0" w:after="120" w:line="276" w:lineRule="auto"/>
      </w:pPr>
      <w:r>
        <w:t>因此，最佳的策略融合方案，是将支撑和阻力位（S/R）作为 运行中活跃窗口 的入场校验过滤器。当 LowBuy 策略在剩余 10-14 分钟进行低吸扫描时，通过计算 BTC 现货价格相对近期 S/R 区间的分位数（Quantile Position），决定是否拦截反向建仓。</w:t>
      </w:r>
    </w:p>
    <w:p>
      <w:pPr>
        <w:spacing w:before="360" w:after="160" w:line="276" w:lineRule="auto"/>
      </w:pPr>
      <w:r>
        <w:rPr>
          <w:b/>
          <w:color w:val="1B365D"/>
          <w:sz w:val="28"/>
        </w:rPr>
        <w:t>三、 算法实现与核心代码</w:t>
      </w:r>
    </w:p>
    <w:p>
      <w:pPr>
        <w:spacing w:before="0" w:after="120" w:line="276" w:lineRule="auto"/>
      </w:pPr>
      <w:r>
        <w:t>我们在 src/trading/lowbuy_double.py 中实现了以下升级：</w:t>
      </w:r>
    </w:p>
    <w:p>
      <w:pPr>
        <w:spacing w:before="120" w:after="80" w:line="276" w:lineRule="auto"/>
      </w:pPr>
      <w:r>
        <w:rPr>
          <w:b/>
          <w:color w:val="2980B9"/>
        </w:rPr>
        <w:t>1. 支撑位与阻力位（S/R）位置计算</w:t>
      </w:r>
    </w:p>
    <w:p>
      <w:pPr>
        <w:spacing w:before="0" w:after="120" w:line="276" w:lineRule="auto"/>
      </w:pPr>
      <w:r>
        <w:t>通过提取 _quote_history 中积累的历史 bid/ask 中间价，我们动态还原出最近 4 个窗口（约 1 小时）的 BTC 现货运行轨迹，计算其最高价（阻力位 Resistance）与最低价（支撑位 Support），并折算出当前现货价格所处的分位数百分比（sr_pos，区间为 [0.0, 1.0]）：</w:t>
      </w:r>
    </w:p>
    <w:p>
      <w:pPr>
        <w:spacing w:before="120" w:after="80" w:line="276" w:lineRule="auto"/>
      </w:pPr>
      <w:r>
        <w:rPr>
          <w:b/>
          <w:color w:val="2980B9"/>
        </w:rPr>
        <w:t>2. 强力入场过滤防护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候选方向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BTC 现货位置 (S/R 分位数)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交易决策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jc w:val="center"/>
            </w:pPr>
            <w:r>
              <w:rPr>
                <w:b/>
                <w:color w:val="FFFFFF"/>
              </w:rPr>
              <w:t>技术原理解释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UP / YES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&gt; 0.75 (阻力区)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rPr>
                <w:b/>
                <w:color w:val="C0392B"/>
              </w:rPr>
              <w:t>❌ 拦截并跳过入场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BTC 已逼近或处于阻力位，极易冲高回落，此时不买涨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DOWN / NO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&lt; 0.25 (支撑区)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b/>
                <w:color w:val="C0392B"/>
              </w:rPr>
              <w:t>❌ 拦截并跳过入场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t>BTC 触及强支撑位，大概率触底反弹，此时不买跌</w:t>
            </w:r>
          </w:p>
        </w:tc>
      </w:tr>
    </w:tbl>
    <w:p>
      <w:pPr>
        <w:spacing w:before="360" w:after="160" w:line="276" w:lineRule="auto"/>
      </w:pPr>
      <w:r>
        <w:rPr>
          <w:b/>
          <w:color w:val="1B365D"/>
          <w:sz w:val="28"/>
        </w:rPr>
        <w:t>四、 测试验证与上线准备</w:t>
      </w:r>
    </w:p>
    <w:p>
      <w:pPr>
        <w:spacing w:before="0" w:after="120" w:line="276" w:lineRule="auto"/>
      </w:pPr>
      <w:r>
        <w:t>修改完成后，我们执行了本地测试与编译验证：</w:t>
      </w:r>
    </w:p>
    <w:p>
      <w:pPr>
        <w:pStyle w:val="ListBullet"/>
        <w:spacing w:after="40"/>
      </w:pPr>
      <w:r>
        <w:rPr>
          <w:b/>
        </w:rPr>
        <w:t>编译检查：</w:t>
      </w:r>
      <w:r>
        <w:t>执行 python -m py_compile src/trading/lowbuy_double.py 编译无任何语法错误。</w:t>
      </w:r>
    </w:p>
    <w:p>
      <w:pPr>
        <w:pStyle w:val="ListBullet"/>
        <w:spacing w:after="40"/>
      </w:pPr>
      <w:r>
        <w:rPr>
          <w:b/>
        </w:rPr>
        <w:t>单元测试：</w:t>
      </w:r>
      <w:r>
        <w:t>运行 pytest /mnt/local/polymarket_web/tests/test_lowbuy_double_strategy.py 测试套件完美通过。</w:t>
      </w:r>
    </w:p>
    <w:p>
      <w:pPr>
        <w:pStyle w:val="ListBullet"/>
        <w:spacing w:after="160"/>
      </w:pPr>
      <w:r>
        <w:rPr>
          <w:b/>
        </w:rPr>
        <w:t>实盘展望：</w:t>
      </w:r>
      <w:r>
        <w:t>策略部署上线后，我们将重点监控 BTC 15m 价格突变时，S/R 支撑阻力拦截器的实际阻断表现。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