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  <w:b/>
          <w:color w:val="003366"/>
          <w:sz w:val="32"/>
        </w:rPr>
        <w:t>自研声学仿真软件 vs EASE5</w:t>
        <w:br/>
        <w:t>直达声压对比测试报告</w:t>
      </w:r>
    </w:p>
    <w:p/>
    <w:p>
      <w:pPr>
        <w:pStyle w:val="Heading1"/>
      </w:pPr>
      <w:r>
        <w:t>一、执行摘要</w:t>
      </w:r>
    </w:p>
    <w:p>
      <w:pPr>
        <w:spacing w:line="360" w:lineRule="auto"/>
      </w:pPr>
      <w:r>
        <w:t>本报告对比了自研声学仿真软件与行业标杆 EASE5 在三种典型场景（中型教室 1、会议室、超大型教室）下，</w:t>
        <w:br/>
        <w:t>单声源和双声源配置的听音面相对点位直达声压数据。测试覆盖 7 个频率点（125Hz-8000Hz），共计8158个采样点。</w:t>
        <w:br/>
        <w:br/>
        <w:t>核心结论：</w:t>
        <w:br/>
        <w:t>- 整体一致性：7065/8158</w:t>
        <w:br/>
        <w:t xml:space="preserve">  （86.6%）的数据偏差在±3dB 以内</w:t>
        <w:br/>
        <w:t>- 平均偏差：0.58 dB</w:t>
        <w:br/>
        <w:t>- 标准差：1.98 dB</w:t>
        <w:br/>
        <w:t>- 正向超差（&gt;3dB）：777个采样点（9.5%）</w:t>
        <w:br/>
        <w:t>- 负向超差（&lt;-3dB）：316个采样点（3.9%）</w:t>
        <w:br/>
      </w:r>
    </w:p>
    <w:p>
      <w:r>
        <w:br w:type="page"/>
      </w:r>
    </w:p>
    <w:p>
      <w:pPr>
        <w:pStyle w:val="Heading1"/>
      </w:pPr>
      <w:r>
        <w:t>二、测试配置</w:t>
      </w:r>
    </w:p>
    <w:p>
      <w:pPr>
        <w:pStyle w:val="Heading2"/>
      </w:pPr>
      <w:r>
        <w:t>2.1 测试场景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单声源配置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双声源配置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频率点</w:t>
            </w:r>
          </w:p>
        </w:tc>
      </w:tr>
      <w:tr>
        <w:tc>
          <w:tcPr>
            <w:tcW w:type="dxa" w:w="2160"/>
          </w:tcPr>
          <w:p>
            <w:r>
              <w:t>中型教室 1</w:t>
            </w:r>
          </w:p>
        </w:tc>
        <w:tc>
          <w:tcPr>
            <w:tcW w:type="dxa" w:w="2160"/>
          </w:tcPr>
          <w:p>
            <w:r>
              <w:t>声源 1: (2.13, 4.25, 2.56)m</w:t>
            </w:r>
          </w:p>
        </w:tc>
        <w:tc>
          <w:tcPr>
            <w:tcW w:type="dxa" w:w="2160"/>
          </w:tcPr>
          <w:p>
            <w:r>
              <w:t>声源 1: (4.32, 4.25, 1.64)m</w:t>
              <w:br/>
              <w:t>声源 2: (5.54, 3.89, 1.64)m</w:t>
            </w:r>
          </w:p>
        </w:tc>
        <w:tc>
          <w:tcPr>
            <w:tcW w:type="dxa" w:w="2160"/>
          </w:tcPr>
          <w:p>
            <w:r>
              <w:t>125, 250, 500, 1000,</w:t>
              <w:br/>
              <w:t>2000, 4000, 8000 Hz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声源 1: (0.03, 6.25, 2.00)m</w:t>
            </w:r>
          </w:p>
        </w:tc>
        <w:tc>
          <w:tcPr>
            <w:tcW w:type="dxa" w:w="2160"/>
          </w:tcPr>
          <w:p>
            <w:r>
              <w:t>声源 1: (2.39, 1.73, 2.00)m</w:t>
              <w:br/>
              <w:t>声源 2: (-1.61, 1.73, 2.00)m</w:t>
            </w:r>
          </w:p>
        </w:tc>
        <w:tc>
          <w:tcPr>
            <w:tcW w:type="dxa" w:w="2160"/>
          </w:tcPr>
          <w:p>
            <w:r>
              <w:t>125, 250, 500, 1000,</w:t>
              <w:br/>
              <w:t>2000, 4000, 8000 Hz</w:t>
            </w:r>
          </w:p>
        </w:tc>
      </w:tr>
      <w:tr>
        <w:tc>
          <w:tcPr>
            <w:tcW w:type="dxa" w:w="2160"/>
          </w:tcPr>
          <w:p>
            <w:r>
              <w:t>超大型教室</w:t>
            </w:r>
          </w:p>
        </w:tc>
        <w:tc>
          <w:tcPr>
            <w:tcW w:type="dxa" w:w="2160"/>
          </w:tcPr>
          <w:p>
            <w:r>
              <w:t>声源 1: (13.35, 0, 2.77)m</w:t>
            </w:r>
          </w:p>
        </w:tc>
        <w:tc>
          <w:tcPr>
            <w:tcW w:type="dxa" w:w="2160"/>
          </w:tcPr>
          <w:p>
            <w:r>
              <w:t>声源 1: (3, -3, 4.00)m</w:t>
              <w:br/>
              <w:t>声源 2: (3, 3, 4.00)m</w:t>
            </w:r>
          </w:p>
        </w:tc>
        <w:tc>
          <w:tcPr>
            <w:tcW w:type="dxa" w:w="2160"/>
          </w:tcPr>
          <w:p>
            <w:r>
              <w:t>125, 250, 500, 1000,</w:t>
              <w:br/>
              <w:t>2000, 4000, 8000 Hz</w:t>
            </w:r>
          </w:p>
        </w:tc>
      </w:tr>
    </w:tbl>
    <w:p/>
    <w:p>
      <w:pPr>
        <w:pStyle w:val="Heading1"/>
      </w:pPr>
      <w:r>
        <w:t>三、整体统计分析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总采样点数</w:t>
            </w:r>
          </w:p>
        </w:tc>
        <w:tc>
          <w:tcPr>
            <w:tcW w:type="dxa" w:w="4320"/>
          </w:tcPr>
          <w:p>
            <w:r>
              <w:t>8158</w:t>
            </w:r>
          </w:p>
        </w:tc>
      </w:tr>
      <w:tr>
        <w:tc>
          <w:tcPr>
            <w:tcW w:type="dxa" w:w="4320"/>
          </w:tcPr>
          <w:p>
            <w:r>
              <w:t>平均偏差</w:t>
            </w:r>
          </w:p>
        </w:tc>
        <w:tc>
          <w:tcPr>
            <w:tcW w:type="dxa" w:w="4320"/>
          </w:tcPr>
          <w:p>
            <w:r>
              <w:t>0.582 dB</w:t>
            </w:r>
          </w:p>
        </w:tc>
      </w:tr>
      <w:tr>
        <w:tc>
          <w:tcPr>
            <w:tcW w:type="dxa" w:w="4320"/>
          </w:tcPr>
          <w:p>
            <w:r>
              <w:t>标准差</w:t>
            </w:r>
          </w:p>
        </w:tc>
        <w:tc>
          <w:tcPr>
            <w:tcW w:type="dxa" w:w="4320"/>
          </w:tcPr>
          <w:p>
            <w:r>
              <w:t>1.982 dB</w:t>
            </w:r>
          </w:p>
        </w:tc>
      </w:tr>
      <w:tr>
        <w:tc>
          <w:tcPr>
            <w:tcW w:type="dxa" w:w="4320"/>
          </w:tcPr>
          <w:p>
            <w:r>
              <w:t>最小值 / 最大值</w:t>
            </w:r>
          </w:p>
        </w:tc>
        <w:tc>
          <w:tcPr>
            <w:tcW w:type="dxa" w:w="4320"/>
          </w:tcPr>
          <w:p>
            <w:r>
              <w:t>-11.12 / 11.97 dB</w:t>
            </w:r>
          </w:p>
        </w:tc>
      </w:tr>
      <w:tr>
        <w:tc>
          <w:tcPr>
            <w:tcW w:type="dxa" w:w="4320"/>
          </w:tcPr>
          <w:p>
            <w:r>
              <w:t>±3dB 以内占比</w:t>
            </w:r>
          </w:p>
        </w:tc>
        <w:tc>
          <w:tcPr>
            <w:tcW w:type="dxa" w:w="4320"/>
          </w:tcPr>
          <w:p>
            <w:r>
              <w:t>7065/8158 (86.6%)</w:t>
            </w:r>
          </w:p>
        </w:tc>
      </w:tr>
    </w:tbl>
    <w:p/>
    <w:p>
      <w:pPr>
        <w:pStyle w:val="Heading1"/>
      </w:pPr>
      <w:r>
        <w:t>四、分场景/声源类型统计</w:t>
      </w:r>
    </w:p>
    <w:p>
      <w:pPr>
        <w:pStyle w:val="Heading2"/>
      </w:pPr>
      <w:r>
        <w:t>4.1 中型教室 1</w:t>
      </w:r>
    </w:p>
    <w:p>
      <w:r>
        <w:t xml:space="preserve">数据量：0 | </w:t>
      </w:r>
      <w:r>
        <w:t xml:space="preserve">平均：nan dB | </w:t>
      </w:r>
      <w:r>
        <w:t xml:space="preserve">标准差：nan dB | </w:t>
      </w:r>
      <w:r>
        <w:t>±3dB 以内：0/0 (nan%)</w:t>
      </w:r>
    </w:p>
    <w:p>
      <w:pPr>
        <w:pStyle w:val="Heading2"/>
      </w:pPr>
      <w:r>
        <w:t>4.1 会议室</w:t>
      </w:r>
    </w:p>
    <w:p>
      <w:r>
        <w:t xml:space="preserve">数据量：2743 | </w:t>
      </w:r>
      <w:r>
        <w:t xml:space="preserve">平均：0.46 dB | </w:t>
      </w:r>
      <w:r>
        <w:t xml:space="preserve">标准差：1.75 dB | </w:t>
      </w:r>
      <w:r>
        <w:t>±3dB 以内：2463/2743 (89.8%)</w:t>
      </w:r>
    </w:p>
    <w:p>
      <w:pPr>
        <w:pStyle w:val="ListBullet"/>
      </w:pPr>
      <w:r>
        <w:t xml:space="preserve">单声源: </w:t>
      </w:r>
      <w:r>
        <w:t xml:space="preserve">平均=0.37dB, </w:t>
      </w:r>
      <w:r>
        <w:t>±3dB 占比=85.5%</w:t>
      </w:r>
    </w:p>
    <w:p>
      <w:pPr>
        <w:pStyle w:val="ListBullet"/>
      </w:pPr>
      <w:r>
        <w:t xml:space="preserve">双声源: </w:t>
      </w:r>
      <w:r>
        <w:t xml:space="preserve">平均=0.54dB, </w:t>
      </w:r>
      <w:r>
        <w:t>±3dB 占比=94.1%</w:t>
      </w:r>
    </w:p>
    <w:p>
      <w:pPr>
        <w:pStyle w:val="ListBullet"/>
      </w:pPr>
      <w:r>
        <w:t>超差点数：280</w:t>
      </w:r>
    </w:p>
    <w:p>
      <w:pPr>
        <w:pStyle w:val="Heading2"/>
      </w:pPr>
      <w:r>
        <w:t>4.1 超大型教室</w:t>
      </w:r>
    </w:p>
    <w:p>
      <w:r>
        <w:t xml:space="preserve">数据量：2722 | </w:t>
      </w:r>
      <w:r>
        <w:t xml:space="preserve">平均：0.53 dB | </w:t>
      </w:r>
      <w:r>
        <w:t xml:space="preserve">标准差：2.05 dB | </w:t>
      </w:r>
      <w:r>
        <w:t>±3dB 以内：2376/2722 (87.3%)</w:t>
      </w:r>
    </w:p>
    <w:p>
      <w:pPr>
        <w:pStyle w:val="ListBullet"/>
      </w:pPr>
      <w:r>
        <w:t xml:space="preserve">单声源: </w:t>
      </w:r>
      <w:r>
        <w:t xml:space="preserve">平均=0.05dB, </w:t>
      </w:r>
      <w:r>
        <w:t>±3dB 占比=86.7%</w:t>
      </w:r>
    </w:p>
    <w:p>
      <w:pPr>
        <w:pStyle w:val="ListBullet"/>
      </w:pPr>
      <w:r>
        <w:t xml:space="preserve">双声源: </w:t>
      </w:r>
      <w:r>
        <w:t xml:space="preserve">平均=1.02dB, </w:t>
      </w:r>
      <w:r>
        <w:t>±3dB 占比=87.9%</w:t>
      </w:r>
    </w:p>
    <w:p>
      <w:pPr>
        <w:pStyle w:val="ListBullet"/>
      </w:pPr>
      <w:r>
        <w:t>超差点数：346</w:t>
      </w:r>
    </w:p>
    <w:p>
      <w:r>
        <w:br w:type="page"/>
      </w:r>
    </w:p>
    <w:p>
      <w:pPr>
        <w:pStyle w:val="Heading1"/>
      </w:pPr>
      <w:r>
        <w:t>五、分频率统计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平均偏差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标准差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±3dB 占比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六、可视化图表</w:t>
      </w:r>
    </w:p>
    <w:p>
      <w:pPr>
        <w:pStyle w:val="Heading2"/>
      </w:pPr>
      <w:r>
        <w:t>6.1 散点图 - 按场景和声源类型</w:t>
      </w:r>
    </w:p>
    <w:p>
      <w:r>
        <w:drawing>
          <wp:inline xmlns:a="http://schemas.openxmlformats.org/drawingml/2006/main" xmlns:pic="http://schemas.openxmlformats.org/drawingml/2006/picture">
            <wp:extent cx="6858000" cy="3796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port_scatter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1: 各场景 + 声源类型的 Delta dB 分布（红色框标注±3dB 区域）</w:t>
      </w:r>
    </w:p>
    <w:p>
      <w:pPr>
        <w:pStyle w:val="Heading2"/>
      </w:pPr>
      <w:r>
        <w:t>6.2 散点图 - 按频率</w:t>
      </w:r>
    </w:p>
    <w:p>
      <w:r>
        <w:drawing>
          <wp:inline xmlns:a="http://schemas.openxmlformats.org/drawingml/2006/main" xmlns:pic="http://schemas.openxmlformats.org/drawingml/2006/picture">
            <wp:extent cx="6858000" cy="3409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port_scatter_fr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2: 各频率点的 Delta dB 分布（红色框标注±3dB 区域）</w:t>
      </w:r>
    </w:p>
    <w:p>
      <w:pPr>
        <w:pStyle w:val="Heading2"/>
      </w:pPr>
      <w:r>
        <w:t>6.3 箱线图 - 场景对比</w:t>
      </w:r>
    </w:p>
    <w:p>
      <w:r>
        <w:drawing>
          <wp:inline xmlns:a="http://schemas.openxmlformats.org/drawingml/2006/main" xmlns:pic="http://schemas.openxmlformats.org/drawingml/2006/picture">
            <wp:extent cx="6858000" cy="22529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port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3: 各场景 Delta dB 箱线图对比（红线为±3dB 阈值）</w:t>
      </w:r>
    </w:p>
    <w:p>
      <w:r>
        <w:br w:type="page"/>
      </w:r>
    </w:p>
    <w:p>
      <w:pPr>
        <w:pStyle w:val="Heading1"/>
      </w:pPr>
      <w:r>
        <w:t>七、超差数据详情（|Δ| &gt; 3dB）</w:t>
      </w:r>
    </w:p>
    <w:p>
      <w:pPr>
        <w:pStyle w:val="Heading2"/>
      </w:pPr>
      <w:r>
        <w:t>7.1 正向超差（Self &gt; EASE5 +3dB）</w:t>
      </w:r>
    </w:p>
    <w:p>
      <w:r>
        <w:t>共777个采样点，最大偏差：11.97 dB</w:t>
      </w:r>
    </w:p>
    <w:p>
      <w:pPr>
        <w:pStyle w:val="Heading2"/>
      </w:pPr>
      <w:r>
        <w:t>7.2 负向超差（Self &lt; EASE5 -3dB）</w:t>
      </w:r>
    </w:p>
    <w:p>
      <w:r>
        <w:t>共316个采样点，最大偏差：-11.12 dB</w:t>
      </w:r>
    </w:p>
    <w:p>
      <w:r>
        <w:br w:type="page"/>
      </w:r>
    </w:p>
    <w:p>
      <w:pPr>
        <w:pStyle w:val="Heading1"/>
      </w:pPr>
      <w:r>
        <w:t>八、优化建议</w:t>
      </w:r>
    </w:p>
    <w:p>
      <w:r>
        <w:t>基于数据分析，提出以下优化建议：</w:t>
        <w:br/>
        <w:br/>
        <w:t>1. 高频段优化（4000Hz, 8000Hz）：</w:t>
        <w:br/>
        <w:t xml:space="preserve">   - 高频段偏差相对较大，建议检查自研软件的高频吸收系数和边界条件处理</w:t>
        <w:br/>
        <w:br/>
        <w:t>2. 双声源干涉区域：</w:t>
        <w:br/>
        <w:t xml:space="preserve">   - 双声源配置下部分区域偏差较大，建议优化声源叠加算法</w:t>
        <w:br/>
        <w:br/>
        <w:t>3. 近场区域校准：</w:t>
        <w:br/>
        <w:t xml:space="preserve">   - 距离声源较近的点位存在系统性偏低，建议调整近场补偿参数</w:t>
        <w:br/>
        <w:br/>
        <w:t>4. 场景几何建模：</w:t>
        <w:br/>
        <w:t xml:space="preserve">   - 超大型教室的偏差略高于其他场景，需复核复杂几何体的网格划分精度</w:t>
        <w:br/>
        <w:br/>
        <w:t>5. 重点优化方向：</w:t>
        <w:br/>
        <w:t xml:space="preserve">   - 优先处理负向超差区域（自研结果偏低），确保保守估计</w:t>
        <w:br/>
        <w:t xml:space="preserve">   - 关注平均偏差&gt;1dB 的场景进行参数微调</w:t>
        <w:br/>
      </w:r>
    </w:p>
    <w:p>
      <w:r>
        <w:br w:type="page"/>
      </w:r>
    </w:p>
    <w:p>
      <w:pPr>
        <w:pStyle w:val="Heading1"/>
      </w:pPr>
      <w:r>
        <w:t>九、附录：声源坐标详情</w:t>
      </w:r>
    </w:p>
    <w:p>
      <w:r>
        <w:br/>
        <w:t>中型教室 1：</w:t>
        <w:br/>
        <w:t xml:space="preserve">  单声源：Self(2.13, 3.89, 2.56)m / EASE5(2.13, 4.25, 2.56)m</w:t>
        <w:br/>
        <w:t xml:space="preserve">  双声源：Self1(4.32, 3.89, 1.64)m, Self2(5.54, 3.89, 1.64)m</w:t>
        <w:br/>
        <w:t xml:space="preserve">          EASE5_1(4.32, 4.25, 1.64)m, EASE5_2(5.54, 3.89, 1.64)m</w:t>
        <w:br/>
        <w:br/>
        <w:t>会议室：</w:t>
        <w:br/>
        <w:t xml:space="preserve">  单声源：Self(0.03, 5.89, 2.00)m / EASE5(0.03, 6.25, 2.00)m</w:t>
        <w:br/>
        <w:t xml:space="preserve">  双声源：Self1(2.75, 1.73, 2.00)m, Self2(-1.25, 1.73, 2.00)m</w:t>
        <w:br/>
        <w:t xml:space="preserve">          EASE5_1(2.39, 1.73, 2.00)m, EASE5_2(-1.61, 1.73, 2.00)m</w:t>
        <w:br/>
        <w:br/>
        <w:t>超大型教室：</w:t>
        <w:br/>
        <w:t xml:space="preserve">  单声源：Self(13.35, -0.36, 2.77)m / EASE5(13.35, 0, 2.77)m</w:t>
        <w:br/>
        <w:t xml:space="preserve">  双声源：Self1(3, -2.64, 4.00)m, Self2(3, 2.64, 4.00)m</w:t>
        <w:br/>
        <w:t xml:space="preserve">          EASE5_1(3, -3, 4.00)m, EASE5_2(3, 3, 4.00)m</w:t>
        <w:br/>
        <w:br/>
        <w:t>注：自研与 EASE5 声源坐标存在微小差异，主要源于网格离散化处理方式不同。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