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数字人教师慕课生成系统</w:t>
      </w:r>
    </w:p>
    <w:p>
      <w:pPr>
        <w:pStyle w:val="Subtitle"/>
      </w:pPr>
      <w:r>
        <w:t>需求规格说明书</w:t>
      </w:r>
    </w:p>
    <w:p>
      <w:pPr>
        <w:widowControl/>
      </w:pPr>
      <w:r>
        <w:rPr>
          <w:b w:val="0"/>
          <w:sz w:val="20"/>
        </w:rPr>
        <w:t>版本：V1.0    编制日期：2026年10月1日    适用阶段：原型开发与首版验收</w:t>
      </w:r>
    </w:p>
    <w:p>
      <w:pPr>
        <w:pStyle w:val="Heading1"/>
      </w:pPr>
      <w:r>
        <w:t>1 项目概述</w:t>
      </w:r>
    </w:p>
    <w:p>
      <w:pPr>
        <w:widowControl/>
      </w:pPr>
      <w:r>
        <w:rPr>
          <w:b w:val="0"/>
        </w:rPr>
        <w:t>本项目建设一套数字人教师慕课生成系统。用户上传老师的一张照片或一段视频、课程PPT和一段参考语音，系统依据课件生成逐页讲稿，使用与该老师音色相近的合成语音驱动数字人讲解，最终输出包含课件画面、教师形象和同步字幕的课程视频。</w:t>
      </w:r>
    </w:p>
    <w:p>
      <w:pPr>
        <w:widowControl/>
      </w:pPr>
      <w:r>
        <w:rPr>
          <w:b w:val="0"/>
        </w:rPr>
        <w:t>文档规定首版产品的功能范围、输入输出、业务规则、非功能要求和验收方式，并给出可落地的工程技术路线，供项目设计、开发、测试和评审使用。</w:t>
      </w:r>
    </w:p>
    <w:p>
      <w:pPr>
        <w:pStyle w:val="Heading2"/>
      </w:pPr>
      <w:r>
        <w:t>建设目标</w:t>
      </w:r>
    </w:p>
    <w:p>
      <w:pPr>
        <w:pStyle w:val="ListBullet"/>
      </w:pPr>
      <w:r>
        <w:t>建立从三类素材上传到课程视频导出的完整流程，照片模式与视频模式均可独立完成生成。</w:t>
      </w:r>
    </w:p>
    <w:p>
      <w:pPr>
        <w:pStyle w:val="ListBullet"/>
      </w:pPr>
      <w:r>
        <w:t>保留教师可辨识的外观和音色特征，保证课件页、讲解内容、字幕与播放时间一致。</w:t>
      </w:r>
    </w:p>
    <w:p>
      <w:pPr>
        <w:pStyle w:val="ListBullet"/>
      </w:pPr>
      <w:r>
        <w:t>允许教师审核和修改讲稿、试听语音、预览单页，并仅重新生成受修改影响的片段。</w:t>
      </w:r>
    </w:p>
    <w:p>
      <w:pPr>
        <w:pStyle w:val="Heading2"/>
      </w:pPr>
      <w:r>
        <w:t>首版范围</w:t>
      </w:r>
    </w:p>
    <w:p>
      <w:pPr>
        <w:widowControl/>
      </w:pPr>
      <w:r>
        <w:rPr>
          <w:b w:val="0"/>
        </w:rPr>
        <w:t>首版面向单名教师、单份课件、中文普通话课程，采用异步离线生成和PPT主画面加教师小窗的呈现方式。支持一门课程由若干课时视频组成，单个任务对应一个课时。</w:t>
      </w:r>
    </w:p>
    <w:p>
      <w:pPr>
        <w:widowControl/>
      </w:pPr>
      <w:r>
        <w:rPr>
          <w:b w:val="0"/>
        </w:rPr>
        <w:t>参考语音用于提取音色特征，不要求覆盖整节课的讲解内容。首版以预训练模型推理为主，不以训练基础模型或为每位教师单独训练模型作为使用前提。</w:t>
      </w:r>
    </w:p>
    <w:p>
      <w:pPr>
        <w:widowControl/>
      </w:pPr>
      <w:r>
        <w:rPr>
          <w:b w:val="0"/>
        </w:rPr>
        <w:t>多教师同屏、直播授课、自动板书、语义驱动的全身动作、课程平台账号与考试管理、PPT动画完整复现列入后续范围。单张照片生成的人物动作以头部和口型为主。</w:t>
      </w:r>
    </w:p>
    <w:p>
      <w:pPr>
        <w:pStyle w:val="Heading2"/>
      </w:pPr>
      <w:r>
        <w:t>使用角色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2131"/>
        <w:gridCol w:w="7862"/>
      </w:tblGrid>
      <w:tr>
        <w:trPr>
          <w:cantSplit/>
          <w:tblHeader/>
        </w:trPr>
        <w:tc>
          <w:tcPr>
            <w:tcW w:type="dxa" w:w="2131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角色</w:t>
            </w:r>
          </w:p>
        </w:tc>
        <w:tc>
          <w:tcPr>
            <w:tcW w:type="dxa" w:w="7862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主要职责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教师或课程制作人员</w:t>
            </w:r>
          </w:p>
        </w:tc>
        <w:tc>
          <w:tcPr>
            <w:tcW w:type="dxa" w:w="7862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上传素材，校正讲稿和读音，确认生成结果，导出课程。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项目维护人员</w:t>
            </w:r>
          </w:p>
        </w:tc>
        <w:tc>
          <w:tcPr>
            <w:tcW w:type="dxa" w:w="7862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配置模型服务、任务资源、存储及日志，处理失败任务。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学习者</w:t>
            </w:r>
          </w:p>
        </w:tc>
        <w:tc>
          <w:tcPr>
            <w:tcW w:type="dxa" w:w="7862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观看导出的课程视频；首版无需在生成系统中建立学生账号。</w:t>
            </w:r>
          </w:p>
        </w:tc>
      </w:tr>
    </w:tbl>
    <w:p>
      <w:pPr>
        <w:spacing w:after="20" w:before="0" w:line="60" w:lineRule="auto"/>
      </w:pPr>
      <w:r>
        <w:rPr>
          <w:sz w:val="4"/>
        </w:rPr>
      </w:r>
    </w:p>
    <w:p>
      <w:r>
        <w:br w:type="page"/>
      </w:r>
    </w:p>
    <w:p>
      <w:pPr>
        <w:pStyle w:val="Heading1"/>
      </w:pPr>
      <w:r>
        <w:t>2 输入输出规范</w:t>
      </w:r>
    </w:p>
    <w:p>
      <w:pPr>
        <w:widowControl/>
      </w:pPr>
      <w:r>
        <w:rPr>
          <w:b w:val="0"/>
        </w:rPr>
        <w:t>三类输入必须齐全，其中教师形象在照片和视频之间二选一。以下容量与时长为首版建议默认值，应作为配置项实现；具体值在环境验证后冻结。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1368"/>
        <w:gridCol w:w="3946"/>
        <w:gridCol w:w="4680"/>
      </w:tblGrid>
      <w:tr>
        <w:trPr>
          <w:cantSplit/>
          <w:tblHeader/>
        </w:trPr>
        <w:tc>
          <w:tcPr>
            <w:tcW w:type="dxa" w:w="1368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素材</w:t>
            </w:r>
          </w:p>
        </w:tc>
        <w:tc>
          <w:tcPr>
            <w:tcW w:type="dxa" w:w="3946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首版格式与规模</w:t>
            </w:r>
          </w:p>
        </w:tc>
        <w:tc>
          <w:tcPr>
            <w:tcW w:type="dxa" w:w="4680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质量要求与处理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教师照片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JPG、JPEG、PNG；单张不超过20 MB；建议短边不低于512像素。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单人、面部清晰，嘴部无遮挡；允许裁剪。多人照片要求用户选定目标后重新确认。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教师视频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MP4；建议H.264；上传不超过500 MB，选用片段5至60秒。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单人、正面或轻微侧面、镜头稳定；提供截取和预览。原视频声音默认不作为最终讲解音轨。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课程PPT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原生支持PPTX；1至50页；不超过100 MB。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按原页序解析文本、备注与图片；旧版PPT先尝试转换，失败时提示另存为PPTX。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参考语音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WAV、MP3、M4A；不超过50 MB；建议提供20至60秒清晰独白。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单一说话人、少噪声、无背景音乐。模型适配层按所选模型要求裁剪和重采样，不将此时长当作模型最低要求。</w:t>
            </w:r>
          </w:p>
        </w:tc>
      </w:tr>
    </w:tbl>
    <w:p>
      <w:pPr>
        <w:spacing w:after="20" w:before="0" w:line="60" w:lineRule="auto"/>
      </w:pPr>
      <w:r>
        <w:rPr>
          <w:sz w:val="4"/>
        </w:rPr>
      </w:r>
    </w:p>
    <w:p>
      <w:pPr>
        <w:pStyle w:val="Heading2"/>
      </w:pPr>
      <w:r>
        <w:t>参数设置</w:t>
      </w:r>
    </w:p>
    <w:p>
      <w:pPr>
        <w:widowControl/>
      </w:pPr>
      <w:r>
        <w:rPr>
          <w:b w:val="0"/>
        </w:rPr>
        <w:t>用户可设置课程名称、章节名称、目标受众、讲解详略、每页目标时长、教师小窗位置、字幕开关及输出清晰度。首版默认16∶9画布、1080p、25帧每秒，支持720p预览。单任务建议上限30分钟，较长课程拆分为多个课时。</w:t>
      </w:r>
    </w:p>
    <w:p>
      <w:pPr>
        <w:pStyle w:val="Heading2"/>
      </w:pPr>
      <w:r>
        <w:t>必须输出的成果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1771"/>
        <w:gridCol w:w="2376"/>
        <w:gridCol w:w="5846"/>
      </w:tblGrid>
      <w:tr>
        <w:trPr>
          <w:cantSplit/>
          <w:tblHeader/>
        </w:trPr>
        <w:tc>
          <w:tcPr>
            <w:tcW w:type="dxa" w:w="1771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成果</w:t>
            </w:r>
          </w:p>
        </w:tc>
        <w:tc>
          <w:tcPr>
            <w:tcW w:type="dxa" w:w="2376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格式</w:t>
            </w:r>
          </w:p>
        </w:tc>
        <w:tc>
          <w:tcPr>
            <w:tcW w:type="dxa" w:w="5846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内容要求</w:t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课程视频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MP4，H.264视频与AAC音频</w:t>
            </w:r>
          </w:p>
        </w:tc>
        <w:tc>
          <w:tcPr>
            <w:tcW w:type="dxa" w:w="584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PPT、教师画面和讲解语音完整；支持连续播放和拖动。</w:t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字幕文件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UTF-8编码的SRT</w:t>
            </w:r>
          </w:p>
        </w:tc>
        <w:tc>
          <w:tcPr>
            <w:tcW w:type="dxa" w:w="584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文本与已确认讲稿一致，时间戳与实际语音对应；可选择烧录字幕。</w:t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课程讲稿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TXT或Markdown</w:t>
            </w:r>
          </w:p>
        </w:tc>
        <w:tc>
          <w:tcPr>
            <w:tcW w:type="dxa" w:w="584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按PPT页分段，包含页码、标题和经审核的讲稿。</w:t>
            </w:r>
          </w:p>
        </w:tc>
      </w:tr>
      <w:tr>
        <w:trPr>
          <w:cantSplit/>
        </w:trPr>
        <w:tc>
          <w:tcPr>
            <w:tcW w:type="dxa" w:w="1771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任务清单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JSON</w:t>
            </w:r>
          </w:p>
        </w:tc>
        <w:tc>
          <w:tcPr>
            <w:tcW w:type="dxa" w:w="584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记录素材标识、讲稿版本、页级时间轴、模型版本和导出参数，便于复现。</w:t>
            </w:r>
          </w:p>
        </w:tc>
      </w:tr>
    </w:tbl>
    <w:p>
      <w:pPr>
        <w:spacing w:after="20" w:before="0" w:line="60" w:lineRule="auto"/>
      </w:pPr>
      <w:r>
        <w:rPr>
          <w:sz w:val="4"/>
        </w:rPr>
      </w:r>
    </w:p>
    <w:p>
      <w:pPr>
        <w:pStyle w:val="Heading2"/>
      </w:pPr>
      <w:r>
        <w:t>输出质量边界</w:t>
      </w:r>
    </w:p>
    <w:p>
      <w:pPr>
        <w:widowControl/>
      </w:pPr>
      <w:r>
        <w:rPr>
          <w:b w:val="0"/>
        </w:rPr>
        <w:t>1080p指课程合成画布的分辨率，数字人面部细节受模型原生输出和源素材质量限制。默认保留PPT原始画面；字体缺失、公式异常或嵌入媒体未展开时必须提示，允许用户更换素材或修正后继续。</w:t>
      </w:r>
    </w:p>
    <w:p>
      <w:r>
        <w:br w:type="page"/>
      </w:r>
    </w:p>
    <w:p>
      <w:pPr>
        <w:pStyle w:val="Heading1"/>
      </w:pPr>
      <w:r>
        <w:t>3 用户流程与页面交互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1296"/>
        <w:gridCol w:w="3701"/>
        <w:gridCol w:w="4997"/>
      </w:tblGrid>
      <w:tr>
        <w:trPr>
          <w:cantSplit/>
          <w:tblHeader/>
        </w:trPr>
        <w:tc>
          <w:tcPr>
            <w:tcW w:type="dxa" w:w="1296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步骤</w:t>
            </w:r>
          </w:p>
        </w:tc>
        <w:tc>
          <w:tcPr>
            <w:tcW w:type="dxa" w:w="3701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用户操作</w:t>
            </w:r>
          </w:p>
        </w:tc>
        <w:tc>
          <w:tcPr>
            <w:tcW w:type="dxa" w:w="4997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系统结果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1 创建项目</w:t>
            </w:r>
          </w:p>
        </w:tc>
        <w:tc>
          <w:tcPr>
            <w:tcW w:type="dxa" w:w="3701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填写课程信息，选择照片模式或视频模式。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生成项目草稿，保存课程配置。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2 上传素材</w:t>
            </w:r>
          </w:p>
        </w:tc>
        <w:tc>
          <w:tcPr>
            <w:tcW w:type="dxa" w:w="3701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上传三类必需素材并预览，确认素材使用权限。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检查格式、可读性、人物与音频质量，给出具体问题。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3 解析课件</w:t>
            </w:r>
          </w:p>
        </w:tc>
        <w:tc>
          <w:tcPr>
            <w:tcW w:type="dxa" w:w="3701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查看逐页缩略图、文本和备注，调整讲解顺序。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建立课件页与内容的对应关系，标记待校正页面。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4 审核讲稿</w:t>
            </w:r>
          </w:p>
        </w:tc>
        <w:tc>
          <w:tcPr>
            <w:tcW w:type="dxa" w:w="3701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设置目标受众和详略，逐页修改讲稿与术语。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生成逐页讲解和衔接语，记录讲稿版本及确认状态。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5 试听预览</w:t>
            </w:r>
          </w:p>
        </w:tc>
        <w:tc>
          <w:tcPr>
            <w:tcW w:type="dxa" w:w="3701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选择一页试听，查看教师形象与字幕位置。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生成低成本样片；可调整读音、语速和排版。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6 生成课程</w:t>
            </w:r>
          </w:p>
        </w:tc>
        <w:tc>
          <w:tcPr>
            <w:tcW w:type="dxa" w:w="3701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提交已确认版本，查看任务进度。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逐页或逐句生成语音和人物片段，合成课程视频。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7 检查导出</w:t>
            </w:r>
          </w:p>
        </w:tc>
        <w:tc>
          <w:tcPr>
            <w:tcW w:type="dxa" w:w="3701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检查成片；必要时修改某页并重新生成。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更新受影响片段及后续时间轴，导出完整成果。</w:t>
            </w:r>
          </w:p>
        </w:tc>
      </w:tr>
    </w:tbl>
    <w:p>
      <w:pPr>
        <w:spacing w:after="20" w:before="0" w:line="60" w:lineRule="auto"/>
      </w:pPr>
      <w:r>
        <w:rPr>
          <w:sz w:val="4"/>
        </w:rPr>
      </w:r>
    </w:p>
    <w:p>
      <w:pPr>
        <w:pStyle w:val="Heading2"/>
      </w:pPr>
      <w:r>
        <w:t>页面组成</w:t>
      </w:r>
    </w:p>
    <w:p>
      <w:pPr>
        <w:widowControl/>
      </w:pPr>
      <w:r>
        <w:rPr>
          <w:b w:val="0"/>
        </w:rPr>
        <w:t>项目列表展示课程名、更新时间和生成状态。素材页面提供上传、质量提示和预览。讲稿工作台采用左侧PPT页列表、中间课件预览、右侧讲稿编辑的结构。生成页面展示各阶段状态、失败页码和重试入口。成果页面支持整片播放、按页跳转及文件下载。</w:t>
      </w:r>
    </w:p>
    <w:p>
      <w:pPr>
        <w:pStyle w:val="Heading2"/>
      </w:pPr>
      <w:r>
        <w:t>任务状态</w:t>
      </w:r>
    </w:p>
    <w:p>
      <w:pPr>
        <w:widowControl/>
      </w:pPr>
      <w:r>
        <w:rPr>
          <w:b w:val="0"/>
        </w:rPr>
        <w:t>项目依次经过草稿、素材校验、课件解析、待讲稿确认、待样片确认、排队、生成、合成和完成。失败与取消是独立状态，必须记录发生阶段及已完成片段。模型仍在处理时展示阶段进度，不得使用持续增长的虚假百分比。</w:t>
      </w:r>
    </w:p>
    <w:p>
      <w:pPr>
        <w:pStyle w:val="Heading2"/>
      </w:pPr>
      <w:r>
        <w:t>异常和回退</w:t>
      </w:r>
    </w:p>
    <w:p>
      <w:pPr>
        <w:widowControl/>
      </w:pPr>
      <w:r>
        <w:rPr>
          <w:b w:val="0"/>
        </w:rPr>
        <w:t>格式不支持、文件损坏、无人脸、噪声过大和课件转换失败应在生成前明确定位。模型调用超时或资源不足时保留成果，允许调整配置并重试失败片段。用户取消后停止创建新子任务，当前运行片段在可中断点终止。</w:t>
      </w:r>
    </w:p>
    <w:p>
      <w:pPr>
        <w:widowControl/>
      </w:pPr>
      <w:r>
        <w:rPr>
          <w:b w:val="0"/>
        </w:rPr>
        <w:t>图片或视频质量不合格时应重新选择素材。将视频抽帧后切换为照片模式必须由用户主动选择；视频模式验收须使用原视频序列进行口型驱动。</w:t>
      </w:r>
    </w:p>
    <w:p>
      <w:r>
        <w:br w:type="page"/>
      </w:r>
    </w:p>
    <w:p>
      <w:pPr>
        <w:pStyle w:val="Heading1"/>
      </w:pPr>
      <w:r>
        <w:t>4 功能需求 素材与课程内容</w:t>
      </w:r>
    </w:p>
    <w:p>
      <w:pPr>
        <w:widowControl/>
      </w:pPr>
      <w:r>
        <w:rPr>
          <w:b w:val="0"/>
        </w:rPr>
        <w:t>P0表示首版必需，P1表示首版稳定后扩展。FR01至FR14均为P0需求，验收编号见第9节。</w:t>
      </w:r>
    </w:p>
    <w:p>
      <w:pPr>
        <w:pStyle w:val="Heading2"/>
      </w:pPr>
      <w:r>
        <w:t>FR01 项目管理</w:t>
      </w:r>
    </w:p>
    <w:p>
      <w:pPr>
        <w:widowControl/>
      </w:pPr>
      <w:r>
        <w:rPr>
          <w:b w:val="0"/>
        </w:rPr>
        <w:t>支持新建、保存、打开、复制和删除课程项目。课程配置、素材引用和讲稿应自动保存。删除操作需在界面中说明影响范围；新建副本保留可追溯的源项目关系。</w:t>
      </w:r>
    </w:p>
    <w:p>
      <w:pPr>
        <w:pStyle w:val="Heading2"/>
      </w:pPr>
      <w:r>
        <w:t>FR02 素材上传与检查</w:t>
      </w:r>
    </w:p>
    <w:p>
      <w:pPr>
        <w:widowControl/>
      </w:pPr>
      <w:r>
        <w:rPr>
          <w:b w:val="0"/>
        </w:rPr>
        <w:t>支持照片、视频、PPT及音频上传，校验真实文件类型、大小、可解码性和必要素材是否齐全。视频可选取片段，图片可裁剪；检查多人、人脸遮挡、静音和明显噪声，给出可执行的修复提示。</w:t>
      </w:r>
    </w:p>
    <w:p>
      <w:pPr>
        <w:pStyle w:val="Heading2"/>
      </w:pPr>
      <w:r>
        <w:t>FR03 课件解析与页面还原</w:t>
      </w:r>
    </w:p>
    <w:p>
      <w:pPr>
        <w:widowControl/>
      </w:pPr>
      <w:r>
        <w:rPr>
          <w:b w:val="0"/>
        </w:rPr>
        <w:t>按顺序输出PPT页图、页标题、正文、备注及图片关联信息。文本层优先直接解析，扫描图和图表交由图像理解或OCR辅助处理。应保留原页画面供核对，无法识别的公式、表格或对象标记为待确认。</w:t>
      </w:r>
    </w:p>
    <w:p>
      <w:pPr>
        <w:pStyle w:val="Heading2"/>
      </w:pPr>
      <w:r>
        <w:t>FR04 讲解结构规划</w:t>
      </w:r>
    </w:p>
    <w:p>
      <w:pPr>
        <w:widowControl/>
      </w:pPr>
      <w:r>
        <w:rPr>
          <w:b w:val="0"/>
        </w:rPr>
        <w:t>根据页序、目标受众、课程主题和期望时长组织导入、逐页讲解、过渡与总结。可选择跳过封面或目录，也可为一页配置多个讲解片段。跳过、重排及合并页须由用户确认并保存映射。</w:t>
      </w:r>
    </w:p>
    <w:p>
      <w:pPr>
        <w:pStyle w:val="Heading2"/>
      </w:pPr>
      <w:r>
        <w:t>FR05 逐页讲稿生成</w:t>
      </w:r>
    </w:p>
    <w:p>
      <w:pPr>
        <w:widowControl/>
      </w:pPr>
      <w:r>
        <w:rPr>
          <w:b w:val="0"/>
        </w:rPr>
        <w:t>结合正文、备注和页面视觉信息生成可口头讲述的讲稿。备注作为重要依据，补充解释须与课件知识点一致。不能确认的数值、公式和图表含义应提示教师补充，禁止把推测当作确定结论写入已确认稿。</w:t>
      </w:r>
    </w:p>
    <w:p>
      <w:pPr>
        <w:pStyle w:val="Heading2"/>
      </w:pPr>
      <w:r>
        <w:t>FR06 讲稿编辑与版本</w:t>
      </w:r>
    </w:p>
    <w:p>
      <w:pPr>
        <w:widowControl/>
      </w:pPr>
      <w:r>
        <w:rPr>
          <w:b w:val="0"/>
        </w:rPr>
        <w:t>支持逐页编辑、重新生成和版本回退，显示页码及预计时长。教师确认后的文本才进入正式语音生成。修改讲稿后标记对应音频、人物片段和字幕为待更新；不能静默覆盖用户手工修改的内容。</w:t>
      </w:r>
    </w:p>
    <w:p>
      <w:pPr>
        <w:pStyle w:val="Heading2"/>
      </w:pPr>
      <w:r>
        <w:t>FR07 教学内容核对</w:t>
      </w:r>
    </w:p>
    <w:p>
      <w:pPr>
        <w:widowControl/>
      </w:pPr>
      <w:r>
        <w:rPr>
          <w:b w:val="0"/>
        </w:rPr>
        <w:t>记录关键术语、数字、公式读法与讲稿来源页。提供全文检索和术语读音表，对超出课件的扩展内容单独标识。教师可删除、改写或确认补充解释；发布前检查是否仍有未确认内容。</w:t>
      </w:r>
    </w:p>
    <w:p>
      <w:r>
        <w:br w:type="page"/>
      </w:r>
    </w:p>
    <w:p>
      <w:pPr>
        <w:pStyle w:val="Heading1"/>
      </w:pPr>
      <w:r>
        <w:t>5 功能需求 语音与视频生成</w:t>
      </w:r>
    </w:p>
    <w:p>
      <w:pPr>
        <w:pStyle w:val="Heading2"/>
      </w:pPr>
      <w:r>
        <w:t>FR08 教师音色语音合成</w:t>
      </w:r>
    </w:p>
    <w:p>
      <w:pPr>
        <w:widowControl/>
      </w:pPr>
      <w:r>
        <w:rPr>
          <w:b w:val="0"/>
        </w:rPr>
        <w:t>依据参考语音和已确认讲稿，按页或按句合成讲解音频。支持试听、调节语速、设置停顿和修正术语读法。参考音频仅用于音色条件；噪声抑制后若音色失真，应保留原音频供重新选择。</w:t>
      </w:r>
    </w:p>
    <w:p>
      <w:pPr>
        <w:pStyle w:val="Heading2"/>
      </w:pPr>
      <w:r>
        <w:t>FR09 照片驱动教师形象</w:t>
      </w:r>
    </w:p>
    <w:p>
      <w:pPr>
        <w:widowControl/>
      </w:pPr>
      <w:r>
        <w:rPr>
          <w:b w:val="0"/>
        </w:rPr>
        <w:t>将单张教师照片与生成语音输入音频驱动的人像动画模块，输出具有对应口型的教师视频片段。保持人物可辨识，支持头部或半身裁剪。生成前预览，异常片段可独立重做。</w:t>
      </w:r>
    </w:p>
    <w:p>
      <w:pPr>
        <w:pStyle w:val="Heading2"/>
      </w:pPr>
      <w:r>
        <w:t>FR10 视频驱动教师形象</w:t>
      </w:r>
    </w:p>
    <w:p>
      <w:pPr>
        <w:widowControl/>
      </w:pPr>
      <w:r>
        <w:rPr>
          <w:b w:val="0"/>
        </w:rPr>
        <w:t>以选定视频中的教师序列作为视觉基础，结合新讲解语音驱动口型并尽量保持原有头部和身体动态。原视频较短时按可重复片段循环或拼接，需预览连接处；不以单帧动画代替本功能验收。</w:t>
      </w:r>
    </w:p>
    <w:p>
      <w:pPr>
        <w:pStyle w:val="Heading2"/>
      </w:pPr>
      <w:r>
        <w:t>FR11 时间轴与字幕</w:t>
      </w:r>
    </w:p>
    <w:p>
      <w:pPr>
        <w:widowControl/>
      </w:pPr>
      <w:r>
        <w:rPr>
          <w:b w:val="0"/>
        </w:rPr>
        <w:t>以实际生成音频的时长建立页级时间轴，加入可配置的页间停顿。字幕采用已确认讲稿并与音频对齐，避免仅按字数均匀分配时间。改动前页时长后，重新计算后续页面和字幕偏移。</w:t>
      </w:r>
    </w:p>
    <w:p>
      <w:pPr>
        <w:pStyle w:val="Heading2"/>
      </w:pPr>
      <w:r>
        <w:t>FR12 画面布局与课程合成</w:t>
      </w:r>
    </w:p>
    <w:p>
      <w:pPr>
        <w:widowControl/>
      </w:pPr>
      <w:r>
        <w:rPr>
          <w:b w:val="0"/>
        </w:rPr>
        <w:t>支持PPT主画面与教师侧栏或小窗布局，调整人物大小、位置和背景。字幕、人物与课件重点区域不得互相遮挡；4∶3课件等比适配到16∶9画布，不拉伸页面。整合页图、人物、音频及字幕生成成片。</w:t>
      </w:r>
    </w:p>
    <w:p>
      <w:pPr>
        <w:pStyle w:val="Heading2"/>
      </w:pPr>
      <w:r>
        <w:t>FR13 异步任务与局部重做</w:t>
      </w:r>
    </w:p>
    <w:p>
      <w:pPr>
        <w:widowControl/>
      </w:pPr>
      <w:r>
        <w:rPr>
          <w:b w:val="0"/>
        </w:rPr>
        <w:t>支持任务排队、阶段进度、取消、失败定位和片段重试。同一输入与配置的重复提交复用已完成成果。仅改字幕样式或布局时重新合成；修改某页讲稿时更新该页语音、人物与字幕，并重算后续时间轴。</w:t>
      </w:r>
    </w:p>
    <w:p>
      <w:pPr>
        <w:pStyle w:val="Heading2"/>
      </w:pPr>
      <w:r>
        <w:t>FR14 预览与成果导出</w:t>
      </w:r>
    </w:p>
    <w:p>
      <w:pPr>
        <w:widowControl/>
      </w:pPr>
      <w:r>
        <w:rPr>
          <w:b w:val="0"/>
        </w:rPr>
        <w:t>提供单页样片和整片预览，支持下载课程视频、字幕、讲稿与任务清单。完成状态须在文件可解码且音画时长检查通过后写入；输出失败不能显示为完成。导出成果保存对应讲稿和配置版本。</w:t>
      </w:r>
    </w:p>
    <w:p>
      <w:pPr>
        <w:pStyle w:val="Heading2"/>
      </w:pPr>
      <w:r>
        <w:t>后续扩展需求 P1</w:t>
      </w:r>
    </w:p>
    <w:p>
      <w:pPr>
        <w:widowControl/>
      </w:pPr>
      <w:r>
        <w:rPr>
          <w:b w:val="0"/>
        </w:rPr>
        <w:t>支持完整讲课录音转写后逐页对齐、多个音色或语言、课程批量生成、数字人背景抠像、知识库检索增强、可编辑片头片尾及对接课程平台。已有完整录音模式默认复用原音频，重新合成须由用户选择。</w:t>
      </w:r>
    </w:p>
    <w:p>
      <w:r>
        <w:br w:type="page"/>
      </w:r>
    </w:p>
    <w:p>
      <w:pPr>
        <w:pStyle w:val="Heading1"/>
      </w:pPr>
      <w:r>
        <w:t>6 业务规则与非功能要求</w:t>
      </w:r>
    </w:p>
    <w:p>
      <w:pPr>
        <w:pStyle w:val="Heading2"/>
      </w:pPr>
      <w:r>
        <w:t>关键业务规则</w:t>
      </w:r>
    </w:p>
    <w:p>
      <w:pPr>
        <w:widowControl/>
      </w:pPr>
      <w:r>
        <w:rPr>
          <w:b w:val="0"/>
        </w:rPr>
        <w:t>每个片段必须绑定项目、课件页、讲稿版本、教师素材和模型配置。系统区分“字幕显示文本”和“用于语音的读法文本”，以便公式、英文缩写和多音字正确发音，同时保留字幕的规范写法。</w:t>
      </w:r>
    </w:p>
    <w:p>
      <w:pPr>
        <w:widowControl/>
      </w:pPr>
      <w:r>
        <w:rPr>
          <w:b w:val="0"/>
        </w:rPr>
        <w:t>实际成片时长由生成音频、停顿和转场共同确定。预计时长只作为编辑提示；超过课程时长目标时先提示压缩讲稿或拆分课时，不通过大幅加速音频强行达标。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1296"/>
        <w:gridCol w:w="1944"/>
        <w:gridCol w:w="6754"/>
      </w:tblGrid>
      <w:tr>
        <w:trPr>
          <w:cantSplit/>
          <w:tblHeader/>
        </w:trPr>
        <w:tc>
          <w:tcPr>
            <w:tcW w:type="dxa" w:w="1296"/>
            <w:vAlign w:val="center"/>
            <w:shd w:fill="DCE6F1"/>
          </w:tcPr>
          <w:p>
            <w:pPr>
              <w:spacing w:after="0" w:before="0" w:line="280" w:lineRule="exact"/>
              <w:jc w:val="center"/>
            </w:pPr>
            <w:r>
              <w:rPr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1944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要求</w:t>
            </w:r>
          </w:p>
        </w:tc>
        <w:tc>
          <w:tcPr>
            <w:tcW w:type="dxa" w:w="6754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首版约束及验证方式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NFR01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可靠性</w:t>
            </w:r>
          </w:p>
        </w:tc>
        <w:tc>
          <w:tcPr>
            <w:tcW w:type="dxa" w:w="675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长任务采用持久化队列或等效机制；进程重启后可从已落盘片段恢复。保留失败原因与人工重试入口。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NFR02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资源控制</w:t>
            </w:r>
          </w:p>
        </w:tc>
        <w:tc>
          <w:tcPr>
            <w:tcW w:type="dxa" w:w="675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初始配置单个GPU密集型任务运行，其他任务排队；检测显存不足并降低批次或暂停，避免无限重试。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NFR03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性能可观测</w:t>
            </w:r>
          </w:p>
        </w:tc>
        <w:tc>
          <w:tcPr>
            <w:tcW w:type="dxa" w:w="675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记录解析、讲稿、语音、人物生成和合成耗时，以及GPU峰值显存。界面操作与生成任务分离。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NFR04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内容与视听质量</w:t>
            </w:r>
          </w:p>
        </w:tc>
        <w:tc>
          <w:tcPr>
            <w:tcW w:type="dxa" w:w="675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讲稿可审核，术语可修正；测试音频缺字、重复、爆音，以及人物闪烁、嘴部异常和切页错误。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NFR05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素材与隐私</w:t>
            </w:r>
          </w:p>
        </w:tc>
        <w:tc>
          <w:tcPr>
            <w:tcW w:type="dxa" w:w="675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上传时确认素材使用权限。限制项目文件访问，密钥由服务端保存；素材不默认用于训练或共享。支持项目删除。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NFR06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兼容性</w:t>
            </w:r>
          </w:p>
        </w:tc>
        <w:tc>
          <w:tcPr>
            <w:tcW w:type="dxa" w:w="675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网页端面向主流桌面浏览器；成果使用通用MP4编码。模型运行环境独立封装，避免Python和CUDA依赖互相覆盖。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NFR07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可维护性</w:t>
            </w:r>
          </w:p>
        </w:tc>
        <w:tc>
          <w:tcPr>
            <w:tcW w:type="dxa" w:w="675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语音、数字人、课件解析及语言模型均通过适配接口接入，固定代码提交和模型版本，保留可复现配置。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NFR08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日志与数据生命周期</w:t>
            </w:r>
          </w:p>
        </w:tc>
        <w:tc>
          <w:tcPr>
            <w:tcW w:type="dxa" w:w="675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日志含任务标识、阶段、耗时和错误码，不记录密钥。取消或失败后的临时文件可清理；项目删除后同步清理关联成果。</w:t>
            </w:r>
          </w:p>
        </w:tc>
      </w:tr>
    </w:tbl>
    <w:p>
      <w:pPr>
        <w:spacing w:after="20" w:before="0" w:line="60" w:lineRule="auto"/>
      </w:pPr>
      <w:r>
        <w:rPr>
          <w:sz w:val="4"/>
        </w:rPr>
      </w:r>
    </w:p>
    <w:p>
      <w:pPr>
        <w:pStyle w:val="Heading2"/>
      </w:pPr>
      <w:r>
        <w:t>性能基线与部署边界</w:t>
      </w:r>
    </w:p>
    <w:p>
      <w:pPr>
        <w:widowControl/>
      </w:pPr>
      <w:r>
        <w:rPr>
          <w:b w:val="0"/>
        </w:rPr>
        <w:t>在固定模型版本和实测设备上，用10页PPT、约3分钟讲解分别测试照片与视频路径，区分首次加载和预热后的耗时。记录总耗时与成片时长之比，完成原型实测后冻结性能目标。首版不承诺实时生成。</w:t>
      </w:r>
    </w:p>
    <w:p>
      <w:pPr>
        <w:widowControl/>
      </w:pPr>
      <w:r>
        <w:rPr>
          <w:b w:val="0"/>
        </w:rPr>
        <w:t>可先使用带独立GPU的单机或云主机验证；显存需求取决于模型、分辨率和批次，不预设统一最低值。若讲稿模型使用外部API，应明确素材发送范围；采用本地模型可形成离线部署方案。</w:t>
      </w:r>
    </w:p>
    <w:p>
      <w:r>
        <w:br w:type="page"/>
      </w:r>
    </w:p>
    <w:p>
      <w:pPr>
        <w:pStyle w:val="Heading1"/>
      </w:pPr>
      <w:r>
        <w:t>7 总体技术路线</w:t>
      </w:r>
    </w:p>
    <w:p>
      <w:pPr>
        <w:widowControl/>
      </w:pPr>
      <w:r>
        <w:rPr>
          <w:b w:val="0"/>
        </w:rPr>
        <w:t>系统以课件页和讲解片段为基本处理单元。先生成并确认文字内容，再生成语音，以语音的实际时间信息驱动人物、字幕及切页，最后合成课程视频。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6281928" cy="4007437"/>
            <wp:docPr id="1" name="Picture 1" descr="三类素材分别解析。课件生成并审核讲稿，参考音频用于教师音色语音合成。生成语音驱动人物和字幕，最后与课件页面合成课程视频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_rou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1928" cy="4007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b w:val="0"/>
          <w:sz w:val="18"/>
        </w:rPr>
        <w:t>图1  从输入素材到课程视频的处理流程</w:t>
      </w:r>
    </w:p>
    <w:p>
      <w:pPr>
        <w:pStyle w:val="Heading2"/>
      </w:pPr>
      <w:r>
        <w:t>两种人物生成路径</w:t>
      </w:r>
    </w:p>
    <w:p>
      <w:pPr>
        <w:widowControl/>
      </w:pPr>
      <w:r>
        <w:rPr>
          <w:b w:val="0"/>
        </w:rPr>
        <w:t>照片路径采用“照片加讲解音频生成说话人像”的方法；视频路径采用“保留人物视频序列并根据新音频调整口型”的方法。两条路径输出统一格式的视频片段，接入相同的字幕与课程合成模块。</w:t>
      </w:r>
    </w:p>
    <w:p>
      <w:pPr>
        <w:pStyle w:val="Heading2"/>
      </w:pPr>
      <w:r>
        <w:t>分段与时间同步</w:t>
      </w:r>
    </w:p>
    <w:p>
      <w:pPr>
        <w:widowControl/>
      </w:pPr>
      <w:r>
        <w:rPr>
          <w:b w:val="0"/>
        </w:rPr>
        <w:t>较长讲稿按句切成适合模型推理的片段，保存片段时长、页码及起止时间。逐段生成后统一音视频参数并拼接，检查连接处的音色、人物跳变和静音间隔；页图播放、字幕与人物画面共享同一时间轴。</w:t>
      </w:r>
    </w:p>
    <w:p>
      <w:r>
        <w:br w:type="page"/>
      </w:r>
    </w:p>
    <w:p>
      <w:pPr>
        <w:pStyle w:val="Heading1"/>
      </w:pPr>
      <w:r>
        <w:t>8 技术选型与数据接口</w:t>
      </w:r>
    </w:p>
    <w:p>
      <w:pPr>
        <w:widowControl/>
      </w:pPr>
      <w:r>
        <w:rPr>
          <w:b w:val="0"/>
        </w:rPr>
        <w:t>以下为建议实现方案。开源组件用于验证具体能力，最终选型以同一批课程样例的实测结果为依据；引用编号对应第11节官方资料。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1656"/>
        <w:gridCol w:w="2880"/>
        <w:gridCol w:w="5458"/>
      </w:tblGrid>
      <w:tr>
        <w:trPr>
          <w:cantSplit/>
          <w:tblHeader/>
        </w:trPr>
        <w:tc>
          <w:tcPr>
            <w:tcW w:type="dxa" w:w="1656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2880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候选实现</w:t>
            </w:r>
          </w:p>
        </w:tc>
        <w:tc>
          <w:tcPr>
            <w:tcW w:type="dxa" w:w="5458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接入方式与职责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交互与接口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Web前端及Python接口服务</w:t>
            </w:r>
          </w:p>
        </w:tc>
        <w:tc>
          <w:tcPr>
            <w:tcW w:type="dxa" w:w="545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原型可用Gradio；正式工作台可采用Vue与FastAPI，完成上传、编辑、状态查询和预览。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任务与存储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任务队列与工作进程；元数据数据库；文件存储</w:t>
            </w:r>
          </w:p>
        </w:tc>
        <w:tc>
          <w:tcPr>
            <w:tcW w:type="dxa" w:w="545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串联各阶段，保存中间成果；单机可从SQLite和本地文件目录起步，保留迁移接口。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课件处理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python-pptx [1]；页面渲染工具；OCR或视觉模型</w:t>
            </w:r>
          </w:p>
        </w:tc>
        <w:tc>
          <w:tcPr>
            <w:tcW w:type="dxa" w:w="545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提取结构和备注；通过LibreOffice等独立渲染器生成页图。解析库本身不承担PPT放映渲染。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讲稿生成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支持中文的语言模型或视觉语言模型</w:t>
            </w:r>
          </w:p>
        </w:tc>
        <w:tc>
          <w:tcPr>
            <w:tcW w:type="dxa" w:w="545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输入课件结构、备注和必要页图，按约定结构输出讲稿及待确认项，避免纯文本丢失图表信息。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音色与语音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GPT-SoVITS [2]</w:t>
            </w:r>
          </w:p>
        </w:tc>
        <w:tc>
          <w:tcPr>
            <w:tcW w:type="dxa" w:w="545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以参考语音和文本生成目标音色音频。先验证无需训练的推理路径，后续再评估微调。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照片路径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SadTalker [3]</w:t>
            </w:r>
          </w:p>
        </w:tc>
        <w:tc>
          <w:tcPr>
            <w:tcW w:type="dxa" w:w="545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将单张教师肖像和驱动音频生成人物片段，评估外观保持和口型质量。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视频路径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MuseTalk [4]</w:t>
            </w:r>
          </w:p>
        </w:tc>
        <w:tc>
          <w:tcPr>
            <w:tcW w:type="dxa" w:w="545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对教师视频进行音频驱动的口型处理；对面部细节、抖动和短片段循环做专项检查。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媒体与字幕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FFmpeg [5]；文本音频对齐模块</w:t>
            </w:r>
          </w:p>
        </w:tc>
        <w:tc>
          <w:tcPr>
            <w:tcW w:type="dxa" w:w="545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统一采样率和帧率，缩放叠加、拼接、混音及字幕烧录；对齐模块生成字幕时间戳。</w:t>
            </w:r>
          </w:p>
        </w:tc>
      </w:tr>
    </w:tbl>
    <w:p>
      <w:pPr>
        <w:spacing w:after="20" w:before="0" w:line="60" w:lineRule="auto"/>
      </w:pPr>
      <w:r>
        <w:rPr>
          <w:sz w:val="4"/>
        </w:rPr>
      </w:r>
    </w:p>
    <w:p>
      <w:pPr>
        <w:pStyle w:val="Heading2"/>
      </w:pPr>
      <w:r>
        <w:t>核心数据对象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2333"/>
        <w:gridCol w:w="7661"/>
      </w:tblGrid>
      <w:tr>
        <w:trPr>
          <w:cantSplit/>
          <w:tblHeader/>
        </w:trPr>
        <w:tc>
          <w:tcPr>
            <w:tcW w:type="dxa" w:w="2333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对象</w:t>
            </w:r>
          </w:p>
        </w:tc>
        <w:tc>
          <w:tcPr>
            <w:tcW w:type="dxa" w:w="7661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必要字段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Project 项目</w:t>
            </w:r>
          </w:p>
        </w:tc>
        <w:tc>
          <w:tcPr>
            <w:tcW w:type="dxa" w:w="7661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项目标识、课程配置、教师素材引用、创建者、当前状态。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Slide 课件页</w:t>
            </w:r>
          </w:p>
        </w:tc>
        <w:tc>
          <w:tcPr>
            <w:tcW w:type="dxa" w:w="7661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原页码、页图路径、提取文本、备注、待确认项及最终讲解顺序。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Scene 讲解片段</w:t>
            </w:r>
          </w:p>
        </w:tc>
        <w:tc>
          <w:tcPr>
            <w:tcW w:type="dxa" w:w="7661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页标识、显示文本、读法文本、讲稿版本、语音与人物路径、时长和状态。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Job 任务</w:t>
            </w:r>
          </w:p>
        </w:tc>
        <w:tc>
          <w:tcPr>
            <w:tcW w:type="dxa" w:w="7661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阶段、已完成片段数、模型版本、输入摘要、资源记录、错误码及重试次数。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Manifest 成果清单</w:t>
            </w:r>
          </w:p>
        </w:tc>
        <w:tc>
          <w:tcPr>
            <w:tcW w:type="dxa" w:w="7661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页级时间轴、字幕路径、输出文件、配置版本、文件摘要及生成时间。</w:t>
            </w:r>
          </w:p>
        </w:tc>
      </w:tr>
    </w:tbl>
    <w:p>
      <w:pPr>
        <w:spacing w:after="20" w:before="0" w:line="60" w:lineRule="auto"/>
      </w:pPr>
      <w:r>
        <w:rPr>
          <w:sz w:val="4"/>
        </w:rPr>
      </w:r>
    </w:p>
    <w:p>
      <w:pPr>
        <w:widowControl/>
      </w:pPr>
      <w:r>
        <w:rPr>
          <w:b w:val="0"/>
          <w:sz w:val="20"/>
        </w:rPr>
        <w:t>接口至少覆盖素材上传、课件解析、讲稿生成与保存、单页预览、生成任务提交、任务查询与取消、片段重做和成果下载。耗时接口立即返回任务标识；重复提交使用输入及配置摘要识别。</w:t>
      </w:r>
    </w:p>
    <w:p>
      <w:r>
        <w:br w:type="page"/>
      </w:r>
    </w:p>
    <w:p>
      <w:pPr>
        <w:pStyle w:val="Heading1"/>
      </w:pPr>
      <w:r>
        <w:t>9 验收方案</w:t>
      </w:r>
    </w:p>
    <w:p>
      <w:pPr>
        <w:widowControl/>
      </w:pPr>
      <w:r>
        <w:rPr>
          <w:b w:val="0"/>
        </w:rPr>
        <w:t>验收数据建议覆盖3份授权课件，分别包含普通文字、图表和公式；至少2名授权教师，照片和视频模式各运行6个有效任务。每个基线任务约10页、3分钟，另执行一次接近配置上限的长任务。下列数值为建议验收目标，需在需求冻结时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1051"/>
        <w:gridCol w:w="2088"/>
        <w:gridCol w:w="6854"/>
      </w:tblGrid>
      <w:tr>
        <w:trPr>
          <w:cantSplit/>
          <w:tblHeader/>
        </w:trPr>
        <w:tc>
          <w:tcPr>
            <w:tcW w:type="dxa" w:w="1051"/>
            <w:vAlign w:val="center"/>
            <w:shd w:fill="DCE6F1"/>
          </w:tcPr>
          <w:p>
            <w:pPr>
              <w:spacing w:after="0" w:before="0" w:line="280" w:lineRule="exact"/>
              <w:jc w:val="center"/>
            </w:pPr>
            <w:r>
              <w:rPr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088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关联需求</w:t>
            </w:r>
          </w:p>
        </w:tc>
        <w:tc>
          <w:tcPr>
            <w:tcW w:type="dxa" w:w="6854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通过条件</w:t>
            </w:r>
          </w:p>
        </w:tc>
      </w:tr>
      <w:tr>
        <w:trPr>
          <w:cantSplit/>
        </w:trPr>
        <w:tc>
          <w:tcPr>
            <w:tcW w:type="dxa" w:w="1051"/>
            <w:vAlign w:val="center"/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AC01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FR01至FR03</w:t>
            </w:r>
          </w:p>
        </w:tc>
        <w:tc>
          <w:tcPr>
            <w:tcW w:type="dxa" w:w="685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素材上传、保存重开及项目删除可用；页数和页序100%一致。损坏文件、缺失素材和不支持格式均有明确提示。</w:t>
            </w:r>
          </w:p>
        </w:tc>
      </w:tr>
      <w:tr>
        <w:trPr>
          <w:cantSplit/>
        </w:trPr>
        <w:tc>
          <w:tcPr>
            <w:tcW w:type="dxa" w:w="1051"/>
            <w:vAlign w:val="center"/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AC02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FR03至FR07</w:t>
            </w:r>
          </w:p>
        </w:tc>
        <w:tc>
          <w:tcPr>
            <w:tcW w:type="dxa" w:w="685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对照教师审核的知识点清单，最终讲稿覆盖率达到95%以上；关键术语、数值和公式无未修正的实质错误，待确认项清零。</w:t>
            </w:r>
          </w:p>
        </w:tc>
      </w:tr>
      <w:tr>
        <w:trPr>
          <w:cantSplit/>
        </w:trPr>
        <w:tc>
          <w:tcPr>
            <w:tcW w:type="dxa" w:w="1051"/>
            <w:vAlign w:val="center"/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AC03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FR08</w:t>
            </w:r>
          </w:p>
        </w:tc>
        <w:tc>
          <w:tcPr>
            <w:tcW w:type="dxa" w:w="685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逐句核对全部基线音频，无漏句、重复整句和不可理解片段；所有指定术语读法通过教师确认。</w:t>
            </w:r>
          </w:p>
        </w:tc>
      </w:tr>
      <w:tr>
        <w:trPr>
          <w:cantSplit/>
        </w:trPr>
        <w:tc>
          <w:tcPr>
            <w:tcW w:type="dxa" w:w="1051"/>
            <w:vAlign w:val="center"/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AC04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FR08至FR10</w:t>
            </w:r>
          </w:p>
        </w:tc>
        <w:tc>
          <w:tcPr>
            <w:tcW w:type="dxa" w:w="685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每名教师抽取不少于5段10秒样片，由本人及2名评审分别评价音色相似度、形象一致性与自然度，各维度平均不低于3.5分，满分5分。</w:t>
            </w:r>
          </w:p>
        </w:tc>
      </w:tr>
      <w:tr>
        <w:trPr>
          <w:cantSplit/>
        </w:trPr>
        <w:tc>
          <w:tcPr>
            <w:tcW w:type="dxa" w:w="1051"/>
            <w:vAlign w:val="center"/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AC05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FR09与FR10</w:t>
            </w:r>
          </w:p>
        </w:tc>
        <w:tc>
          <w:tcPr>
            <w:tcW w:type="dxa" w:w="685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照片和视频路径均生成有效成片；视频路径保留原序列动态。样片无持续面部崩坏、明显身份漂移或不可用的嘴部伪影。</w:t>
            </w:r>
          </w:p>
        </w:tc>
      </w:tr>
      <w:tr>
        <w:trPr>
          <w:cantSplit/>
        </w:trPr>
        <w:tc>
          <w:tcPr>
            <w:tcW w:type="dxa" w:w="1051"/>
            <w:vAlign w:val="center"/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AC06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FR09至FR11</w:t>
            </w:r>
          </w:p>
        </w:tc>
        <w:tc>
          <w:tcPr>
            <w:tcW w:type="dxa" w:w="685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两条路径各抽取20处清晰发音起点，以逐帧画面和音频波形人工复核，至少90%的可测点口型偏差不超过200毫秒。</w:t>
            </w:r>
          </w:p>
        </w:tc>
      </w:tr>
      <w:tr>
        <w:trPr>
          <w:cantSplit/>
        </w:trPr>
        <w:tc>
          <w:tcPr>
            <w:tcW w:type="dxa" w:w="1051"/>
            <w:vAlign w:val="center"/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AC07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FR11与FR12</w:t>
            </w:r>
          </w:p>
        </w:tc>
        <w:tc>
          <w:tcPr>
            <w:tcW w:type="dxa" w:w="685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课件切页与对应讲解一致；字幕起止偏差在随机抽取的20句中至少90%不超过300毫秒。人物、字幕不遮挡经确认的重点区域。</w:t>
            </w:r>
          </w:p>
        </w:tc>
      </w:tr>
      <w:tr>
        <w:trPr>
          <w:cantSplit/>
        </w:trPr>
        <w:tc>
          <w:tcPr>
            <w:tcW w:type="dxa" w:w="1051"/>
            <w:vAlign w:val="center"/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AC08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FR12与FR14</w:t>
            </w:r>
          </w:p>
        </w:tc>
        <w:tc>
          <w:tcPr>
            <w:tcW w:type="dxa" w:w="685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所有导出文件可打开，视频可连续播放及拖动；无意外黑帧和中途截断。扣除明确设置的片头片尾后，音视频结束时差不超过100毫秒。</w:t>
            </w:r>
          </w:p>
        </w:tc>
      </w:tr>
      <w:tr>
        <w:trPr>
          <w:cantSplit/>
        </w:trPr>
        <w:tc>
          <w:tcPr>
            <w:tcW w:type="dxa" w:w="1051"/>
            <w:vAlign w:val="center"/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AC09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FR06与FR13</w:t>
            </w:r>
          </w:p>
        </w:tc>
        <w:tc>
          <w:tcPr>
            <w:tcW w:type="dxa" w:w="685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修改一页讲稿后，仅重做受影响媒体并重算后续时间轴；修改布局仅重新合成。注入一次任务中断后，可复用已完成片段恢复。</w:t>
            </w:r>
          </w:p>
        </w:tc>
      </w:tr>
      <w:tr>
        <w:trPr>
          <w:cantSplit/>
        </w:trPr>
        <w:tc>
          <w:tcPr>
            <w:tcW w:type="dxa" w:w="1051"/>
            <w:vAlign w:val="center"/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AC10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FR13与NFR</w:t>
            </w:r>
          </w:p>
        </w:tc>
        <w:tc>
          <w:tcPr>
            <w:tcW w:type="dxa" w:w="685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12个有效基线任务至少11个首次完成；对余下任务定位后可恢复。取消、资源不足和超时有可读提示，耗时与资源记录完整。</w:t>
            </w:r>
          </w:p>
        </w:tc>
      </w:tr>
    </w:tbl>
    <w:p>
      <w:pPr>
        <w:spacing w:after="20" w:before="0" w:line="60" w:lineRule="auto"/>
      </w:pPr>
      <w:r>
        <w:rPr>
          <w:sz w:val="4"/>
        </w:rPr>
      </w:r>
    </w:p>
    <w:p>
      <w:pPr>
        <w:pStyle w:val="Heading2"/>
      </w:pPr>
      <w:r>
        <w:t>评审记录与通过原则</w:t>
      </w:r>
    </w:p>
    <w:p>
      <w:pPr>
        <w:widowControl/>
      </w:pPr>
      <w:r>
        <w:rPr>
          <w:b w:val="0"/>
        </w:rPr>
        <w:t>五分制中，1分表示不可用，3分表示可辨识但存在明显瑕疵，5分表示自然且接近参考素材；各维度独立评分。记录每段样片、评分者、问题和修复结论，不以单一自动相似度分数替代听看检查。</w:t>
      </w:r>
    </w:p>
    <w:p>
      <w:pPr>
        <w:widowControl/>
      </w:pPr>
      <w:r>
        <w:rPr>
          <w:b w:val="0"/>
        </w:rPr>
        <w:t>首版必须满足所有P0功能和双方冻结的质量目标。性能单独报告硬件、模型、分辨率、冷启动与预热结果；未完成基线验证前，不将估算耗时写作已达到的性能。</w:t>
      </w:r>
    </w:p>
    <w:p>
      <w:r>
        <w:br w:type="page"/>
      </w:r>
    </w:p>
    <w:p>
      <w:pPr>
        <w:pStyle w:val="Heading1"/>
      </w:pPr>
      <w:r>
        <w:t>10 实施计划与交付要求</w:t>
      </w:r>
    </w:p>
    <w:p>
      <w:pPr>
        <w:widowControl/>
      </w:pPr>
      <w:r>
        <w:rPr>
          <w:b w:val="0"/>
        </w:rPr>
        <w:t>按以下里程碑推进，先验证模型能力，再完成完整产品流程。照片和视频两条路径都属于首版交付范围；进度按完成条件管理，具体日期根据团队人数和设备条件安排。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1397"/>
        <w:gridCol w:w="4234"/>
        <w:gridCol w:w="4363"/>
      </w:tblGrid>
      <w:tr>
        <w:trPr>
          <w:cantSplit/>
          <w:tblHeader/>
        </w:trPr>
        <w:tc>
          <w:tcPr>
            <w:tcW w:type="dxa" w:w="1397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4234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工作内容</w:t>
            </w:r>
          </w:p>
        </w:tc>
        <w:tc>
          <w:tcPr>
            <w:tcW w:type="dxa" w:w="4363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退出条件</w:t>
            </w:r>
          </w:p>
        </w:tc>
      </w:tr>
      <w:tr>
        <w:trPr>
          <w:cantSplit/>
        </w:trPr>
        <w:tc>
          <w:tcPr>
            <w:tcW w:type="dxa" w:w="1397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M1 能力验证</w:t>
            </w:r>
          </w:p>
        </w:tc>
        <w:tc>
          <w:tcPr>
            <w:tcW w:type="dxa" w:w="423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准备样例；分别验证课件渲染、音色合成、照片动画和视频口型处理。</w:t>
            </w:r>
          </w:p>
        </w:tc>
        <w:tc>
          <w:tcPr>
            <w:tcW w:type="dxa" w:w="4363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两条路径均输出可检查的30秒样片，记录设备、质量和耗时，确定模型版本。</w:t>
            </w:r>
          </w:p>
        </w:tc>
      </w:tr>
      <w:tr>
        <w:trPr>
          <w:cantSplit/>
        </w:trPr>
        <w:tc>
          <w:tcPr>
            <w:tcW w:type="dxa" w:w="1397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M2 内容链路</w:t>
            </w:r>
          </w:p>
        </w:tc>
        <w:tc>
          <w:tcPr>
            <w:tcW w:type="dxa" w:w="423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完成上传、课件解析、逐页讲稿、人工编辑、术语表及语音试听。</w:t>
            </w:r>
          </w:p>
        </w:tc>
        <w:tc>
          <w:tcPr>
            <w:tcW w:type="dxa" w:w="4363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10页课件形成可审核的逐页讲稿及对应音频，原页映射正确。</w:t>
            </w:r>
          </w:p>
        </w:tc>
      </w:tr>
      <w:tr>
        <w:trPr>
          <w:cantSplit/>
        </w:trPr>
        <w:tc>
          <w:tcPr>
            <w:tcW w:type="dxa" w:w="1397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M3 视频闭环</w:t>
            </w:r>
          </w:p>
        </w:tc>
        <w:tc>
          <w:tcPr>
            <w:tcW w:type="dxa" w:w="423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接入两类数字人模块、时间轴、字幕、布局与合成，加入任务队列。</w:t>
            </w:r>
          </w:p>
        </w:tc>
        <w:tc>
          <w:tcPr>
            <w:tcW w:type="dxa" w:w="4363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两条路径均完成约3分钟课程，能预览和导出全部必需成果。</w:t>
            </w:r>
          </w:p>
        </w:tc>
      </w:tr>
      <w:tr>
        <w:trPr>
          <w:cantSplit/>
        </w:trPr>
        <w:tc>
          <w:tcPr>
            <w:tcW w:type="dxa" w:w="1397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M4 可用性与验收</w:t>
            </w:r>
          </w:p>
        </w:tc>
        <w:tc>
          <w:tcPr>
            <w:tcW w:type="dxa" w:w="423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实现失败恢复、局部重做、版本追溯；执行基线与长任务测试。</w:t>
            </w:r>
          </w:p>
        </w:tc>
        <w:tc>
          <w:tcPr>
            <w:tcW w:type="dxa" w:w="4363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提交验收记录、已知限制及部署文档，P0功能和冻结指标通过。</w:t>
            </w:r>
          </w:p>
        </w:tc>
      </w:tr>
    </w:tbl>
    <w:p>
      <w:pPr>
        <w:spacing w:after="20" w:before="0" w:line="60" w:lineRule="auto"/>
      </w:pPr>
      <w:r>
        <w:rPr>
          <w:sz w:val="4"/>
        </w:rPr>
      </w:r>
    </w:p>
    <w:p>
      <w:pPr>
        <w:pStyle w:val="Heading2"/>
      </w:pPr>
      <w:r>
        <w:t>主要实施风险与处理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1944"/>
        <w:gridCol w:w="3096"/>
        <w:gridCol w:w="4954"/>
      </w:tblGrid>
      <w:tr>
        <w:trPr>
          <w:cantSplit/>
          <w:tblHeader/>
        </w:trPr>
        <w:tc>
          <w:tcPr>
            <w:tcW w:type="dxa" w:w="1944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风险</w:t>
            </w:r>
          </w:p>
        </w:tc>
        <w:tc>
          <w:tcPr>
            <w:tcW w:type="dxa" w:w="3096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可观察的问题</w:t>
            </w:r>
          </w:p>
        </w:tc>
        <w:tc>
          <w:tcPr>
            <w:tcW w:type="dxa" w:w="4954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处理措施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PPT复杂内容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图表、公式或字体在解析和渲染后失真。</w:t>
            </w:r>
          </w:p>
        </w:tc>
        <w:tc>
          <w:tcPr>
            <w:tcW w:type="dxa" w:w="495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保留原页对照；结构解析与视觉理解结合；关键内容由教师校正。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参考音频质量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音色不稳定、术语读错、噪声明显。</w:t>
            </w:r>
          </w:p>
        </w:tc>
        <w:tc>
          <w:tcPr>
            <w:tcW w:type="dxa" w:w="495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提供质量预览和重录建议；维护读音表；按句试听后再长音频生成。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长视频一致性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人物跳变、口型抖动、循环接缝可见。</w:t>
            </w:r>
          </w:p>
        </w:tc>
        <w:tc>
          <w:tcPr>
            <w:tcW w:type="dxa" w:w="495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分段缓存并检查连接点，选择稳定素材，控制小窗尺寸；异常片段重做。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依赖和资源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模型环境冲突、显存不足、执行时间过长。</w:t>
            </w:r>
          </w:p>
        </w:tc>
        <w:tc>
          <w:tcPr>
            <w:tcW w:type="dxa" w:w="495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各模型独立环境与固定版本；设置队列、资源限制和断点恢复。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组件使用条件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代码、权重及依赖的使用条件不一致。</w:t>
            </w:r>
          </w:p>
        </w:tc>
        <w:tc>
          <w:tcPr>
            <w:tcW w:type="dxa" w:w="4954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选型时分别核对代码、权重和依赖说明，记录适用范围与版本。</w:t>
            </w:r>
          </w:p>
        </w:tc>
      </w:tr>
    </w:tbl>
    <w:p>
      <w:pPr>
        <w:spacing w:after="20" w:before="0" w:line="60" w:lineRule="auto"/>
      </w:pPr>
      <w:r>
        <w:rPr>
          <w:sz w:val="4"/>
        </w:rPr>
      </w:r>
    </w:p>
    <w:p>
      <w:pPr>
        <w:pStyle w:val="Heading2"/>
      </w:pPr>
      <w:r>
        <w:t>项目交付物</w:t>
      </w:r>
    </w:p>
    <w:p>
      <w:pPr>
        <w:pStyle w:val="ListBullet"/>
      </w:pPr>
      <w:r>
        <w:t>可运行的应用与源代码，包含模型适配层、任务管理和课程合成流程。</w:t>
      </w:r>
    </w:p>
    <w:p>
      <w:pPr>
        <w:pStyle w:val="ListBullet"/>
      </w:pPr>
      <w:r>
        <w:t>环境与部署说明、配置模板、依赖及模型版本清单，不包含硬编码密钥。</w:t>
      </w:r>
    </w:p>
    <w:p>
      <w:pPr>
        <w:pStyle w:val="ListBullet"/>
      </w:pPr>
      <w:r>
        <w:t>两类输入模式的演示课程、逐页讲稿、字幕、任务清单及可复现样例说明。</w:t>
      </w:r>
    </w:p>
    <w:p>
      <w:pPr>
        <w:pStyle w:val="ListBullet"/>
      </w:pPr>
      <w:r>
        <w:t>测试记录、性能基线、已知限制、教师操作说明和异常处理说明。</w:t>
      </w:r>
    </w:p>
    <w:p>
      <w:r>
        <w:br w:type="page"/>
      </w:r>
    </w:p>
    <w:p>
      <w:pPr>
        <w:pStyle w:val="Heading1"/>
      </w:pPr>
      <w:r>
        <w:t>11 参考资料与需求冻结事项</w:t>
      </w:r>
    </w:p>
    <w:p>
      <w:pPr>
        <w:widowControl/>
      </w:pPr>
      <w:r>
        <w:rPr>
          <w:b w:val="0"/>
        </w:rPr>
        <w:t>技术路线参考以下项目官方仓库和文档，访问日期为2026年10月1日。资料用于说明候选组件的能力定位；集成前应固定代码提交、模型权重版本及相关使用条件。</w:t>
      </w:r>
    </w:p>
    <w:p>
      <w:pPr>
        <w:spacing w:after="160"/>
      </w:pPr>
      <w:r>
        <w:rPr>
          <w:b/>
        </w:rPr>
        <w:t>[1] python-pptx  官方文档  用于PPTX结构读写</w:t>
        <w:br/>
      </w:r>
      <w:hyperlink r:id="rId11">
        <w:r>
          <w:rPr>
            <w:sz w:val="20"/>
            <w:color w:val="215A7D"/>
          </w:rPr>
          <w:t>https://python-pptx.readthedocs.io/en/latest/</w:t>
        </w:r>
      </w:hyperlink>
    </w:p>
    <w:p>
      <w:pPr>
        <w:spacing w:after="160"/>
      </w:pPr>
      <w:r>
        <w:rPr>
          <w:b/>
        </w:rPr>
        <w:t>[2] GPT-SoVITS  官方仓库  用于参考音色语音合成</w:t>
        <w:br/>
      </w:r>
      <w:hyperlink r:id="rId12">
        <w:r>
          <w:rPr>
            <w:sz w:val="20"/>
            <w:color w:val="215A7D"/>
          </w:rPr>
          <w:t>https://github.com/RVC-Boss/GPT-SoVITS</w:t>
        </w:r>
      </w:hyperlink>
    </w:p>
    <w:p>
      <w:pPr>
        <w:spacing w:after="160"/>
      </w:pPr>
      <w:r>
        <w:rPr>
          <w:b/>
        </w:rPr>
        <w:t>[3] SadTalker  官方仓库  用于音频驱动单图人像</w:t>
        <w:br/>
      </w:r>
      <w:hyperlink r:id="rId13">
        <w:r>
          <w:rPr>
            <w:sz w:val="20"/>
            <w:color w:val="215A7D"/>
          </w:rPr>
          <w:t>https://github.com/OpenTalker/SadTalker</w:t>
        </w:r>
      </w:hyperlink>
    </w:p>
    <w:p>
      <w:pPr>
        <w:spacing w:after="160"/>
      </w:pPr>
      <w:r>
        <w:rPr>
          <w:b/>
        </w:rPr>
        <w:t>[4] MuseTalk  官方仓库  用于音频驱动口型同步</w:t>
        <w:br/>
      </w:r>
      <w:hyperlink r:id="rId14">
        <w:r>
          <w:rPr>
            <w:sz w:val="20"/>
            <w:color w:val="215A7D"/>
          </w:rPr>
          <w:t>https://github.com/TMElyralab/MuseTalk</w:t>
        </w:r>
      </w:hyperlink>
    </w:p>
    <w:p>
      <w:pPr>
        <w:spacing w:after="160"/>
      </w:pPr>
      <w:r>
        <w:rPr>
          <w:b/>
        </w:rPr>
        <w:t>[5] FFmpeg  官方文档  用于音视频转换和合成</w:t>
        <w:br/>
      </w:r>
      <w:hyperlink r:id="rId15">
        <w:r>
          <w:rPr>
            <w:sz w:val="20"/>
            <w:color w:val="215A7D"/>
          </w:rPr>
          <w:t>https://ffmpeg.org/ffmpeg.html</w:t>
        </w:r>
      </w:hyperlink>
    </w:p>
    <w:p>
      <w:pPr>
        <w:pStyle w:val="Heading2"/>
      </w:pPr>
      <w:r>
        <w:t>需求冻结时需要确定的参数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5" w:type="dxa"/>
          <w:left w:w="110" w:type="dxa"/>
          <w:bottom w:w="95" w:type="dxa"/>
          <w:right w:w="110" w:type="dxa"/>
        </w:tblCellMar>
      </w:tblPr>
      <w:tblGrid>
        <w:gridCol w:w="1728"/>
        <w:gridCol w:w="3946"/>
        <w:gridCol w:w="4320"/>
      </w:tblGrid>
      <w:tr>
        <w:trPr>
          <w:cantSplit/>
          <w:tblHeader/>
        </w:trPr>
        <w:tc>
          <w:tcPr>
            <w:tcW w:type="dxa" w:w="1728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事项</w:t>
            </w:r>
          </w:p>
        </w:tc>
        <w:tc>
          <w:tcPr>
            <w:tcW w:type="dxa" w:w="3946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建议起点</w:t>
            </w:r>
          </w:p>
        </w:tc>
        <w:tc>
          <w:tcPr>
            <w:tcW w:type="dxa" w:w="4320"/>
            <w:vAlign w:val="center"/>
            <w:shd w:fill="DCE6F1"/>
          </w:tcPr>
          <w:p>
            <w:pPr>
              <w:spacing w:after="0" w:before="0" w:line="280" w:lineRule="exact"/>
            </w:pPr>
            <w:r>
              <w:rPr>
                <w:b/>
                <w:color w:val="000000"/>
                <w:sz w:val="20"/>
              </w:rPr>
              <w:t>冻结依据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使用场景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单教师中文课程，PPT与教师小窗布局。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实际课程样例和制作流程。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语音用途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音色参考为P0；完整录音对齐为P1。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用户实际提供的是短音色样本还是完整讲课录音。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任务规模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1至50页，单任务不超过30分钟。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课程长度、模型稳定性及存储条件。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部署环境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网页操作，GPU工作进程异步生成。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可用设备、预算及是否允许外部模型API。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质量与性能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以第9节建议指标和M1实测结果为起点。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确认测试数据、评分规则、目标硬件与处理时限。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素材保留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项目持有期间保存，用户可主动删除。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 w:before="0" w:line="280" w:lineRule="exact"/>
            </w:pPr>
            <w:r>
              <w:rPr>
                <w:b w:val="0"/>
                <w:color w:val="000000"/>
                <w:sz w:val="20"/>
              </w:rPr>
              <w:t>团队对容量、访问权限与备份的实际要求。</w:t>
            </w:r>
          </w:p>
        </w:tc>
      </w:tr>
    </w:tbl>
    <w:p>
      <w:pPr>
        <w:spacing w:after="20" w:before="0" w:line="60" w:lineRule="auto"/>
      </w:pPr>
      <w:r>
        <w:rPr>
          <w:sz w:val="4"/>
        </w:rPr>
      </w:r>
    </w:p>
    <w:p>
      <w:pPr>
        <w:pStyle w:val="Heading2"/>
      </w:pPr>
      <w:r>
        <w:t>变更管理</w:t>
      </w:r>
    </w:p>
    <w:p>
      <w:pPr>
        <w:widowControl/>
      </w:pPr>
      <w:r>
        <w:rPr>
          <w:b w:val="0"/>
        </w:rPr>
        <w:t>冻结后新增语言、提高视频分辨率、扩大并发或增加全身动作等需求，应说明对模型、资源、工期和验收的影响并更新版本。只涉及文案、布局或默认值的调整仍须保留变更记录，确保开发实现和验收口径一致。</w:t>
      </w:r>
    </w:p>
    <w:sectPr w:rsidR="00FC693F" w:rsidRPr="0006063C" w:rsidSect="00034616">
      <w:footerReference w:type="default" r:id="rId9"/>
      <w:pgSz w:w="12240" w:h="15840"/>
      <w:pgMar w:top="1008" w:right="1123" w:bottom="950" w:left="1123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9" w:lineRule="exact" w:after="100"/>
    </w:pPr>
    <w:rPr>
      <w:rFonts w:ascii="Noto Sans CJK SC" w:hAnsi="Noto Sans CJK SC" w:eastAsia="Noto Sans CJK SC" w:cs="Noto Sans CJK SC"/>
      <w:b w:val="0"/>
      <w:color w:val="000000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522" w:lineRule="exact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2" w:lineRule="exact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19" w:lineRule="exact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725" w:lineRule="exact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48" w:lineRule="exact" w:after="100"/>
    </w:pPr>
    <w:rPr>
      <w:rFonts w:asciiTheme="majorHAnsi" w:eastAsiaTheme="majorEastAsia" w:hAnsiTheme="majorHAnsi" w:cstheme="majorBidi" w:ascii="Noto Sans CJK SC" w:hAnsi="Noto Sans CJK SC" w:eastAsia="Noto Sans CJK SC" w:cs="Noto Sans CJK SC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9" w:lineRule="exact" w:after="80"/>
      <w:contextualSpacing/>
    </w:pPr>
    <w:rPr>
      <w:rFonts w:ascii="Noto Sans CJK SC" w:hAnsi="Noto Sans CJK SC" w:eastAsia="Noto Sans CJK SC" w:cs="Noto Sans CJK S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19" w:lineRule="exact" w:after="80"/>
      <w:contextualSpacing/>
    </w:pPr>
    <w:rPr>
      <w:rFonts w:ascii="Noto Sans CJK SC" w:hAnsi="Noto Sans CJK SC" w:eastAsia="Noto Sans CJK SC" w:cs="Noto Sans CJK SC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python-pptx.readthedocs.io/en/latest/" TargetMode="External"/><Relationship Id="rId12" Type="http://schemas.openxmlformats.org/officeDocument/2006/relationships/hyperlink" Target="https://github.com/RVC-Boss/GPT-SoVITS" TargetMode="External"/><Relationship Id="rId13" Type="http://schemas.openxmlformats.org/officeDocument/2006/relationships/hyperlink" Target="https://github.com/OpenTalker/SadTalker" TargetMode="External"/><Relationship Id="rId14" Type="http://schemas.openxmlformats.org/officeDocument/2006/relationships/hyperlink" Target="https://github.com/TMElyralab/MuseTalk" TargetMode="External"/><Relationship Id="rId15" Type="http://schemas.openxmlformats.org/officeDocument/2006/relationships/hyperlink" Target="https://ffmpeg.org/ffmpe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数字人教师慕课生成系统需求规格说明书</dc:title>
  <dc:subject>产品范围 功能需求 技术路线 验收方案</dc:subject>
  <dc:creator/>
  <cp:keywords>数字人,慕课,PPT,语音合成,需求文档</cp:keywords>
  <dc:description>generated by python-docx</dc:description>
  <cp:lastModifiedBy/>
  <cp:revision>1</cp:revision>
  <dcterms:created xsi:type="dcterms:W3CDTF">2026-10-01T06:22:00Z</dcterms:created>
  <dcterms:modified xsi:type="dcterms:W3CDTF">2026-10-01T06:22:00Z</dcterms:modified>
  <cp:category/>
</cp:coreProperties>
</file>