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340340">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34034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340340">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340340">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5367C1" w:rsidRDefault="00FB5A8C" w:rsidP="000B052C">
      <w:pPr>
        <w:pStyle w:val="1"/>
      </w:pPr>
      <w:bookmarkStart w:id="3" w:name="_Toc455267057"/>
      <w:r>
        <w:rPr>
          <w:rFonts w:hint="eastAsia"/>
        </w:rPr>
        <w:t>交易系统</w:t>
      </w:r>
      <w:bookmarkEnd w:id="3"/>
    </w:p>
    <w:p w:rsidR="005A564F" w:rsidRPr="005A564F" w:rsidRDefault="005A564F" w:rsidP="005A564F">
      <w:pPr>
        <w:pStyle w:val="2"/>
      </w:pPr>
      <w:bookmarkStart w:id="4" w:name="_Toc455267058"/>
      <w:r>
        <w:rPr>
          <w:rFonts w:hint="eastAsia"/>
        </w:rPr>
        <w:t>交易原则</w:t>
      </w:r>
      <w:bookmarkEnd w:id="4"/>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455E8C" w:rsidRPr="00455E8C" w:rsidRDefault="008E5F69" w:rsidP="005768EA">
      <w:pPr>
        <w:pStyle w:val="2"/>
      </w:pPr>
      <w:bookmarkStart w:id="5" w:name="_Toc455267059"/>
      <w:r>
        <w:rPr>
          <w:rFonts w:hint="eastAsia"/>
        </w:rPr>
        <w:t>交易模型</w:t>
      </w:r>
      <w:bookmarkEnd w:id="5"/>
    </w:p>
    <w:p w:rsidR="004701A8" w:rsidRDefault="004701A8" w:rsidP="008E5F69">
      <w:pPr>
        <w:ind w:firstLineChars="200" w:firstLine="420"/>
        <w:rPr>
          <w:rFonts w:hint="eastAsia"/>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6" w:name="_Toc455267068"/>
      <w:r>
        <w:rPr>
          <w:rFonts w:hint="eastAsia"/>
        </w:rPr>
        <w:lastRenderedPageBreak/>
        <w:t>旬周日</w:t>
      </w:r>
      <w:r>
        <w:rPr>
          <w:rFonts w:hint="eastAsia"/>
        </w:rPr>
        <w:t>交易模型</w:t>
      </w:r>
      <w:bookmarkEnd w:id="6"/>
    </w:p>
    <w:p w:rsidR="009968BD" w:rsidRDefault="009968BD" w:rsidP="009968BD">
      <w:pPr>
        <w:pStyle w:val="a0"/>
        <w:rPr>
          <w:rFonts w:hint="eastAsia"/>
        </w:rPr>
      </w:pPr>
      <w:r>
        <w:rPr>
          <w:rFonts w:hint="eastAsia"/>
        </w:rPr>
        <w:t>建立以旬为交易周期，以周为单位的交易体系。</w:t>
      </w:r>
    </w:p>
    <w:p w:rsidR="009968BD" w:rsidRDefault="009968BD" w:rsidP="009968BD">
      <w:pPr>
        <w:pStyle w:val="a0"/>
        <w:rPr>
          <w:rFonts w:hint="eastAsia"/>
        </w:rPr>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rPr>
          <w:rFonts w:hint="eastAsia"/>
        </w:r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rPr>
          <w:rFonts w:hint="eastAsia"/>
        </w:r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9968BD" w:rsidRPr="00276767" w:rsidRDefault="009968BD" w:rsidP="009968BD">
      <w:pPr>
        <w:pStyle w:val="4"/>
      </w:pPr>
      <w:r>
        <w:rPr>
          <w:rFonts w:hint="eastAsia"/>
        </w:rPr>
        <w:t xml:space="preserve"> </w:t>
      </w:r>
      <w:r>
        <w:rPr>
          <w:rFonts w:hint="eastAsia"/>
        </w:rPr>
        <w:t>卖出策略</w:t>
      </w:r>
    </w:p>
    <w:p w:rsidR="009968BD" w:rsidRDefault="009968BD" w:rsidP="008E5F69">
      <w:pPr>
        <w:ind w:firstLineChars="200" w:firstLine="420"/>
        <w:rPr>
          <w:color w:val="FF0000"/>
        </w:rPr>
      </w:pPr>
    </w:p>
    <w:p w:rsidR="00507762" w:rsidRDefault="00507762" w:rsidP="00507762">
      <w:pPr>
        <w:pStyle w:val="3"/>
      </w:pPr>
      <w:bookmarkStart w:id="7" w:name="_Toc455267060"/>
      <w:r>
        <w:rPr>
          <w:rFonts w:hint="eastAsia"/>
        </w:rPr>
        <w:t>日内交易模型</w:t>
      </w:r>
      <w:r>
        <w:rPr>
          <w:rFonts w:hint="eastAsia"/>
        </w:rPr>
        <w:t>T</w:t>
      </w:r>
      <w:bookmarkEnd w:id="7"/>
    </w:p>
    <w:p w:rsidR="00F2772D" w:rsidRDefault="0037664C" w:rsidP="00F2772D">
      <w:pPr>
        <w:pStyle w:val="4"/>
      </w:pPr>
      <w:r>
        <w:rPr>
          <w:rFonts w:hint="eastAsia"/>
        </w:rPr>
        <w:t xml:space="preserve"> </w:t>
      </w:r>
      <w:r w:rsidR="00F2772D">
        <w:rPr>
          <w:rFonts w:hint="eastAsia"/>
        </w:rPr>
        <w:t>利润来源</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rPr>
          <w:rFonts w:hint="eastAsia"/>
        </w:rPr>
      </w:pPr>
      <w:r>
        <w:rPr>
          <w:rFonts w:hint="eastAsia"/>
        </w:rPr>
        <w:lastRenderedPageBreak/>
        <w:t xml:space="preserve"> </w:t>
      </w:r>
      <w:r w:rsidR="00195DE0">
        <w:rPr>
          <w:rFonts w:hint="eastAsia"/>
        </w:rPr>
        <w:t>买入</w:t>
      </w:r>
      <w:r>
        <w:rPr>
          <w:rFonts w:hint="eastAsia"/>
        </w:rPr>
        <w:t>策略</w:t>
      </w:r>
    </w:p>
    <w:p w:rsidR="00A669CC" w:rsidRPr="00A669CC" w:rsidRDefault="00A669CC" w:rsidP="00A669CC">
      <w:pPr>
        <w:pStyle w:val="a0"/>
      </w:pPr>
      <w:r>
        <w:rPr>
          <w:rFonts w:hint="eastAsia"/>
        </w:rPr>
        <w:t>当日大盘要预测好，手里持有股票，开盘即买入，尾盘一定要抛售。</w:t>
      </w:r>
    </w:p>
    <w:p w:rsidR="00195DE0" w:rsidRPr="00276767" w:rsidRDefault="00195DE0" w:rsidP="00195DE0">
      <w:pPr>
        <w:pStyle w:val="4"/>
      </w:pPr>
      <w:r>
        <w:rPr>
          <w:rFonts w:hint="eastAsia"/>
        </w:rPr>
        <w:t xml:space="preserve"> </w:t>
      </w:r>
      <w:r>
        <w:rPr>
          <w:rFonts w:hint="eastAsia"/>
        </w:rPr>
        <w:t>卖出策略</w:t>
      </w:r>
    </w:p>
    <w:p w:rsidR="00195DE0" w:rsidRPr="00195DE0" w:rsidRDefault="00A669CC" w:rsidP="00195DE0">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p>
    <w:p w:rsidR="00623336" w:rsidRDefault="00623336" w:rsidP="00623336">
      <w:pPr>
        <w:pStyle w:val="3"/>
      </w:pPr>
      <w:bookmarkStart w:id="8" w:name="_Toc455267061"/>
      <w:bookmarkStart w:id="9" w:name="_GoBack"/>
      <w:bookmarkEnd w:id="9"/>
      <w:r>
        <w:rPr>
          <w:rFonts w:hint="eastAsia"/>
        </w:rPr>
        <w:t>尾盘交易方法</w:t>
      </w:r>
      <w:bookmarkEnd w:id="8"/>
    </w:p>
    <w:p w:rsidR="00717316" w:rsidRDefault="00717316" w:rsidP="00717316">
      <w:pPr>
        <w:pStyle w:val="4"/>
      </w:pPr>
      <w:r>
        <w:rPr>
          <w:rFonts w:hint="eastAsia"/>
        </w:rPr>
        <w:t xml:space="preserve"> </w:t>
      </w:r>
      <w:r>
        <w:rPr>
          <w:rFonts w:hint="eastAsia"/>
        </w:rPr>
        <w:t>利润来源</w:t>
      </w:r>
    </w:p>
    <w:p w:rsidR="00717316" w:rsidRDefault="00195DE0" w:rsidP="00717316">
      <w:pPr>
        <w:ind w:firstLineChars="200" w:firstLine="420"/>
      </w:pPr>
      <w:r>
        <w:rPr>
          <w:rFonts w:hint="eastAsia"/>
        </w:rPr>
        <w:t>当一支股票走了一段时间的强势后，有一部分获利盘出货，造成阶段性的供大于求的效应，等短期获利盘出空时候，可以买入，获取阶段性利润。</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4F401F" w:rsidRPr="00276767" w:rsidRDefault="004F401F" w:rsidP="004F401F">
      <w:pPr>
        <w:pStyle w:val="4"/>
      </w:pPr>
      <w:r>
        <w:rPr>
          <w:rFonts w:hint="eastAsia"/>
        </w:rPr>
        <w:t xml:space="preserve"> </w:t>
      </w:r>
      <w:r>
        <w:rPr>
          <w:rFonts w:hint="eastAsia"/>
        </w:rPr>
        <w:t>卖出策略</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0" w:name="_Toc455267062"/>
      <w:r w:rsidRPr="00A43398">
        <w:rPr>
          <w:rFonts w:hint="eastAsia"/>
        </w:rPr>
        <w:t>打板模式</w:t>
      </w:r>
      <w:bookmarkEnd w:id="10"/>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1" w:name="_Toc455267063"/>
      <w:r>
        <w:rPr>
          <w:rFonts w:hint="eastAsia"/>
        </w:rPr>
        <w:t>中线交易模型</w:t>
      </w:r>
      <w:bookmarkEnd w:id="11"/>
    </w:p>
    <w:p w:rsidR="00CE13BA" w:rsidRDefault="00204D1B" w:rsidP="00CE13BA">
      <w:pPr>
        <w:pStyle w:val="a0"/>
      </w:pPr>
      <w:r>
        <w:rPr>
          <w:rFonts w:hint="eastAsia"/>
        </w:rPr>
        <w:t>中线交易一般是跟随进场的资金。一定选择波段底部进入，可以忍受适当的亏损。</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C133F9" w:rsidRDefault="00C133F9" w:rsidP="00C133F9">
      <w:pPr>
        <w:pStyle w:val="3"/>
      </w:pPr>
      <w:bookmarkStart w:id="12" w:name="_Toc455267064"/>
      <w:r>
        <w:rPr>
          <w:rFonts w:hint="eastAsia"/>
        </w:rPr>
        <w:t>短线交易模型</w:t>
      </w:r>
      <w:bookmarkEnd w:id="12"/>
    </w:p>
    <w:p w:rsidR="00C133F9" w:rsidRDefault="00CE13BA" w:rsidP="00C133F9">
      <w:pPr>
        <w:pStyle w:val="a0"/>
      </w:pPr>
      <w:r>
        <w:rPr>
          <w:rFonts w:hint="eastAsia"/>
        </w:rPr>
        <w:t>短线交易一般是赚市场情绪产生的波动的钱。</w:t>
      </w:r>
    </w:p>
    <w:p w:rsidR="00204D1B" w:rsidRDefault="00204D1B" w:rsidP="00204D1B">
      <w:pPr>
        <w:pStyle w:val="3"/>
      </w:pPr>
      <w:bookmarkStart w:id="13" w:name="_Toc455267065"/>
      <w:r>
        <w:rPr>
          <w:rFonts w:hint="eastAsia"/>
        </w:rPr>
        <w:lastRenderedPageBreak/>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826096" w:rsidRDefault="00826096" w:rsidP="00056907">
      <w:pPr>
        <w:pStyle w:val="a0"/>
      </w:pPr>
    </w:p>
    <w:p w:rsidR="002913AA" w:rsidRDefault="0006258B" w:rsidP="002913AA">
      <w:pPr>
        <w:pStyle w:val="3"/>
      </w:pPr>
      <w:r w:rsidRPr="0006258B">
        <w:rPr>
          <w:rFonts w:hint="eastAsia"/>
        </w:rPr>
        <w:t> </w:t>
      </w:r>
      <w:bookmarkStart w:id="16" w:name="_Toc455267069"/>
      <w:r w:rsidRPr="0006258B">
        <w:rPr>
          <w:rFonts w:hint="eastAsia"/>
        </w:rPr>
        <w:t>涨停二次回探第三日介入模式</w:t>
      </w:r>
      <w:bookmarkEnd w:id="16"/>
      <w:r w:rsidRPr="0006258B">
        <w:rPr>
          <w:rFonts w:hint="eastAsia"/>
        </w:rPr>
        <w:t xml:space="preserve"> </w:t>
      </w:r>
    </w:p>
    <w:p w:rsidR="0006258B" w:rsidRPr="002913AA" w:rsidRDefault="0006258B" w:rsidP="002913AA">
      <w:pPr>
        <w:ind w:firstLine="425"/>
      </w:pPr>
      <w:r w:rsidRPr="0006258B">
        <w:rPr>
          <w:rFonts w:hint="eastAsia"/>
        </w:rPr>
        <w:t>一定要有放量涨停板的出现</w:t>
      </w:r>
      <w:r w:rsidR="002913AA">
        <w:rPr>
          <w:rFonts w:hint="eastAsia"/>
        </w:rPr>
        <w:t>，然后</w:t>
      </w:r>
    </w:p>
    <w:p w:rsidR="00723801" w:rsidRDefault="00723801" w:rsidP="00723801">
      <w:pPr>
        <w:pStyle w:val="3"/>
      </w:pPr>
      <w:bookmarkStart w:id="17" w:name="_Toc455267070"/>
      <w:r>
        <w:rPr>
          <w:rFonts w:hint="eastAsia"/>
        </w:rPr>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lastRenderedPageBreak/>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Pr="00096EBC" w:rsidRDefault="00096EBC" w:rsidP="00096EBC">
      <w:pPr>
        <w:pStyle w:val="a0"/>
      </w:pPr>
      <w:r>
        <w:rPr>
          <w:rFonts w:hint="eastAsia"/>
        </w:rPr>
        <w:t>股票日内放量大涨，追高建仓，快进快出。</w:t>
      </w:r>
    </w:p>
    <w:p w:rsidR="00D476C9" w:rsidRDefault="00D476C9" w:rsidP="00D476C9">
      <w:pPr>
        <w:pStyle w:val="2"/>
      </w:pPr>
      <w:bookmarkStart w:id="22" w:name="_Toc455267075"/>
      <w:r>
        <w:rPr>
          <w:rFonts w:hint="eastAsia"/>
        </w:rPr>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proofErr w:type="gramStart"/>
      <w:r>
        <w:rPr>
          <w:rFonts w:hint="eastAsia"/>
        </w:rPr>
        <w:t>仓位</w:t>
      </w:r>
      <w:proofErr w:type="gramEnd"/>
      <w:r>
        <w:rPr>
          <w:rFonts w:hint="eastAsia"/>
        </w:rPr>
        <w:t>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lastRenderedPageBreak/>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CD4DA1" w:rsidP="00FD11C9">
      <w:pPr>
        <w:pStyle w:val="a0"/>
      </w:pPr>
      <w:r>
        <w:rPr>
          <w:rFonts w:hint="eastAsia"/>
        </w:rPr>
        <w:t>市场大涨和大跌交易日的概念</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lastRenderedPageBreak/>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pPr>
      <w:bookmarkStart w:id="38" w:name="_Toc455267091"/>
      <w:r>
        <w:rPr>
          <w:rFonts w:hint="eastAsia"/>
        </w:rPr>
        <w:t>7</w:t>
      </w:r>
      <w:r>
        <w:rPr>
          <w:rFonts w:hint="eastAsia"/>
        </w:rPr>
        <w:t>月份</w:t>
      </w:r>
      <w:bookmarkEnd w:id="38"/>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39" w:name="_Toc455267092"/>
      <w:r>
        <w:rPr>
          <w:rFonts w:hint="eastAsia"/>
        </w:rPr>
        <w:lastRenderedPageBreak/>
        <w:t>8</w:t>
      </w:r>
      <w:r>
        <w:rPr>
          <w:rFonts w:hint="eastAsia"/>
        </w:rPr>
        <w:t>月份</w:t>
      </w:r>
      <w:bookmarkEnd w:id="39"/>
    </w:p>
    <w:p w:rsidR="00C44914" w:rsidRDefault="00C44914" w:rsidP="00C44914">
      <w:pPr>
        <w:pStyle w:val="3"/>
      </w:pPr>
      <w:bookmarkStart w:id="40" w:name="_Toc455267093"/>
      <w:r>
        <w:rPr>
          <w:rFonts w:hint="eastAsia"/>
        </w:rPr>
        <w:t>9</w:t>
      </w:r>
      <w:r>
        <w:rPr>
          <w:rFonts w:hint="eastAsia"/>
        </w:rPr>
        <w:t>月份</w:t>
      </w:r>
      <w:bookmarkEnd w:id="40"/>
    </w:p>
    <w:p w:rsidR="00C44914" w:rsidRDefault="00C44914" w:rsidP="00C44914">
      <w:pPr>
        <w:pStyle w:val="3"/>
      </w:pPr>
      <w:bookmarkStart w:id="41" w:name="_Toc455267094"/>
      <w:r>
        <w:rPr>
          <w:rFonts w:hint="eastAsia"/>
        </w:rPr>
        <w:t>10</w:t>
      </w:r>
      <w:r>
        <w:rPr>
          <w:rFonts w:hint="eastAsia"/>
        </w:rPr>
        <w:t>月份</w:t>
      </w:r>
      <w:bookmarkEnd w:id="41"/>
    </w:p>
    <w:p w:rsidR="00A90D69" w:rsidRDefault="00A90D69" w:rsidP="00A90D69">
      <w:pPr>
        <w:pStyle w:val="3"/>
      </w:pPr>
      <w:bookmarkStart w:id="42" w:name="_Toc455267095"/>
      <w:r>
        <w:rPr>
          <w:rFonts w:hint="eastAsia"/>
        </w:rPr>
        <w:t>11</w:t>
      </w:r>
      <w:r>
        <w:rPr>
          <w:rFonts w:hint="eastAsia"/>
        </w:rPr>
        <w:t>月份</w:t>
      </w:r>
      <w:bookmarkEnd w:id="42"/>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3" w:name="_Toc455267096"/>
      <w:r>
        <w:rPr>
          <w:rFonts w:hint="eastAsia"/>
        </w:rPr>
        <w:t>12</w:t>
      </w:r>
      <w:r>
        <w:rPr>
          <w:rFonts w:hint="eastAsia"/>
        </w:rPr>
        <w:t>月份</w:t>
      </w:r>
      <w:bookmarkEnd w:id="43"/>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4" w:name="_Toc455267097"/>
      <w:r>
        <w:rPr>
          <w:rFonts w:hint="eastAsia"/>
        </w:rPr>
        <w:t>开盘</w:t>
      </w:r>
      <w:bookmarkEnd w:id="44"/>
      <w:r w:rsidR="00F20DAD">
        <w:rPr>
          <w:rFonts w:hint="eastAsia"/>
        </w:rPr>
        <w:t>点位影响分析</w:t>
      </w:r>
    </w:p>
    <w:p w:rsidR="00B97D3F" w:rsidRDefault="00340340"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5" w:name="_Toc455267098"/>
      <w:r>
        <w:rPr>
          <w:rFonts w:hint="eastAsia"/>
        </w:rPr>
        <w:t>特殊</w:t>
      </w:r>
      <w:bookmarkEnd w:id="45"/>
      <w:r w:rsidR="00F20DAD">
        <w:rPr>
          <w:rFonts w:hint="eastAsia"/>
        </w:rPr>
        <w:t>日期分析</w:t>
      </w:r>
    </w:p>
    <w:p w:rsidR="00940137" w:rsidRPr="0029530E" w:rsidRDefault="00940137" w:rsidP="00940137">
      <w:pPr>
        <w:pStyle w:val="2"/>
        <w:numPr>
          <w:ilvl w:val="1"/>
          <w:numId w:val="12"/>
        </w:numPr>
      </w:pPr>
      <w:bookmarkStart w:id="46" w:name="_Toc455267099"/>
      <w:r>
        <w:rPr>
          <w:rFonts w:hint="eastAsia"/>
        </w:rPr>
        <w:t>板块轮转的原理</w:t>
      </w:r>
      <w:bookmarkEnd w:id="46"/>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7" w:name="_Toc455267100"/>
      <w:proofErr w:type="gramStart"/>
      <w:r>
        <w:rPr>
          <w:rFonts w:hint="eastAsia"/>
        </w:rPr>
        <w:lastRenderedPageBreak/>
        <w:t>财报知识</w:t>
      </w:r>
      <w:bookmarkEnd w:id="47"/>
      <w:proofErr w:type="gramEnd"/>
    </w:p>
    <w:p w:rsidR="00C212C2" w:rsidRPr="00C212C2" w:rsidRDefault="00C212C2" w:rsidP="00C212C2">
      <w:pPr>
        <w:pStyle w:val="a0"/>
      </w:pPr>
    </w:p>
    <w:p w:rsidR="004B080C" w:rsidRDefault="004B080C" w:rsidP="004B080C">
      <w:pPr>
        <w:pStyle w:val="1"/>
      </w:pPr>
      <w:bookmarkStart w:id="48" w:name="_Toc455267101"/>
      <w:r>
        <w:rPr>
          <w:rFonts w:hint="eastAsia"/>
        </w:rPr>
        <w:t>K</w:t>
      </w:r>
      <w:r>
        <w:rPr>
          <w:rFonts w:hint="eastAsia"/>
        </w:rPr>
        <w:t>线组合</w:t>
      </w:r>
      <w:bookmarkEnd w:id="48"/>
    </w:p>
    <w:p w:rsidR="004B080C" w:rsidRPr="004B080C" w:rsidRDefault="004B080C" w:rsidP="004B080C">
      <w:pPr>
        <w:pStyle w:val="a0"/>
      </w:pPr>
    </w:p>
    <w:p w:rsidR="00014307" w:rsidRDefault="00014307" w:rsidP="00014307">
      <w:pPr>
        <w:pStyle w:val="1"/>
      </w:pPr>
      <w:bookmarkStart w:id="49" w:name="_Toc455267102"/>
      <w:r>
        <w:rPr>
          <w:rFonts w:hint="eastAsia"/>
        </w:rPr>
        <w:t>技术指标</w:t>
      </w:r>
      <w:bookmarkEnd w:id="49"/>
    </w:p>
    <w:p w:rsidR="00776B30" w:rsidRDefault="00DC4C10" w:rsidP="00DC4C10">
      <w:pPr>
        <w:pStyle w:val="2"/>
      </w:pPr>
      <w:bookmarkStart w:id="50" w:name="_Toc455267103"/>
      <w:r w:rsidRPr="00DC4C10">
        <w:t>MACD</w:t>
      </w:r>
      <w:bookmarkEnd w:id="50"/>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1" w:name="_Toc455267104"/>
      <w:r>
        <w:t>KDJ</w:t>
      </w:r>
      <w:bookmarkEnd w:id="51"/>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w:t>
      </w:r>
      <w:r>
        <w:rPr>
          <w:rFonts w:ascii="Simsun" w:hAnsi="Simsun"/>
          <w:color w:val="000000"/>
          <w:sz w:val="21"/>
          <w:szCs w:val="21"/>
        </w:rPr>
        <w:lastRenderedPageBreak/>
        <w:t>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lastRenderedPageBreak/>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2" w:name="_Toc455267105"/>
      <w:r>
        <w:rPr>
          <w:rFonts w:hint="eastAsia"/>
        </w:rPr>
        <w:t>市场风险指数</w:t>
      </w:r>
      <w:bookmarkEnd w:id="52"/>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53" w:name="_Toc455267106"/>
      <w:r>
        <w:rPr>
          <w:rFonts w:hint="eastAsia"/>
        </w:rPr>
        <w:t>选票标准</w:t>
      </w:r>
      <w:bookmarkEnd w:id="53"/>
    </w:p>
    <w:p w:rsidR="005041AA" w:rsidRDefault="005041AA" w:rsidP="005041AA">
      <w:pPr>
        <w:pStyle w:val="2"/>
        <w:numPr>
          <w:ilvl w:val="1"/>
          <w:numId w:val="12"/>
        </w:numPr>
      </w:pPr>
      <w:bookmarkStart w:id="54" w:name="_Toc455267107"/>
      <w:r>
        <w:rPr>
          <w:rFonts w:hint="eastAsia"/>
        </w:rPr>
        <w:t>好公司的标准</w:t>
      </w:r>
      <w:bookmarkEnd w:id="54"/>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lastRenderedPageBreak/>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hyperlink r:id="rId12" w:tgtFrame="_blank" w:history="1">
        <w:r w:rsidR="00427DF5" w:rsidRPr="00353AFD">
          <w:rPr>
            <w:rFonts w:hint="eastAsia"/>
          </w:rPr>
          <w:t>沃</w:t>
        </w:r>
        <w:proofErr w:type="gramStart"/>
        <w:r w:rsidR="00427DF5" w:rsidRPr="00353AFD">
          <w:rPr>
            <w:rFonts w:hint="eastAsia"/>
          </w:rPr>
          <w:t>尔核材</w:t>
        </w:r>
        <w:proofErr w:type="gramEnd"/>
      </w:hyperlink>
      <w:r w:rsidR="00427DF5" w:rsidRPr="00353AFD">
        <w:rPr>
          <w:rFonts w:hint="eastAsia"/>
        </w:rPr>
        <w:t>、</w:t>
      </w:r>
      <w:hyperlink r:id="rId13" w:tgtFrame="_blank" w:history="1">
        <w:r w:rsidR="00427DF5" w:rsidRPr="00353AFD">
          <w:rPr>
            <w:rFonts w:hint="eastAsia"/>
          </w:rPr>
          <w:t>中源协和</w:t>
        </w:r>
      </w:hyperlink>
      <w:r w:rsidR="00427DF5" w:rsidRPr="00353AFD">
        <w:rPr>
          <w:rFonts w:hint="eastAsia"/>
        </w:rPr>
        <w:t>、</w:t>
      </w:r>
      <w:hyperlink r:id="rId14"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5" w:tgtFrame="_blank" w:history="1">
        <w:r w:rsidR="00427DF5" w:rsidRPr="00353AFD">
          <w:rPr>
            <w:rFonts w:hint="eastAsia"/>
          </w:rPr>
          <w:t>安妮股份</w:t>
        </w:r>
      </w:hyperlink>
      <w:r w:rsidR="00427DF5" w:rsidRPr="00353AFD">
        <w:rPr>
          <w:rFonts w:hint="eastAsia"/>
        </w:rPr>
        <w:t>、秦川机床、</w:t>
      </w:r>
      <w:hyperlink r:id="rId16" w:tgtFrame="_blank" w:history="1">
        <w:r w:rsidR="00427DF5" w:rsidRPr="00353AFD">
          <w:rPr>
            <w:rFonts w:hint="eastAsia"/>
          </w:rPr>
          <w:t>安纳达</w:t>
        </w:r>
      </w:hyperlink>
      <w:r w:rsidR="00427DF5" w:rsidRPr="00353AFD">
        <w:rPr>
          <w:rFonts w:hint="eastAsia"/>
        </w:rPr>
        <w:t>、</w:t>
      </w:r>
      <w:hyperlink r:id="rId17"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t>重点标的公司研究</w:t>
      </w:r>
      <w:bookmarkEnd w:id="57"/>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分批建仓，第一批</w:t>
      </w:r>
      <w:proofErr w:type="gramStart"/>
      <w:r w:rsidRPr="0019663B">
        <w:rPr>
          <w:rFonts w:hint="eastAsia"/>
        </w:rPr>
        <w:t>仓位</w:t>
      </w:r>
      <w:proofErr w:type="gramEnd"/>
      <w:r w:rsidRPr="0019663B">
        <w:rPr>
          <w:rFonts w:hint="eastAsia"/>
        </w:rPr>
        <w:t>1/4</w:t>
      </w:r>
    </w:p>
    <w:p w:rsidR="00291DA0" w:rsidRPr="0019663B" w:rsidRDefault="00291DA0" w:rsidP="0019663B">
      <w:pPr>
        <w:pStyle w:val="af0"/>
        <w:numPr>
          <w:ilvl w:val="0"/>
          <w:numId w:val="28"/>
        </w:numPr>
        <w:ind w:firstLineChars="0"/>
      </w:pPr>
      <w:r w:rsidRPr="0019663B">
        <w:rPr>
          <w:rFonts w:hint="eastAsia"/>
        </w:rPr>
        <w:lastRenderedPageBreak/>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lastRenderedPageBreak/>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w:t>
      </w:r>
      <w:r w:rsidRPr="004C4C4B">
        <w:rPr>
          <w:rFonts w:hint="eastAsia"/>
        </w:rPr>
        <w:lastRenderedPageBreak/>
        <w:t>模式，甚至新的概念都有炒作价值</w:t>
      </w:r>
      <w:r>
        <w:rPr>
          <w:rFonts w:hint="eastAsia"/>
        </w:rPr>
        <w:t>。</w:t>
      </w:r>
    </w:p>
    <w:p w:rsidR="000F03CD" w:rsidRDefault="000F03CD" w:rsidP="0032688D">
      <w:pPr>
        <w:pStyle w:val="a0"/>
        <w:rPr>
          <w:rFonts w:hint="eastAsia"/>
        </w:rPr>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proofErr w:type="gramStart"/>
      <w:r>
        <w:rPr>
          <w:rFonts w:hint="eastAsia"/>
        </w:rPr>
        <w:t>活跃股</w:t>
      </w:r>
      <w:proofErr w:type="gramEnd"/>
      <w:r>
        <w:rPr>
          <w:rFonts w:hint="eastAsia"/>
        </w:rPr>
        <w:t>追涨，老面股抄底</w:t>
      </w:r>
      <w:bookmarkEnd w:id="63"/>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lastRenderedPageBreak/>
        <w:t>关于追涨和杀跌</w:t>
      </w:r>
      <w:bookmarkEnd w:id="66"/>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lastRenderedPageBreak/>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4A3853" w:rsidRPr="004A3853" w:rsidRDefault="00F63AA3" w:rsidP="004A3853">
      <w:pPr>
        <w:pStyle w:val="1"/>
      </w:pPr>
      <w:r>
        <w:rPr>
          <w:rFonts w:hint="eastAsia"/>
        </w:rPr>
        <w:t xml:space="preserve"> </w:t>
      </w:r>
      <w:bookmarkStart w:id="71" w:name="_Toc455267126"/>
      <w:r w:rsidR="004A3853">
        <w:rPr>
          <w:rFonts w:hint="eastAsia"/>
        </w:rPr>
        <w:t>交易</w:t>
      </w:r>
      <w:r w:rsidR="004A3853" w:rsidRPr="004A3853">
        <w:rPr>
          <w:rFonts w:hint="eastAsia"/>
        </w:rPr>
        <w:t>备忘录</w:t>
      </w:r>
      <w:bookmarkEnd w:id="71"/>
    </w:p>
    <w:p w:rsidR="004A3853" w:rsidRDefault="004A3853" w:rsidP="00D95B0C">
      <w:pPr>
        <w:pStyle w:val="a0"/>
        <w:numPr>
          <w:ilvl w:val="0"/>
          <w:numId w:val="33"/>
        </w:numPr>
        <w:rPr>
          <w:rFonts w:hint="eastAsia"/>
        </w:r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2" w:name="_Toc455267127"/>
      <w:r>
        <w:rPr>
          <w:rFonts w:hint="eastAsia"/>
        </w:rPr>
        <w:lastRenderedPageBreak/>
        <w:t>软件说明及帮助</w:t>
      </w:r>
      <w:bookmarkEnd w:id="72"/>
    </w:p>
    <w:p w:rsidR="000B5D94" w:rsidRPr="006B725D" w:rsidRDefault="000B5D94" w:rsidP="000B5D94">
      <w:pPr>
        <w:pStyle w:val="2"/>
      </w:pPr>
      <w:bookmarkStart w:id="73" w:name="_Toc455267128"/>
      <w:r>
        <w:rPr>
          <w:rFonts w:hint="eastAsia"/>
        </w:rPr>
        <w:t>硬件</w:t>
      </w:r>
      <w:r w:rsidRPr="006B725D">
        <w:rPr>
          <w:rFonts w:hint="eastAsia"/>
        </w:rPr>
        <w:t>配置要求及软件安装</w:t>
      </w:r>
      <w:bookmarkEnd w:id="73"/>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4" w:name="_Toc455267129"/>
      <w:r>
        <w:rPr>
          <w:rFonts w:hint="eastAsia"/>
        </w:rPr>
        <w:t>软件功能简介</w:t>
      </w:r>
      <w:bookmarkEnd w:id="74"/>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5" w:name="_Toc455267130"/>
      <w:r>
        <w:rPr>
          <w:rFonts w:hint="eastAsia"/>
        </w:rPr>
        <w:t>软件数据来源</w:t>
      </w:r>
      <w:bookmarkEnd w:id="75"/>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6" w:name="_Toc455267131"/>
      <w:r>
        <w:rPr>
          <w:rFonts w:hint="eastAsia"/>
        </w:rPr>
        <w:t>软件主要模块</w:t>
      </w:r>
      <w:bookmarkEnd w:id="76"/>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7" w:name="_Toc455267132"/>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lastRenderedPageBreak/>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340" w:rsidRDefault="00340340" w:rsidP="00566594">
      <w:r>
        <w:separator/>
      </w:r>
    </w:p>
  </w:endnote>
  <w:endnote w:type="continuationSeparator" w:id="0">
    <w:p w:rsidR="00340340" w:rsidRDefault="00340340"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0A2F2B" w:rsidRDefault="000A2F2B" w:rsidP="00481032">
        <w:pPr>
          <w:pStyle w:val="ab"/>
          <w:jc w:val="center"/>
        </w:pPr>
        <w:r>
          <w:fldChar w:fldCharType="begin"/>
        </w:r>
        <w:r>
          <w:instrText>PAGE   \* MERGEFORMAT</w:instrText>
        </w:r>
        <w:r>
          <w:fldChar w:fldCharType="separate"/>
        </w:r>
        <w:r w:rsidR="0079406F" w:rsidRPr="0079406F">
          <w:rPr>
            <w:noProof/>
            <w:lang w:val="zh-CN"/>
          </w:rPr>
          <w:t>7</w:t>
        </w:r>
        <w:r>
          <w:fldChar w:fldCharType="end"/>
        </w:r>
      </w:p>
    </w:sdtContent>
  </w:sdt>
  <w:p w:rsidR="000A2F2B" w:rsidRDefault="000A2F2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340" w:rsidRDefault="00340340" w:rsidP="00566594">
      <w:r>
        <w:separator/>
      </w:r>
    </w:p>
  </w:footnote>
  <w:footnote w:type="continuationSeparator" w:id="0">
    <w:p w:rsidR="00340340" w:rsidRDefault="00340340"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41AA"/>
    <w:rsid w:val="00310AB0"/>
    <w:rsid w:val="00310CDE"/>
    <w:rsid w:val="00310ED1"/>
    <w:rsid w:val="00310F84"/>
    <w:rsid w:val="00313776"/>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69CC"/>
    <w:rsid w:val="00A67E8B"/>
    <w:rsid w:val="00A729E3"/>
    <w:rsid w:val="00A751E1"/>
    <w:rsid w:val="00A75C3D"/>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E52"/>
    <w:rsid w:val="00D93D5D"/>
    <w:rsid w:val="00D950B2"/>
    <w:rsid w:val="00D95B0C"/>
    <w:rsid w:val="00D96C6D"/>
    <w:rsid w:val="00DA08C4"/>
    <w:rsid w:val="00DA43AF"/>
    <w:rsid w:val="00DA5583"/>
    <w:rsid w:val="00DA5C2C"/>
    <w:rsid w:val="00DB1774"/>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A9EDE-47A1-4716-9050-A43700CC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23</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627</cp:revision>
  <cp:lastPrinted>2016-04-06T08:30:00Z</cp:lastPrinted>
  <dcterms:created xsi:type="dcterms:W3CDTF">2015-01-04T02:33:00Z</dcterms:created>
  <dcterms:modified xsi:type="dcterms:W3CDTF">2016-07-03T11:18:00Z</dcterms:modified>
</cp:coreProperties>
</file>