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退保接口调用示例与异常处理方案</w:t>
      </w:r>
    </w:p>
    <w:p>
      <w:pPr>
        <w:pStyle w:val="Heading2"/>
      </w:pPr>
      <w:r>
        <w:t>1. 编写目的</w:t>
      </w:r>
    </w:p>
    <w:p>
      <w:r>
        <w:t>本文档为《退保接口规范》的附件，提供退保相关接口的调用示例、异常场景处理方案和联调测试要点，供前端开发、后端开发和测试人员参考。</w:t>
      </w:r>
    </w:p>
    <w:p>
      <w:pPr>
        <w:pStyle w:val="Heading2"/>
      </w:pPr>
      <w:r>
        <w:t>2. 退保申请接口调用示例</w:t>
      </w:r>
    </w:p>
    <w:p>
      <w:pPr>
        <w:pStyle w:val="Heading3"/>
      </w:pPr>
      <w:r>
        <w:t>2.1 犹豫期退保请求示例</w:t>
      </w:r>
    </w:p>
    <w:p>
      <w:r>
        <w:t>POST /api/v1/policy/surrender</w:t>
        <w:br/>
        <w:t>Content-Type: application/json</w:t>
        <w:br/>
        <w:t>Authorization: Bearer eyJhbGciOiJSUzI1NiIs...</w:t>
        <w:br/>
        <w:br/>
        <w:t>{</w:t>
        <w:br/>
        <w:t xml:space="preserve">  "policyNo": "PL2026050001",</w:t>
        <w:br/>
        <w:t xml:space="preserve">  "surrenderType": "COOLING_OFF",</w:t>
        <w:br/>
        <w:t xml:space="preserve">  "applicantId": "310101199001011234",</w:t>
        <w:br/>
        <w:t xml:space="preserve">  "bankAccount": "6222021234567890123",</w:t>
        <w:br/>
        <w:t xml:space="preserve">  "reason": "产品不符合预期"</w:t>
        <w:br/>
        <w:t>}</w:t>
      </w:r>
    </w:p>
    <w:p>
      <w:pPr>
        <w:pStyle w:val="Heading3"/>
      </w:pPr>
      <w:r>
        <w:t>2.2 犹豫期退保响应示例</w:t>
      </w:r>
    </w:p>
    <w:p>
      <w:r>
        <w:t>{</w:t>
        <w:br/>
        <w:t xml:space="preserve">  "code": 0,</w:t>
        <w:br/>
        <w:t xml:space="preserve">  "surrenderAmount": 1270.00,</w:t>
        <w:br/>
        <w:t xml:space="preserve">  "cashValue": null,</w:t>
        <w:br/>
        <w:t xml:space="preserve">  "processTime": "5个工作日",</w:t>
        <w:br/>
        <w:t xml:space="preserve">  "message": "退保申请已受理"</w:t>
        <w:br/>
        <w:t>}</w:t>
      </w:r>
    </w:p>
    <w:p>
      <w:pPr>
        <w:pStyle w:val="Heading3"/>
      </w:pPr>
      <w:r>
        <w:t>2.3 正常退保请求示例</w:t>
      </w:r>
    </w:p>
    <w:p>
      <w:r>
        <w:t>POST /api/v1/policy/surrender</w:t>
        <w:br/>
        <w:t>Content-Type: application/json</w:t>
        <w:br/>
        <w:br/>
        <w:t>{</w:t>
        <w:br/>
        <w:t xml:space="preserve">  "policyNo": "PL2026030088",</w:t>
        <w:br/>
        <w:t xml:space="preserve">  "surrenderType": "NORMAL",</w:t>
        <w:br/>
        <w:t xml:space="preserve">  "applicantId": "110108198505123456",</w:t>
        <w:br/>
        <w:t xml:space="preserve">  "bankAccount": "6217001234567890456",</w:t>
        <w:br/>
        <w:t xml:space="preserve">  "reason": "经济原因"</w:t>
        <w:br/>
        <w:t>}</w:t>
      </w:r>
    </w:p>
    <w:p>
      <w:pPr>
        <w:pStyle w:val="Heading3"/>
      </w:pPr>
      <w:r>
        <w:t>2.4 正常退保响应示例</w:t>
      </w:r>
    </w:p>
    <w:p>
      <w:r>
        <w:t>{</w:t>
        <w:br/>
        <w:t xml:space="preserve">  "code": 0,</w:t>
        <w:br/>
        <w:t xml:space="preserve">  "surrenderAmount": 180.00,</w:t>
        <w:br/>
        <w:t xml:space="preserve">  "cashValue": 180.00,</w:t>
        <w:br/>
        <w:t xml:space="preserve">  "processTime": "10个工作日",</w:t>
        <w:br/>
        <w:t xml:space="preserve">  "message": "退保申请已受理"</w:t>
        <w:br/>
        <w:t>}</w:t>
      </w:r>
    </w:p>
    <w:p>
      <w:pPr>
        <w:pStyle w:val="Heading2"/>
      </w:pPr>
      <w:r>
        <w:t>3. 异常场景处理方案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异常场景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  <w:tc>
          <w:tcPr>
            <w:tcW w:type="dxa" w:w="2160"/>
          </w:tcPr>
          <w:p>
            <w:r>
              <w:t>系统处理</w:t>
            </w:r>
          </w:p>
        </w:tc>
        <w:tc>
          <w:tcPr>
            <w:tcW w:type="dxa" w:w="2160"/>
          </w:tcPr>
          <w:p>
            <w:r>
              <w:t>前端展示</w:t>
            </w:r>
          </w:p>
        </w:tc>
      </w:tr>
      <w:tr>
        <w:tc>
          <w:tcPr>
            <w:tcW w:type="dxa" w:w="2160"/>
          </w:tcPr>
          <w:p>
            <w:r>
              <w:t>保单状态异常</w:t>
            </w:r>
          </w:p>
        </w:tc>
        <w:tc>
          <w:tcPr>
            <w:tcW w:type="dxa" w:w="2160"/>
          </w:tcPr>
          <w:p>
            <w:r>
              <w:t>保单为中止或终止状态</w:t>
            </w:r>
          </w:p>
        </w:tc>
        <w:tc>
          <w:tcPr>
            <w:tcW w:type="dxa" w:w="2160"/>
          </w:tcPr>
          <w:p>
            <w:r>
              <w:t>返回code=40002</w:t>
            </w:r>
          </w:p>
        </w:tc>
        <w:tc>
          <w:tcPr>
            <w:tcW w:type="dxa" w:w="2160"/>
          </w:tcPr>
          <w:p>
            <w:r>
              <w:t>弹窗提示保单当前状态不允许退保</w:t>
            </w:r>
          </w:p>
        </w:tc>
      </w:tr>
      <w:tr>
        <w:tc>
          <w:tcPr>
            <w:tcW w:type="dxa" w:w="2160"/>
          </w:tcPr>
          <w:p>
            <w:r>
              <w:t>身份校验失败</w:t>
            </w:r>
          </w:p>
        </w:tc>
        <w:tc>
          <w:tcPr>
            <w:tcW w:type="dxa" w:w="2160"/>
          </w:tcPr>
          <w:p>
            <w:r>
              <w:t>申请人证件号与投保人不一致</w:t>
            </w:r>
          </w:p>
        </w:tc>
        <w:tc>
          <w:tcPr>
            <w:tcW w:type="dxa" w:w="2160"/>
          </w:tcPr>
          <w:p>
            <w:r>
              <w:t>返回code=40003</w:t>
            </w:r>
          </w:p>
        </w:tc>
        <w:tc>
          <w:tcPr>
            <w:tcW w:type="dxa" w:w="2160"/>
          </w:tcPr>
          <w:p>
            <w:r>
              <w:t>提示仅投保人本人可申请退保</w:t>
            </w:r>
          </w:p>
        </w:tc>
      </w:tr>
      <w:tr>
        <w:tc>
          <w:tcPr>
            <w:tcW w:type="dxa" w:w="2160"/>
          </w:tcPr>
          <w:p>
            <w:r>
              <w:t>贷款未结清</w:t>
            </w:r>
          </w:p>
        </w:tc>
        <w:tc>
          <w:tcPr>
            <w:tcW w:type="dxa" w:w="2160"/>
          </w:tcPr>
          <w:p>
            <w:r>
              <w:t>存在未还清保单贷款</w:t>
            </w:r>
          </w:p>
        </w:tc>
        <w:tc>
          <w:tcPr>
            <w:tcW w:type="dxa" w:w="2160"/>
          </w:tcPr>
          <w:p>
            <w:r>
              <w:t>返回code=40005</w:t>
            </w:r>
          </w:p>
        </w:tc>
        <w:tc>
          <w:tcPr>
            <w:tcW w:type="dxa" w:w="2160"/>
          </w:tcPr>
          <w:p>
            <w:r>
              <w:t>提示保单存在未结清贷款，请先还款</w:t>
            </w:r>
          </w:p>
        </w:tc>
      </w:tr>
      <w:tr>
        <w:tc>
          <w:tcPr>
            <w:tcW w:type="dxa" w:w="2160"/>
          </w:tcPr>
          <w:p>
            <w:r>
              <w:t>退保金额异常</w:t>
            </w:r>
          </w:p>
        </w:tc>
        <w:tc>
          <w:tcPr>
            <w:tcW w:type="dxa" w:w="2160"/>
          </w:tcPr>
          <w:p>
            <w:r>
              <w:t>现金价值计算结果为负</w:t>
            </w:r>
          </w:p>
        </w:tc>
        <w:tc>
          <w:tcPr>
            <w:tcW w:type="dxa" w:w="2160"/>
          </w:tcPr>
          <w:p>
            <w:r>
              <w:t>返回code=40004</w:t>
            </w:r>
          </w:p>
        </w:tc>
        <w:tc>
          <w:tcPr>
            <w:tcW w:type="dxa" w:w="2160"/>
          </w:tcPr>
          <w:p>
            <w:r>
              <w:t>提示退保金额计算异常，请联系客服</w:t>
            </w:r>
          </w:p>
        </w:tc>
      </w:tr>
      <w:tr>
        <w:tc>
          <w:tcPr>
            <w:tcW w:type="dxa" w:w="2160"/>
          </w:tcPr>
          <w:p>
            <w:r>
              <w:t>收付服务超时</w:t>
            </w:r>
          </w:p>
        </w:tc>
        <w:tc>
          <w:tcPr>
            <w:tcW w:type="dxa" w:w="2160"/>
          </w:tcPr>
          <w:p>
            <w:r>
              <w:t>收付微服务5秒内无响应</w:t>
            </w:r>
          </w:p>
        </w:tc>
        <w:tc>
          <w:tcPr>
            <w:tcW w:type="dxa" w:w="2160"/>
          </w:tcPr>
          <w:p>
            <w:r>
              <w:t>记录异常日志，退保状态设为PENDING</w:t>
            </w:r>
          </w:p>
        </w:tc>
        <w:tc>
          <w:tcPr>
            <w:tcW w:type="dxa" w:w="2160"/>
          </w:tcPr>
          <w:p>
            <w:r>
              <w:t>提示退保申请处理中</w:t>
            </w:r>
          </w:p>
        </w:tc>
      </w:tr>
      <w:tr>
        <w:tc>
          <w:tcPr>
            <w:tcW w:type="dxa" w:w="2160"/>
          </w:tcPr>
          <w:p>
            <w:r>
              <w:t>反洗钱拦截</w:t>
            </w:r>
          </w:p>
        </w:tc>
        <w:tc>
          <w:tcPr>
            <w:tcW w:type="dxa" w:w="2160"/>
          </w:tcPr>
          <w:p>
            <w:r>
              <w:t>退保金额&gt;=5万元且身份核验未通过</w:t>
            </w:r>
          </w:p>
        </w:tc>
        <w:tc>
          <w:tcPr>
            <w:tcW w:type="dxa" w:w="2160"/>
          </w:tcPr>
          <w:p>
            <w:r>
              <w:t>退保申请挂起，等待人工审核</w:t>
            </w:r>
          </w:p>
        </w:tc>
        <w:tc>
          <w:tcPr>
            <w:tcW w:type="dxa" w:w="2160"/>
          </w:tcPr>
          <w:p>
            <w:r>
              <w:t>引导用户完成身份核验</w:t>
            </w:r>
          </w:p>
        </w:tc>
      </w:tr>
      <w:tr>
        <w:tc>
          <w:tcPr>
            <w:tcW w:type="dxa" w:w="2160"/>
          </w:tcPr>
          <w:p>
            <w:r>
              <w:t>受益人未确认</w:t>
            </w:r>
          </w:p>
        </w:tc>
        <w:tc>
          <w:tcPr>
            <w:tcW w:type="dxa" w:w="2160"/>
          </w:tcPr>
          <w:p>
            <w:r>
              <w:t>含身故受益人且未全部确认</w:t>
            </w:r>
          </w:p>
        </w:tc>
        <w:tc>
          <w:tcPr>
            <w:tcW w:type="dxa" w:w="2160"/>
          </w:tcPr>
          <w:p>
            <w:r>
              <w:t>返回待确认受益人列表</w:t>
            </w:r>
          </w:p>
        </w:tc>
        <w:tc>
          <w:tcPr>
            <w:tcW w:type="dxa" w:w="2160"/>
          </w:tcPr>
          <w:p>
            <w:r>
              <w:t>引导用户联系受益人确认</w:t>
            </w:r>
          </w:p>
        </w:tc>
      </w:tr>
    </w:tbl>
    <w:p>
      <w:pPr>
        <w:pStyle w:val="Heading2"/>
      </w:pPr>
      <w:r>
        <w:t>4. 联调测试要点</w:t>
      </w:r>
    </w:p>
    <w:p>
      <w:pPr>
        <w:pStyle w:val="Heading3"/>
      </w:pPr>
      <w:r>
        <w:t>4.1 测试环境准备</w:t>
      </w:r>
    </w:p>
    <w:p>
      <w:pPr>
        <w:pStyle w:val="ListBullet"/>
      </w:pPr>
      <w:r>
        <w:t>准备有效保单数据（犹豫期内、犹豫期外各5条）</w:t>
      </w:r>
    </w:p>
    <w:p>
      <w:pPr>
        <w:pStyle w:val="ListBullet"/>
      </w:pPr>
      <w:r>
        <w:t>准备异常保单数据（中止状态、贷款未结清、含受益人各2条）</w:t>
      </w:r>
    </w:p>
    <w:p>
      <w:pPr>
        <w:pStyle w:val="ListBullet"/>
      </w:pPr>
      <w:r>
        <w:t>收付微服务Mock已部署，支持退费成功和失败两种响应</w:t>
      </w:r>
    </w:p>
    <w:p>
      <w:pPr>
        <w:pStyle w:val="ListBullet"/>
      </w:pPr>
      <w:r>
        <w:t>短信通道已切换至测试环境</w:t>
      </w:r>
    </w:p>
    <w:p>
      <w:pPr>
        <w:pStyle w:val="Heading3"/>
      </w:pPr>
      <w:r>
        <w:t>4.2 核心测试场景</w:t>
      </w:r>
    </w:p>
    <w:p>
      <w:pPr>
        <w:pStyle w:val="ListBullet"/>
      </w:pPr>
      <w:r>
        <w:t>犹豫期退保：验证退费金额 = 已缴保费 - 工本费</w:t>
      </w:r>
    </w:p>
    <w:p>
      <w:pPr>
        <w:pStyle w:val="ListBullet"/>
      </w:pPr>
      <w:r>
        <w:t>正常退保：验证退费金额 = 现金价值 - 贷款本息</w:t>
      </w:r>
    </w:p>
    <w:p>
      <w:pPr>
        <w:pStyle w:val="ListBullet"/>
      </w:pPr>
      <w:r>
        <w:t>连续退保：同一保单重复提交应返回退保申请已存在</w:t>
      </w:r>
    </w:p>
    <w:p>
      <w:pPr>
        <w:pStyle w:val="ListBullet"/>
      </w:pPr>
      <w:r>
        <w:t>退费失败重试：收付服务返回失败后系统自动重试3次</w:t>
      </w:r>
    </w:p>
    <w:p>
      <w:pPr>
        <w:pStyle w:val="ListBullet"/>
      </w:pPr>
      <w:r>
        <w:t>大额退保：金额&gt;=5万触发反洗钱校验流程</w:t>
      </w:r>
    </w:p>
    <w:p>
      <w:pPr>
        <w:pStyle w:val="Heading3"/>
      </w:pPr>
      <w:r>
        <w:t>4.3 性能测试指标</w:t>
      </w:r>
    </w:p>
    <w:p>
      <w:pPr>
        <w:pStyle w:val="ListBullet"/>
      </w:pPr>
      <w:r>
        <w:t>退保申请接口P99响应时间&lt;3秒</w:t>
      </w:r>
    </w:p>
    <w:p>
      <w:pPr>
        <w:pStyle w:val="ListBullet"/>
      </w:pPr>
      <w:r>
        <w:t>并发50笔退保申请，系统无报错</w:t>
      </w:r>
    </w:p>
    <w:p>
      <w:pPr>
        <w:pStyle w:val="ListBullet"/>
      </w:pPr>
      <w:r>
        <w:t>退费执行接口在数据库慢查询场景下P99&lt;5秒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