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退保通知发送日志与监控告警方案</w:t>
      </w:r>
    </w:p>
    <w:p>
      <w:r>
        <w:t>本文档为《退保短信模板与通知配置说明》的附件，定义退保通知的发送日志记录规范、监控指标和告警规则。</w:t>
      </w:r>
    </w:p>
    <w:p>
      <w:pPr>
        <w:pStyle w:val="Heading2"/>
      </w:pPr>
      <w:r>
        <w:t>1. 发送日志表结构</w:t>
      </w:r>
    </w:p>
    <w:p>
      <w:r>
        <w:t>每条通知发送记录均写入通知日志表，用于追溯和统计。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示例值</w:t>
            </w:r>
          </w:p>
        </w:tc>
      </w:tr>
      <w:tr>
        <w:tc>
          <w:tcPr>
            <w:tcW w:type="dxa" w:w="1728"/>
          </w:tcPr>
          <w:p>
            <w:r>
              <w:t>log_id</w:t>
            </w:r>
          </w:p>
        </w:tc>
        <w:tc>
          <w:tcPr>
            <w:tcW w:type="dxa" w:w="1728"/>
          </w:tcPr>
          <w:p>
            <w:r>
              <w:t>VARCHAR(32)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日志流水号，主键</w:t>
            </w:r>
          </w:p>
        </w:tc>
        <w:tc>
          <w:tcPr>
            <w:tcW w:type="dxa" w:w="1728"/>
          </w:tcPr>
          <w:p>
            <w:r>
              <w:t>NOTIFY20260522001</w:t>
            </w:r>
          </w:p>
        </w:tc>
      </w:tr>
      <w:tr>
        <w:tc>
          <w:tcPr>
            <w:tcW w:type="dxa" w:w="1728"/>
          </w:tcPr>
          <w:p>
            <w:r>
              <w:t>policy_no</w:t>
            </w:r>
          </w:p>
        </w:tc>
        <w:tc>
          <w:tcPr>
            <w:tcW w:type="dxa" w:w="1728"/>
          </w:tcPr>
          <w:p>
            <w:r>
              <w:t>VARCHAR(32)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关联保单号</w:t>
            </w:r>
          </w:p>
        </w:tc>
        <w:tc>
          <w:tcPr>
            <w:tcW w:type="dxa" w:w="1728"/>
          </w:tcPr>
          <w:p>
            <w:r>
              <w:t>PL2026050001</w:t>
            </w:r>
          </w:p>
        </w:tc>
      </w:tr>
      <w:tr>
        <w:tc>
          <w:tcPr>
            <w:tcW w:type="dxa" w:w="1728"/>
          </w:tcPr>
          <w:p>
            <w:r>
              <w:t>template_code</w:t>
            </w:r>
          </w:p>
        </w:tc>
        <w:tc>
          <w:tcPr>
            <w:tcW w:type="dxa" w:w="1728"/>
          </w:tcPr>
          <w:p>
            <w:r>
              <w:t>VARCHAR(32)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通知模板编号</w:t>
            </w:r>
          </w:p>
        </w:tc>
        <w:tc>
          <w:tcPr>
            <w:tcW w:type="dxa" w:w="1728"/>
          </w:tcPr>
          <w:p>
            <w:r>
              <w:t>SMS-SUR-001</w:t>
            </w:r>
          </w:p>
        </w:tc>
      </w:tr>
      <w:tr>
        <w:tc>
          <w:tcPr>
            <w:tcW w:type="dxa" w:w="1728"/>
          </w:tcPr>
          <w:p>
            <w:r>
              <w:t>channel</w:t>
            </w:r>
          </w:p>
        </w:tc>
        <w:tc>
          <w:tcPr>
            <w:tcW w:type="dxa" w:w="1728"/>
          </w:tcPr>
          <w:p>
            <w:r>
              <w:t>VARCHAR(8)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发送渠道：SMS/PUSH/CALL</w:t>
            </w:r>
          </w:p>
        </w:tc>
        <w:tc>
          <w:tcPr>
            <w:tcW w:type="dxa" w:w="1728"/>
          </w:tcPr>
          <w:p>
            <w:r>
              <w:t>SMS</w:t>
            </w:r>
          </w:p>
        </w:tc>
      </w:tr>
      <w:tr>
        <w:tc>
          <w:tcPr>
            <w:tcW w:type="dxa" w:w="1728"/>
          </w:tcPr>
          <w:p>
            <w:r>
              <w:t>receiver_mobile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接收人手机号（短信时必填）</w:t>
            </w:r>
          </w:p>
        </w:tc>
        <w:tc>
          <w:tcPr>
            <w:tcW w:type="dxa" w:w="1728"/>
          </w:tcPr>
          <w:p>
            <w:r>
              <w:t>138****1234</w:t>
            </w:r>
          </w:p>
        </w:tc>
      </w:tr>
      <w:tr>
        <w:tc>
          <w:tcPr>
            <w:tcW w:type="dxa" w:w="1728"/>
          </w:tcPr>
          <w:p>
            <w:r>
              <w:t>receiver_user_id</w:t>
            </w:r>
          </w:p>
        </w:tc>
        <w:tc>
          <w:tcPr>
            <w:tcW w:type="dxa" w:w="1728"/>
          </w:tcPr>
          <w:p>
            <w:r>
              <w:t>VARCHAR(32)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接收人用户ID</w:t>
            </w:r>
          </w:p>
        </w:tc>
        <w:tc>
          <w:tcPr>
            <w:tcW w:type="dxa" w:w="1728"/>
          </w:tcPr>
          <w:p>
            <w:r>
              <w:t>U20260001</w:t>
            </w:r>
          </w:p>
        </w:tc>
      </w:tr>
      <w:tr>
        <w:tc>
          <w:tcPr>
            <w:tcW w:type="dxa" w:w="1728"/>
          </w:tcPr>
          <w:p>
            <w:r>
              <w:t>send_status</w:t>
            </w:r>
          </w:p>
        </w:tc>
        <w:tc>
          <w:tcPr>
            <w:tcW w:type="dxa" w:w="1728"/>
          </w:tcPr>
          <w:p>
            <w:r>
              <w:t>VARCHAR(8)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发送状态：SUCCESS/FAILED/PENDING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</w:tr>
      <w:tr>
        <w:tc>
          <w:tcPr>
            <w:tcW w:type="dxa" w:w="1728"/>
          </w:tcPr>
          <w:p>
            <w:r>
              <w:t>send_time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发送时间</w:t>
            </w:r>
          </w:p>
        </w:tc>
        <w:tc>
          <w:tcPr>
            <w:tcW w:type="dxa" w:w="1728"/>
          </w:tcPr>
          <w:p>
            <w:r>
              <w:t>2026-05-22 14:30:05</w:t>
            </w:r>
          </w:p>
        </w:tc>
      </w:tr>
      <w:tr>
        <w:tc>
          <w:tcPr>
            <w:tcW w:type="dxa" w:w="1728"/>
          </w:tcPr>
          <w:p>
            <w:r>
              <w:t>provider_resp</w:t>
            </w:r>
          </w:p>
        </w:tc>
        <w:tc>
          <w:tcPr>
            <w:tcW w:type="dxa" w:w="1728"/>
          </w:tcPr>
          <w:p>
            <w:r>
              <w:t>VARCHAR(512)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通道服务商返回信息</w:t>
            </w:r>
          </w:p>
        </w:tc>
        <w:tc>
          <w:tcPr>
            <w:tcW w:type="dxa" w:w="1728"/>
          </w:tcPr>
          <w:p>
            <w:r>
              <w:t>DELIVERED</w:t>
            </w:r>
          </w:p>
        </w:tc>
      </w:tr>
      <w:tr>
        <w:tc>
          <w:tcPr>
            <w:tcW w:type="dxa" w:w="1728"/>
          </w:tcPr>
          <w:p>
            <w:r>
              <w:t>fail_reason</w:t>
            </w:r>
          </w:p>
        </w:tc>
        <w:tc>
          <w:tcPr>
            <w:tcW w:type="dxa" w:w="1728"/>
          </w:tcPr>
          <w:p>
            <w:r>
              <w:t>VARCHAR(256)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失败原因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retry_count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重试次数（默认0）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记录创建时间</w:t>
            </w:r>
          </w:p>
        </w:tc>
        <w:tc>
          <w:tcPr>
            <w:tcW w:type="dxa" w:w="1728"/>
          </w:tcPr>
          <w:p>
            <w:r>
              <w:t>2026-05-22 14:30:05</w:t>
            </w:r>
          </w:p>
        </w:tc>
      </w:tr>
    </w:tbl>
    <w:p>
      <w:pPr>
        <w:pStyle w:val="Heading2"/>
      </w:pPr>
      <w:r>
        <w:t>2. 重试机制</w:t>
      </w:r>
    </w:p>
    <w:p>
      <w:r>
        <w:t>通知发送失败后按以下策略重试：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重试轮次</w:t>
            </w:r>
          </w:p>
        </w:tc>
        <w:tc>
          <w:tcPr>
            <w:tcW w:type="dxa" w:w="2160"/>
          </w:tcPr>
          <w:p>
            <w:r>
              <w:t>间隔时间</w:t>
            </w:r>
          </w:p>
        </w:tc>
        <w:tc>
          <w:tcPr>
            <w:tcW w:type="dxa" w:w="2160"/>
          </w:tcPr>
          <w:p>
            <w:r>
              <w:t>渠道切换</w:t>
            </w:r>
          </w:p>
        </w:tc>
        <w:tc>
          <w:tcPr>
            <w:tcW w:type="dxa" w:w="2160"/>
          </w:tcPr>
          <w:p>
            <w:r>
              <w:t>最大重试次数</w:t>
            </w:r>
          </w:p>
        </w:tc>
      </w:tr>
      <w:tr>
        <w:tc>
          <w:tcPr>
            <w:tcW w:type="dxa" w:w="2160"/>
          </w:tcPr>
          <w:p>
            <w:r>
              <w:t>第1次</w:t>
            </w:r>
          </w:p>
        </w:tc>
        <w:tc>
          <w:tcPr>
            <w:tcW w:type="dxa" w:w="2160"/>
          </w:tcPr>
          <w:p>
            <w:r>
              <w:t>30秒后</w:t>
            </w:r>
          </w:p>
        </w:tc>
        <w:tc>
          <w:tcPr>
            <w:tcW w:type="dxa" w:w="2160"/>
          </w:tcPr>
          <w:p>
            <w:r>
              <w:t>不切换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第2次</w:t>
            </w:r>
          </w:p>
        </w:tc>
        <w:tc>
          <w:tcPr>
            <w:tcW w:type="dxa" w:w="2160"/>
          </w:tcPr>
          <w:p>
            <w:r>
              <w:t>2分钟后</w:t>
            </w:r>
          </w:p>
        </w:tc>
        <w:tc>
          <w:tcPr>
            <w:tcW w:type="dxa" w:w="2160"/>
          </w:tcPr>
          <w:p>
            <w:r>
              <w:t>短信失败切换为APP推送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第3次</w:t>
            </w:r>
          </w:p>
        </w:tc>
        <w:tc>
          <w:tcPr>
            <w:tcW w:type="dxa" w:w="2160"/>
          </w:tcPr>
          <w:p>
            <w:r>
              <w:t>10分钟后</w:t>
            </w:r>
          </w:p>
        </w:tc>
        <w:tc>
          <w:tcPr>
            <w:tcW w:type="dxa" w:w="2160"/>
          </w:tcPr>
          <w:p>
            <w:r>
              <w:t>全部渠道失败后通知客服外呼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2"/>
      </w:pPr>
      <w:r>
        <w:t>3. 监控指标</w:t>
      </w:r>
    </w:p>
    <w:p>
      <w:pPr>
        <w:pStyle w:val="Heading3"/>
      </w:pPr>
      <w:r>
        <w:t>3.1 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指标名称</w:t>
            </w:r>
          </w:p>
        </w:tc>
        <w:tc>
          <w:tcPr>
            <w:tcW w:type="dxa" w:w="2160"/>
          </w:tcPr>
          <w:p>
            <w:r>
              <w:t>统计口径</w:t>
            </w:r>
          </w:p>
        </w:tc>
        <w:tc>
          <w:tcPr>
            <w:tcW w:type="dxa" w:w="2160"/>
          </w:tcPr>
          <w:p>
            <w:r>
              <w:t>告警阈值</w:t>
            </w:r>
          </w:p>
        </w:tc>
        <w:tc>
          <w:tcPr>
            <w:tcW w:type="dxa" w:w="2160"/>
          </w:tcPr>
          <w:p>
            <w:r>
              <w:t>统计周期</w:t>
            </w:r>
          </w:p>
        </w:tc>
      </w:tr>
      <w:tr>
        <w:tc>
          <w:tcPr>
            <w:tcW w:type="dxa" w:w="2160"/>
          </w:tcPr>
          <w:p>
            <w:r>
              <w:t>短信发送成功率</w:t>
            </w:r>
          </w:p>
        </w:tc>
        <w:tc>
          <w:tcPr>
            <w:tcW w:type="dxa" w:w="2160"/>
          </w:tcPr>
          <w:p>
            <w:r>
              <w:t>成功数/总发送数</w:t>
            </w:r>
          </w:p>
        </w:tc>
        <w:tc>
          <w:tcPr>
            <w:tcW w:type="dxa" w:w="2160"/>
          </w:tcPr>
          <w:p>
            <w:r>
              <w:t>&lt;95%</w:t>
            </w:r>
          </w:p>
        </w:tc>
        <w:tc>
          <w:tcPr>
            <w:tcW w:type="dxa" w:w="2160"/>
          </w:tcPr>
          <w:p>
            <w:r>
              <w:t>5分钟滑动窗口</w:t>
            </w:r>
          </w:p>
        </w:tc>
      </w:tr>
      <w:tr>
        <w:tc>
          <w:tcPr>
            <w:tcW w:type="dxa" w:w="2160"/>
          </w:tcPr>
          <w:p>
            <w:r>
              <w:t>短信平均送达时长</w:t>
            </w:r>
          </w:p>
        </w:tc>
        <w:tc>
          <w:tcPr>
            <w:tcW w:type="dxa" w:w="2160"/>
          </w:tcPr>
          <w:p>
            <w:r>
              <w:t>从发送到运营商回执</w:t>
            </w:r>
          </w:p>
        </w:tc>
        <w:tc>
          <w:tcPr>
            <w:tcW w:type="dxa" w:w="2160"/>
          </w:tcPr>
          <w:p>
            <w:r>
              <w:t>&gt;60秒</w:t>
            </w:r>
          </w:p>
        </w:tc>
        <w:tc>
          <w:tcPr>
            <w:tcW w:type="dxa" w:w="2160"/>
          </w:tcPr>
          <w:p>
            <w:r>
              <w:t>5分钟滑动窗口</w:t>
            </w:r>
          </w:p>
        </w:tc>
      </w:tr>
      <w:tr>
        <w:tc>
          <w:tcPr>
            <w:tcW w:type="dxa" w:w="2160"/>
          </w:tcPr>
          <w:p>
            <w:r>
              <w:t>APP推送到达率</w:t>
            </w:r>
          </w:p>
        </w:tc>
        <w:tc>
          <w:tcPr>
            <w:tcW w:type="dxa" w:w="2160"/>
          </w:tcPr>
          <w:p>
            <w:r>
              <w:t>到达数/推送数</w:t>
            </w:r>
          </w:p>
        </w:tc>
        <w:tc>
          <w:tcPr>
            <w:tcW w:type="dxa" w:w="2160"/>
          </w:tcPr>
          <w:p>
            <w:r>
              <w:t>&lt;90%</w:t>
            </w:r>
          </w:p>
        </w:tc>
        <w:tc>
          <w:tcPr>
            <w:tcW w:type="dxa" w:w="2160"/>
          </w:tcPr>
          <w:p>
            <w:r>
              <w:t>10分钟滑动窗口</w:t>
            </w:r>
          </w:p>
        </w:tc>
      </w:tr>
      <w:tr>
        <w:tc>
          <w:tcPr>
            <w:tcW w:type="dxa" w:w="2160"/>
          </w:tcPr>
          <w:p>
            <w:r>
              <w:t>退保通知积压量</w:t>
            </w:r>
          </w:p>
        </w:tc>
        <w:tc>
          <w:tcPr>
            <w:tcW w:type="dxa" w:w="2160"/>
          </w:tcPr>
          <w:p>
            <w:r>
              <w:t>PENDING状态通知数</w:t>
            </w:r>
          </w:p>
        </w:tc>
        <w:tc>
          <w:tcPr>
            <w:tcW w:type="dxa" w:w="2160"/>
          </w:tcPr>
          <w:p>
            <w:r>
              <w:t>&gt;100条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</w:tr>
      <w:tr>
        <w:tc>
          <w:tcPr>
            <w:tcW w:type="dxa" w:w="2160"/>
          </w:tcPr>
          <w:p>
            <w:r>
              <w:t>通道服务商可用性</w:t>
            </w:r>
          </w:p>
        </w:tc>
        <w:tc>
          <w:tcPr>
            <w:tcW w:type="dxa" w:w="2160"/>
          </w:tcPr>
          <w:p>
            <w:r>
              <w:t>最近一次调用是否成功</w:t>
            </w:r>
          </w:p>
        </w:tc>
        <w:tc>
          <w:tcPr>
            <w:tcW w:type="dxa" w:w="2160"/>
          </w:tcPr>
          <w:p>
            <w:r>
              <w:t>连续3次失败</w:t>
            </w:r>
          </w:p>
        </w:tc>
        <w:tc>
          <w:tcPr>
            <w:tcW w:type="dxa" w:w="2160"/>
          </w:tcPr>
          <w:p>
            <w:r>
              <w:t>1分钟</w:t>
            </w:r>
          </w:p>
        </w:tc>
      </w:tr>
      <w:tr>
        <w:tc>
          <w:tcPr>
            <w:tcW w:type="dxa" w:w="2160"/>
          </w:tcPr>
          <w:p>
            <w:r>
              <w:t>重试率</w:t>
            </w:r>
          </w:p>
        </w:tc>
        <w:tc>
          <w:tcPr>
            <w:tcW w:type="dxa" w:w="2160"/>
          </w:tcPr>
          <w:p>
            <w:r>
              <w:t>触发重试的次数/总发送数</w:t>
            </w:r>
          </w:p>
        </w:tc>
        <w:tc>
          <w:tcPr>
            <w:tcW w:type="dxa" w:w="2160"/>
          </w:tcPr>
          <w:p>
            <w:r>
              <w:t>&gt;10%</w:t>
            </w:r>
          </w:p>
        </w:tc>
        <w:tc>
          <w:tcPr>
            <w:tcW w:type="dxa" w:w="2160"/>
          </w:tcPr>
          <w:p>
            <w:r>
              <w:t>1小时</w:t>
            </w:r>
          </w:p>
        </w:tc>
      </w:tr>
    </w:tbl>
    <w:p>
      <w:pPr>
        <w:pStyle w:val="Heading3"/>
      </w:pPr>
      <w:r>
        <w:t>3.2 告警通知方式</w:t>
      </w:r>
    </w:p>
    <w:p>
      <w:pPr>
        <w:pStyle w:val="ListBullet"/>
      </w:pPr>
      <w:r>
        <w:t>普通告警：钉钉群机器人通知，值班人员15分钟内响应</w:t>
      </w:r>
    </w:p>
    <w:p>
      <w:pPr>
        <w:pStyle w:val="ListBullet"/>
      </w:pPr>
      <w:r>
        <w:t>严重告警（成功率&lt;90%）：电话通知技术负责人</w:t>
      </w:r>
    </w:p>
    <w:p>
      <w:pPr>
        <w:pStyle w:val="ListBullet"/>
      </w:pPr>
      <w:r>
        <w:t>紧急告警（通道完全不可用）：同时电话+短信通知技术负责人和产品负责人</w:t>
      </w:r>
    </w:p>
    <w:p>
      <w:pPr>
        <w:pStyle w:val="Heading2"/>
      </w:pPr>
      <w:r>
        <w:t>4. 日志保留策略</w:t>
      </w:r>
    </w:p>
    <w:p>
      <w:pPr>
        <w:pStyle w:val="ListBullet"/>
      </w:pPr>
      <w:r>
        <w:t>通知发送日志在线保留180天，超过180天归档至冷存储</w:t>
      </w:r>
    </w:p>
    <w:p>
      <w:pPr>
        <w:pStyle w:val="ListBullet"/>
      </w:pPr>
      <w:r>
        <w:t>归档数据保留5年，满足审计要求</w:t>
      </w:r>
    </w:p>
    <w:p>
      <w:pPr>
        <w:pStyle w:val="ListBullet"/>
      </w:pPr>
      <w:r>
        <w:t>日志表按月分表，表名格式：notify_log_YYYYMM</w:t>
      </w:r>
    </w:p>
    <w:p>
      <w:pPr>
        <w:pStyle w:val="Heading2"/>
      </w:pPr>
      <w:r>
        <w:t>5. 统计报表需求</w:t>
      </w:r>
    </w:p>
    <w:p>
      <w:r>
        <w:t>运营后台需提供以下统计报表，支持按日期范围、渠道、模板维度筛选：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报表名称</w:t>
            </w:r>
          </w:p>
        </w:tc>
        <w:tc>
          <w:tcPr>
            <w:tcW w:type="dxa" w:w="2880"/>
          </w:tcPr>
          <w:p>
            <w:r>
              <w:t>统计维度</w:t>
            </w:r>
          </w:p>
        </w:tc>
        <w:tc>
          <w:tcPr>
            <w:tcW w:type="dxa" w:w="2880"/>
          </w:tcPr>
          <w:p>
            <w:r>
              <w:t>更新频率</w:t>
            </w:r>
          </w:p>
        </w:tc>
      </w:tr>
      <w:tr>
        <w:tc>
          <w:tcPr>
            <w:tcW w:type="dxa" w:w="2880"/>
          </w:tcPr>
          <w:p>
            <w:r>
              <w:t>通知发送日报</w:t>
            </w:r>
          </w:p>
        </w:tc>
        <w:tc>
          <w:tcPr>
            <w:tcW w:type="dxa" w:w="2880"/>
          </w:tcPr>
          <w:p>
            <w:r>
              <w:t>每日各渠道发送量、成功率、失败原因TOP5</w:t>
            </w:r>
          </w:p>
        </w:tc>
        <w:tc>
          <w:tcPr>
            <w:tcW w:type="dxa" w:w="2880"/>
          </w:tcPr>
          <w:p>
            <w:r>
              <w:t>每日凌晨更新</w:t>
            </w:r>
          </w:p>
        </w:tc>
      </w:tr>
      <w:tr>
        <w:tc>
          <w:tcPr>
            <w:tcW w:type="dxa" w:w="2880"/>
          </w:tcPr>
          <w:p>
            <w:r>
              <w:t>退保通知漏斗分析</w:t>
            </w:r>
          </w:p>
        </w:tc>
        <w:tc>
          <w:tcPr>
            <w:tcW w:type="dxa" w:w="2880"/>
          </w:tcPr>
          <w:p>
            <w:r>
              <w:t>受理-&gt;退费成功-&gt;完成 各环节通知到达率</w:t>
            </w:r>
          </w:p>
        </w:tc>
        <w:tc>
          <w:tcPr>
            <w:tcW w:type="dxa" w:w="2880"/>
          </w:tcPr>
          <w:p>
            <w:r>
              <w:t>实时</w:t>
            </w:r>
          </w:p>
        </w:tc>
      </w:tr>
      <w:tr>
        <w:tc>
          <w:tcPr>
            <w:tcW w:type="dxa" w:w="2880"/>
          </w:tcPr>
          <w:p>
            <w:r>
              <w:t>通道服务商质量报告</w:t>
            </w:r>
          </w:p>
        </w:tc>
        <w:tc>
          <w:tcPr>
            <w:tcW w:type="dxa" w:w="2880"/>
          </w:tcPr>
          <w:p>
            <w:r>
              <w:t>各服务商送达时长、成功率对比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</w:tr>
      <w:tr>
        <w:tc>
          <w:tcPr>
            <w:tcW w:type="dxa" w:w="2880"/>
          </w:tcPr>
          <w:p>
            <w:r>
              <w:t>客户通知偏好分析</w:t>
            </w:r>
          </w:p>
        </w:tc>
        <w:tc>
          <w:tcPr>
            <w:tcW w:type="dxa" w:w="2880"/>
          </w:tcPr>
          <w:p>
            <w:r>
              <w:t>APP推送打开率、短信阅读率</w:t>
            </w:r>
          </w:p>
        </w:tc>
        <w:tc>
          <w:tcPr>
            <w:tcW w:type="dxa" w:w="2880"/>
          </w:tcPr>
          <w:p>
            <w:r>
              <w:t>每月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