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717"/>
        <w:gridCol w:w="731"/>
        <w:gridCol w:w="3131"/>
        <w:gridCol w:w="4279"/>
      </w:tblGrid>
      <w:tr w14:paraId="345C40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17" w:type="dxa"/>
            <w:vAlign w:val="top"/>
          </w:tcPr>
          <w:p w14:paraId="4D3A22C3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阶段</w:t>
            </w:r>
          </w:p>
        </w:tc>
        <w:tc>
          <w:tcPr>
            <w:tcW w:w="731" w:type="dxa"/>
            <w:vAlign w:val="top"/>
          </w:tcPr>
          <w:p w14:paraId="44AD1FD8">
            <w:pPr>
              <w:jc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顺序</w:t>
            </w:r>
          </w:p>
        </w:tc>
        <w:tc>
          <w:tcPr>
            <w:tcW w:w="3131" w:type="dxa"/>
            <w:vAlign w:val="top"/>
          </w:tcPr>
          <w:p w14:paraId="5C6AF0A3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学习内容</w:t>
            </w:r>
          </w:p>
        </w:tc>
        <w:tc>
          <w:tcPr>
            <w:tcW w:w="4279" w:type="dxa"/>
            <w:vAlign w:val="top"/>
          </w:tcPr>
          <w:p w14:paraId="0CA2C49B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Python怎么练</w:t>
            </w:r>
          </w:p>
        </w:tc>
      </w:tr>
      <w:tr w14:paraId="3B027A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591" w:hRule="atLeast"/>
        </w:trPr>
        <w:tc>
          <w:tcPr>
            <w:tcW w:w="717" w:type="dxa"/>
            <w:vMerge w:val="restart"/>
            <w:vAlign w:val="center"/>
          </w:tcPr>
          <w:p w14:paraId="73868BB5">
            <w:pPr>
              <w:jc w:val="center"/>
              <w:rPr>
                <w:rFonts w:hint="default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21"/>
                <w:vertAlign w:val="baseline"/>
                <w:lang w:val="en-US" w:eastAsia="zh-CN"/>
              </w:rPr>
              <w:t>基础</w:t>
            </w:r>
          </w:p>
        </w:tc>
        <w:tc>
          <w:tcPr>
            <w:tcW w:w="731" w:type="dxa"/>
            <w:vAlign w:val="top"/>
          </w:tcPr>
          <w:p w14:paraId="355DA5B5">
            <w:pPr>
              <w:jc w:val="center"/>
              <w:rPr>
                <w:rFonts w:hint="default" w:eastAsiaTheme="minorEastAsia"/>
                <w:color w:val="C00000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color w:val="C00000"/>
                <w:sz w:val="18"/>
                <w:szCs w:val="21"/>
                <w:vertAlign w:val="baseline"/>
                <w:lang w:val="en-US" w:eastAsia="zh-CN"/>
              </w:rPr>
              <w:t>01</w:t>
            </w:r>
          </w:p>
        </w:tc>
        <w:tc>
          <w:tcPr>
            <w:tcW w:w="3131" w:type="dxa"/>
            <w:vAlign w:val="top"/>
          </w:tcPr>
          <w:p w14:paraId="3309A0FB">
            <w:pPr>
              <w:jc w:val="left"/>
              <w:rPr>
                <w:color w:val="C00000"/>
                <w:sz w:val="18"/>
                <w:szCs w:val="21"/>
                <w:vertAlign w:val="baseline"/>
              </w:rPr>
            </w:pPr>
            <w:r>
              <w:rPr>
                <w:rFonts w:hint="eastAsia"/>
                <w:color w:val="C00000"/>
                <w:sz w:val="18"/>
                <w:szCs w:val="21"/>
                <w:vertAlign w:val="baseline"/>
              </w:rPr>
              <w:t>随机变量与五种分布：正态、泊松、二项、卡方、F</w:t>
            </w:r>
          </w:p>
        </w:tc>
        <w:tc>
          <w:tcPr>
            <w:tcW w:w="4279" w:type="dxa"/>
            <w:vAlign w:val="top"/>
          </w:tcPr>
          <w:p w14:paraId="58642A58">
            <w:pPr>
              <w:jc w:val="left"/>
              <w:rPr>
                <w:color w:val="C00000"/>
                <w:sz w:val="18"/>
                <w:szCs w:val="21"/>
                <w:vertAlign w:val="baseline"/>
              </w:rPr>
            </w:pPr>
            <w:r>
              <w:rPr>
                <w:rFonts w:hint="eastAsia"/>
                <w:color w:val="C00000"/>
                <w:sz w:val="18"/>
                <w:szCs w:val="21"/>
                <w:vertAlign w:val="baseline"/>
              </w:rPr>
              <w:t>numpy.random 抽样，画直方图看形状</w:t>
            </w:r>
          </w:p>
        </w:tc>
      </w:tr>
      <w:tr w14:paraId="460695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17" w:type="dxa"/>
            <w:vMerge w:val="continue"/>
            <w:tcBorders/>
            <w:vAlign w:val="center"/>
          </w:tcPr>
          <w:p w14:paraId="2FCB571F">
            <w:pPr>
              <w:jc w:val="center"/>
              <w:rPr>
                <w:sz w:val="18"/>
                <w:szCs w:val="21"/>
                <w:vertAlign w:val="baseline"/>
              </w:rPr>
            </w:pPr>
          </w:p>
        </w:tc>
        <w:tc>
          <w:tcPr>
            <w:tcW w:w="731" w:type="dxa"/>
            <w:vAlign w:val="top"/>
          </w:tcPr>
          <w:p w14:paraId="626D78A3">
            <w:pPr>
              <w:jc w:val="center"/>
              <w:rPr>
                <w:rFonts w:hint="default" w:eastAsiaTheme="minorEastAsia"/>
                <w:color w:val="C00000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color w:val="C00000"/>
                <w:sz w:val="18"/>
                <w:szCs w:val="21"/>
                <w:vertAlign w:val="baseline"/>
                <w:lang w:val="en-US" w:eastAsia="zh-CN"/>
              </w:rPr>
              <w:t>02</w:t>
            </w:r>
          </w:p>
        </w:tc>
        <w:tc>
          <w:tcPr>
            <w:tcW w:w="3131" w:type="dxa"/>
            <w:vAlign w:val="top"/>
          </w:tcPr>
          <w:p w14:paraId="788233B1">
            <w:pPr>
              <w:jc w:val="left"/>
              <w:rPr>
                <w:color w:val="C00000"/>
                <w:sz w:val="18"/>
                <w:szCs w:val="21"/>
                <w:vertAlign w:val="baseline"/>
              </w:rPr>
            </w:pPr>
            <w:r>
              <w:rPr>
                <w:rFonts w:hint="eastAsia"/>
                <w:color w:val="C00000"/>
                <w:sz w:val="18"/>
                <w:szCs w:val="21"/>
                <w:vertAlign w:val="baseline"/>
              </w:rPr>
              <w:t>期望、方差、协方差与相关系数</w:t>
            </w:r>
          </w:p>
        </w:tc>
        <w:tc>
          <w:tcPr>
            <w:tcW w:w="4279" w:type="dxa"/>
            <w:vAlign w:val="top"/>
          </w:tcPr>
          <w:p w14:paraId="47D893FB">
            <w:pPr>
              <w:jc w:val="left"/>
              <w:rPr>
                <w:color w:val="C00000"/>
                <w:sz w:val="18"/>
                <w:szCs w:val="21"/>
                <w:vertAlign w:val="baseline"/>
              </w:rPr>
            </w:pPr>
            <w:r>
              <w:rPr>
                <w:rFonts w:hint="eastAsia"/>
                <w:color w:val="C00000"/>
                <w:sz w:val="18"/>
                <w:szCs w:val="21"/>
                <w:vertAlign w:val="baseline"/>
              </w:rPr>
              <w:t>蒙特卡洛模拟验算理论值</w:t>
            </w:r>
          </w:p>
        </w:tc>
      </w:tr>
      <w:tr w14:paraId="1741CE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604" w:hRule="atLeast"/>
        </w:trPr>
        <w:tc>
          <w:tcPr>
            <w:tcW w:w="717" w:type="dxa"/>
            <w:vMerge w:val="continue"/>
            <w:tcBorders/>
            <w:vAlign w:val="center"/>
          </w:tcPr>
          <w:p w14:paraId="71F0F08A">
            <w:pPr>
              <w:jc w:val="center"/>
              <w:rPr>
                <w:sz w:val="18"/>
                <w:szCs w:val="21"/>
                <w:vertAlign w:val="baseline"/>
              </w:rPr>
            </w:pPr>
          </w:p>
        </w:tc>
        <w:tc>
          <w:tcPr>
            <w:tcW w:w="731" w:type="dxa"/>
            <w:vAlign w:val="top"/>
          </w:tcPr>
          <w:p w14:paraId="7BB1AB52">
            <w:pPr>
              <w:jc w:val="center"/>
              <w:rPr>
                <w:rFonts w:hint="default" w:eastAsiaTheme="minorEastAsia"/>
                <w:color w:val="C00000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color w:val="C00000"/>
                <w:sz w:val="18"/>
                <w:szCs w:val="21"/>
                <w:vertAlign w:val="baseline"/>
                <w:lang w:val="en-US" w:eastAsia="zh-CN"/>
              </w:rPr>
              <w:t>03</w:t>
            </w:r>
          </w:p>
        </w:tc>
        <w:tc>
          <w:tcPr>
            <w:tcW w:w="3131" w:type="dxa"/>
            <w:vAlign w:val="top"/>
          </w:tcPr>
          <w:p w14:paraId="50C057D6">
            <w:pPr>
              <w:jc w:val="left"/>
              <w:rPr>
                <w:color w:val="C00000"/>
                <w:sz w:val="18"/>
                <w:szCs w:val="21"/>
                <w:vertAlign w:val="baseline"/>
              </w:rPr>
            </w:pPr>
            <w:r>
              <w:rPr>
                <w:rFonts w:hint="eastAsia"/>
                <w:color w:val="C00000"/>
                <w:sz w:val="18"/>
                <w:szCs w:val="21"/>
                <w:vertAlign w:val="baseline"/>
              </w:rPr>
              <w:t>中心极限定理、抽样分布、标准误</w:t>
            </w:r>
          </w:p>
        </w:tc>
        <w:tc>
          <w:tcPr>
            <w:tcW w:w="4279" w:type="dxa"/>
            <w:vAlign w:val="top"/>
          </w:tcPr>
          <w:p w14:paraId="12E8F49E">
            <w:pPr>
              <w:jc w:val="left"/>
              <w:rPr>
                <w:color w:val="C00000"/>
                <w:sz w:val="18"/>
                <w:szCs w:val="21"/>
                <w:vertAlign w:val="baseline"/>
              </w:rPr>
            </w:pPr>
            <w:r>
              <w:rPr>
                <w:rFonts w:hint="eastAsia"/>
                <w:color w:val="C00000"/>
                <w:sz w:val="18"/>
                <w:szCs w:val="21"/>
                <w:vertAlign w:val="baseline"/>
              </w:rPr>
              <w:t>取 30 个样本求均值，重复一万次，看分布收敛到正态</w:t>
            </w:r>
          </w:p>
        </w:tc>
      </w:tr>
      <w:tr w14:paraId="309806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17" w:type="dxa"/>
            <w:vMerge w:val="continue"/>
            <w:tcBorders/>
            <w:vAlign w:val="center"/>
          </w:tcPr>
          <w:p w14:paraId="0F18F8A5">
            <w:pPr>
              <w:jc w:val="center"/>
              <w:rPr>
                <w:sz w:val="18"/>
                <w:szCs w:val="21"/>
                <w:vertAlign w:val="baseline"/>
              </w:rPr>
            </w:pPr>
          </w:p>
        </w:tc>
        <w:tc>
          <w:tcPr>
            <w:tcW w:w="731" w:type="dxa"/>
            <w:vAlign w:val="top"/>
          </w:tcPr>
          <w:p w14:paraId="28025314">
            <w:pPr>
              <w:jc w:val="center"/>
              <w:rPr>
                <w:rFonts w:hint="default" w:eastAsiaTheme="minorEastAsia"/>
                <w:color w:val="C00000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color w:val="C00000"/>
                <w:sz w:val="18"/>
                <w:szCs w:val="21"/>
                <w:vertAlign w:val="baseline"/>
                <w:lang w:val="en-US" w:eastAsia="zh-CN"/>
              </w:rPr>
              <w:t>04</w:t>
            </w:r>
          </w:p>
        </w:tc>
        <w:tc>
          <w:tcPr>
            <w:tcW w:w="3131" w:type="dxa"/>
            <w:vAlign w:val="top"/>
          </w:tcPr>
          <w:p w14:paraId="3C36C7AD">
            <w:pPr>
              <w:jc w:val="left"/>
              <w:rPr>
                <w:color w:val="C00000"/>
                <w:sz w:val="18"/>
                <w:szCs w:val="21"/>
                <w:vertAlign w:val="baseline"/>
              </w:rPr>
            </w:pPr>
            <w:r>
              <w:rPr>
                <w:rFonts w:hint="eastAsia"/>
                <w:color w:val="C00000"/>
                <w:sz w:val="18"/>
                <w:szCs w:val="21"/>
                <w:vertAlign w:val="baseline"/>
              </w:rPr>
              <w:t>微积分只到偏导；线代只到矩阵乘法与特征值</w:t>
            </w:r>
          </w:p>
        </w:tc>
        <w:tc>
          <w:tcPr>
            <w:tcW w:w="4279" w:type="dxa"/>
            <w:vAlign w:val="top"/>
          </w:tcPr>
          <w:p w14:paraId="68A2629C">
            <w:pPr>
              <w:jc w:val="left"/>
              <w:rPr>
                <w:color w:val="C00000"/>
                <w:sz w:val="18"/>
                <w:szCs w:val="21"/>
                <w:vertAlign w:val="baseline"/>
              </w:rPr>
            </w:pPr>
            <w:r>
              <w:rPr>
                <w:rFonts w:hint="eastAsia"/>
                <w:color w:val="C00000"/>
                <w:sz w:val="18"/>
                <w:szCs w:val="21"/>
                <w:vertAlign w:val="baseline"/>
              </w:rPr>
              <w:t>numpy 矩阵运算，手算一遍回归系数矩阵解</w:t>
            </w:r>
          </w:p>
        </w:tc>
      </w:tr>
      <w:tr w14:paraId="5AE236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17" w:type="dxa"/>
            <w:vMerge w:val="restart"/>
            <w:vAlign w:val="center"/>
          </w:tcPr>
          <w:p w14:paraId="410CEC47">
            <w:pPr>
              <w:jc w:val="center"/>
              <w:rPr>
                <w:rFonts w:hint="eastAsia" w:eastAsiaTheme="minorEastAsia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21"/>
                <w:vertAlign w:val="baseline"/>
                <w:lang w:val="en-US" w:eastAsia="zh-CN"/>
              </w:rPr>
              <w:t>推断</w:t>
            </w:r>
          </w:p>
        </w:tc>
        <w:tc>
          <w:tcPr>
            <w:tcW w:w="731" w:type="dxa"/>
            <w:vAlign w:val="top"/>
          </w:tcPr>
          <w:p w14:paraId="3475B9D6">
            <w:pPr>
              <w:jc w:val="center"/>
              <w:rPr>
                <w:rFonts w:hint="default" w:eastAsiaTheme="minorEastAsia"/>
                <w:color w:val="2E54A1" w:themeColor="accent1" w:themeShade="BF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color w:val="2E54A1" w:themeColor="accent1" w:themeShade="BF"/>
                <w:sz w:val="18"/>
                <w:szCs w:val="21"/>
                <w:vertAlign w:val="baseline"/>
                <w:lang w:val="en-US" w:eastAsia="zh-CN"/>
              </w:rPr>
              <w:t>05</w:t>
            </w:r>
          </w:p>
        </w:tc>
        <w:tc>
          <w:tcPr>
            <w:tcW w:w="3131" w:type="dxa"/>
            <w:vAlign w:val="top"/>
          </w:tcPr>
          <w:p w14:paraId="12C9D7C3">
            <w:pPr>
              <w:jc w:val="left"/>
              <w:rPr>
                <w:color w:val="2E54A1" w:themeColor="accent1" w:themeShade="BF"/>
                <w:sz w:val="18"/>
                <w:szCs w:val="21"/>
                <w:vertAlign w:val="baseline"/>
              </w:rPr>
            </w:pPr>
            <w:r>
              <w:rPr>
                <w:rFonts w:hint="eastAsia"/>
                <w:color w:val="2E54A1" w:themeColor="accent1" w:themeShade="BF"/>
                <w:sz w:val="18"/>
                <w:szCs w:val="21"/>
                <w:vertAlign w:val="baseline"/>
              </w:rPr>
              <w:t>描述统计：均值/中位数/标准差/偏度/箱线图</w:t>
            </w:r>
          </w:p>
        </w:tc>
        <w:tc>
          <w:tcPr>
            <w:tcW w:w="4279" w:type="dxa"/>
            <w:vAlign w:val="top"/>
          </w:tcPr>
          <w:p w14:paraId="344DC1BE">
            <w:pPr>
              <w:jc w:val="left"/>
              <w:rPr>
                <w:color w:val="2E54A1" w:themeColor="accent1" w:themeShade="BF"/>
                <w:sz w:val="18"/>
                <w:szCs w:val="21"/>
                <w:vertAlign w:val="baseline"/>
              </w:rPr>
            </w:pPr>
            <w:r>
              <w:rPr>
                <w:rFonts w:hint="eastAsia"/>
                <w:color w:val="2E54A1" w:themeColor="accent1" w:themeShade="BF"/>
                <w:sz w:val="18"/>
                <w:szCs w:val="21"/>
                <w:vertAlign w:val="baseline"/>
              </w:rPr>
              <w:t>pandas.describe() + seaborn.boxplot()</w:t>
            </w:r>
          </w:p>
        </w:tc>
      </w:tr>
      <w:tr w14:paraId="200D3D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17" w:type="dxa"/>
            <w:vMerge w:val="continue"/>
            <w:tcBorders/>
            <w:vAlign w:val="top"/>
          </w:tcPr>
          <w:p w14:paraId="1ECE3C23">
            <w:pPr>
              <w:jc w:val="center"/>
              <w:rPr>
                <w:sz w:val="18"/>
                <w:szCs w:val="21"/>
                <w:vertAlign w:val="baseline"/>
              </w:rPr>
            </w:pPr>
          </w:p>
        </w:tc>
        <w:tc>
          <w:tcPr>
            <w:tcW w:w="731" w:type="dxa"/>
            <w:vAlign w:val="top"/>
          </w:tcPr>
          <w:p w14:paraId="52CE8BD6">
            <w:pPr>
              <w:jc w:val="center"/>
              <w:rPr>
                <w:rFonts w:hint="default" w:eastAsiaTheme="minorEastAsia"/>
                <w:color w:val="2E54A1" w:themeColor="accent1" w:themeShade="BF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color w:val="2E54A1" w:themeColor="accent1" w:themeShade="BF"/>
                <w:sz w:val="18"/>
                <w:szCs w:val="21"/>
                <w:vertAlign w:val="baseline"/>
                <w:lang w:val="en-US" w:eastAsia="zh-CN"/>
              </w:rPr>
              <w:t>06</w:t>
            </w:r>
          </w:p>
        </w:tc>
        <w:tc>
          <w:tcPr>
            <w:tcW w:w="3131" w:type="dxa"/>
            <w:vAlign w:val="top"/>
          </w:tcPr>
          <w:p w14:paraId="4F719355">
            <w:pPr>
              <w:jc w:val="left"/>
              <w:rPr>
                <w:color w:val="2E54A1" w:themeColor="accent1" w:themeShade="BF"/>
                <w:sz w:val="18"/>
                <w:szCs w:val="21"/>
                <w:vertAlign w:val="baseline"/>
              </w:rPr>
            </w:pPr>
            <w:r>
              <w:rPr>
                <w:rFonts w:hint="eastAsia"/>
                <w:color w:val="2E54A1" w:themeColor="accent1" w:themeShade="BF"/>
                <w:sz w:val="18"/>
                <w:szCs w:val="21"/>
                <w:vertAlign w:val="baseline"/>
              </w:rPr>
              <w:t>参数估计、置信区间的构造与解读</w:t>
            </w:r>
          </w:p>
        </w:tc>
        <w:tc>
          <w:tcPr>
            <w:tcW w:w="4279" w:type="dxa"/>
            <w:vAlign w:val="top"/>
          </w:tcPr>
          <w:p w14:paraId="518EC459">
            <w:pPr>
              <w:jc w:val="left"/>
              <w:rPr>
                <w:color w:val="2E54A1" w:themeColor="accent1" w:themeShade="BF"/>
                <w:sz w:val="18"/>
                <w:szCs w:val="21"/>
                <w:vertAlign w:val="baseline"/>
              </w:rPr>
            </w:pPr>
            <w:r>
              <w:rPr>
                <w:rFonts w:hint="eastAsia"/>
                <w:color w:val="2E54A1" w:themeColor="accent1" w:themeShade="BF"/>
                <w:sz w:val="18"/>
                <w:szCs w:val="21"/>
                <w:vertAlign w:val="baseline"/>
              </w:rPr>
              <w:t>scipy.stats 手算 95% CI</w:t>
            </w:r>
          </w:p>
        </w:tc>
      </w:tr>
      <w:tr w14:paraId="38165F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17" w:type="dxa"/>
            <w:vMerge w:val="continue"/>
            <w:tcBorders/>
            <w:vAlign w:val="top"/>
          </w:tcPr>
          <w:p w14:paraId="43832C9A">
            <w:pPr>
              <w:jc w:val="center"/>
              <w:rPr>
                <w:sz w:val="18"/>
                <w:szCs w:val="21"/>
                <w:vertAlign w:val="baseline"/>
              </w:rPr>
            </w:pPr>
          </w:p>
        </w:tc>
        <w:tc>
          <w:tcPr>
            <w:tcW w:w="731" w:type="dxa"/>
            <w:vAlign w:val="top"/>
          </w:tcPr>
          <w:p w14:paraId="11803990">
            <w:pPr>
              <w:jc w:val="center"/>
              <w:rPr>
                <w:rFonts w:hint="default" w:eastAsiaTheme="minorEastAsia"/>
                <w:color w:val="C00000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color w:val="C00000"/>
                <w:sz w:val="18"/>
                <w:szCs w:val="21"/>
                <w:vertAlign w:val="baseline"/>
                <w:lang w:val="en-US" w:eastAsia="zh-CN"/>
              </w:rPr>
              <w:t>07</w:t>
            </w:r>
          </w:p>
        </w:tc>
        <w:tc>
          <w:tcPr>
            <w:tcW w:w="3131" w:type="dxa"/>
            <w:vAlign w:val="top"/>
          </w:tcPr>
          <w:p w14:paraId="099153FA">
            <w:pPr>
              <w:jc w:val="left"/>
              <w:rPr>
                <w:color w:val="C00000"/>
                <w:sz w:val="18"/>
                <w:szCs w:val="21"/>
                <w:vertAlign w:val="baseline"/>
              </w:rPr>
            </w:pPr>
            <w:r>
              <w:rPr>
                <w:rFonts w:hint="eastAsia"/>
                <w:color w:val="C00000"/>
                <w:sz w:val="18"/>
                <w:szCs w:val="21"/>
                <w:vertAlign w:val="baseline"/>
              </w:rPr>
              <w:t>假设检验逻辑：原假设、两类错误、p 值真义、统计功效</w:t>
            </w:r>
          </w:p>
        </w:tc>
        <w:tc>
          <w:tcPr>
            <w:tcW w:w="4279" w:type="dxa"/>
            <w:vAlign w:val="top"/>
          </w:tcPr>
          <w:p w14:paraId="15291CB7">
            <w:pPr>
              <w:jc w:val="left"/>
              <w:rPr>
                <w:color w:val="C00000"/>
                <w:sz w:val="18"/>
                <w:szCs w:val="21"/>
                <w:vertAlign w:val="baseline"/>
              </w:rPr>
            </w:pPr>
            <w:r>
              <w:rPr>
                <w:rFonts w:hint="eastAsia"/>
                <w:color w:val="C00000"/>
                <w:sz w:val="18"/>
                <w:szCs w:val="21"/>
                <w:vertAlign w:val="baseline"/>
              </w:rPr>
              <w:t>模拟一千次检验，看第一类错误率是否≈0.05</w:t>
            </w:r>
          </w:p>
        </w:tc>
      </w:tr>
      <w:tr w14:paraId="390784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17" w:type="dxa"/>
            <w:vMerge w:val="continue"/>
            <w:tcBorders/>
            <w:vAlign w:val="top"/>
          </w:tcPr>
          <w:p w14:paraId="64531341">
            <w:pPr>
              <w:jc w:val="center"/>
              <w:rPr>
                <w:sz w:val="18"/>
                <w:szCs w:val="21"/>
                <w:vertAlign w:val="baseline"/>
              </w:rPr>
            </w:pPr>
          </w:p>
        </w:tc>
        <w:tc>
          <w:tcPr>
            <w:tcW w:w="731" w:type="dxa"/>
            <w:vAlign w:val="top"/>
          </w:tcPr>
          <w:p w14:paraId="01F1072B">
            <w:pPr>
              <w:jc w:val="center"/>
              <w:rPr>
                <w:rFonts w:hint="default" w:eastAsiaTheme="minorEastAsia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21"/>
                <w:vertAlign w:val="baseline"/>
                <w:lang w:val="en-US" w:eastAsia="zh-CN"/>
              </w:rPr>
              <w:t>08</w:t>
            </w:r>
          </w:p>
        </w:tc>
        <w:tc>
          <w:tcPr>
            <w:tcW w:w="3131" w:type="dxa"/>
            <w:vAlign w:val="top"/>
          </w:tcPr>
          <w:p w14:paraId="1A7C19B8">
            <w:pPr>
              <w:jc w:val="left"/>
              <w:rPr>
                <w:sz w:val="18"/>
                <w:szCs w:val="21"/>
                <w:vertAlign w:val="baseline"/>
              </w:rPr>
            </w:pPr>
            <w:r>
              <w:rPr>
                <w:rFonts w:hint="eastAsia"/>
                <w:sz w:val="18"/>
                <w:szCs w:val="21"/>
                <w:vertAlign w:val="baseline"/>
              </w:rPr>
              <w:t>t 检验：单样本、双样本、配对</w:t>
            </w:r>
          </w:p>
        </w:tc>
        <w:tc>
          <w:tcPr>
            <w:tcW w:w="4279" w:type="dxa"/>
            <w:vAlign w:val="top"/>
          </w:tcPr>
          <w:p w14:paraId="4B120A0E">
            <w:pPr>
              <w:jc w:val="left"/>
              <w:rPr>
                <w:sz w:val="18"/>
                <w:szCs w:val="21"/>
                <w:vertAlign w:val="baseline"/>
              </w:rPr>
            </w:pPr>
            <w:r>
              <w:rPr>
                <w:rFonts w:hint="eastAsia"/>
                <w:sz w:val="18"/>
                <w:szCs w:val="21"/>
                <w:vertAlign w:val="baseline"/>
              </w:rPr>
              <w:t>scipy.stats.ttest_ind / ttest_rel</w:t>
            </w:r>
          </w:p>
        </w:tc>
      </w:tr>
      <w:tr w14:paraId="32FE12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293" w:hRule="atLeast"/>
        </w:trPr>
        <w:tc>
          <w:tcPr>
            <w:tcW w:w="717" w:type="dxa"/>
            <w:vMerge w:val="continue"/>
            <w:tcBorders/>
            <w:vAlign w:val="top"/>
          </w:tcPr>
          <w:p w14:paraId="18EBAC32">
            <w:pPr>
              <w:jc w:val="center"/>
              <w:rPr>
                <w:sz w:val="18"/>
                <w:szCs w:val="21"/>
                <w:vertAlign w:val="baseline"/>
              </w:rPr>
            </w:pPr>
          </w:p>
        </w:tc>
        <w:tc>
          <w:tcPr>
            <w:tcW w:w="731" w:type="dxa"/>
            <w:vAlign w:val="top"/>
          </w:tcPr>
          <w:p w14:paraId="0BA26574">
            <w:pPr>
              <w:jc w:val="center"/>
              <w:rPr>
                <w:rFonts w:hint="default" w:eastAsiaTheme="minorEastAsia"/>
                <w:color w:val="2E54A1" w:themeColor="accent1" w:themeShade="BF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color w:val="2E54A1" w:themeColor="accent1" w:themeShade="BF"/>
                <w:sz w:val="18"/>
                <w:szCs w:val="21"/>
                <w:vertAlign w:val="baseline"/>
                <w:lang w:val="en-US" w:eastAsia="zh-CN"/>
              </w:rPr>
              <w:t>09</w:t>
            </w:r>
          </w:p>
        </w:tc>
        <w:tc>
          <w:tcPr>
            <w:tcW w:w="3131" w:type="dxa"/>
            <w:vAlign w:val="top"/>
          </w:tcPr>
          <w:p w14:paraId="67448885">
            <w:pPr>
              <w:jc w:val="left"/>
              <w:rPr>
                <w:color w:val="2E54A1" w:themeColor="accent1" w:themeShade="BF"/>
                <w:sz w:val="18"/>
                <w:szCs w:val="21"/>
                <w:vertAlign w:val="baseline"/>
              </w:rPr>
            </w:pPr>
            <w:r>
              <w:rPr>
                <w:rFonts w:hint="eastAsia"/>
                <w:color w:val="2E54A1" w:themeColor="accent1" w:themeShade="BF"/>
                <w:sz w:val="18"/>
                <w:szCs w:val="21"/>
                <w:vertAlign w:val="baseline"/>
              </w:rPr>
              <w:t>卡方检验与列联表</w:t>
            </w:r>
          </w:p>
        </w:tc>
        <w:tc>
          <w:tcPr>
            <w:tcW w:w="4279" w:type="dxa"/>
            <w:vAlign w:val="top"/>
          </w:tcPr>
          <w:p w14:paraId="58BFE989">
            <w:pPr>
              <w:jc w:val="left"/>
              <w:rPr>
                <w:color w:val="2E54A1" w:themeColor="accent1" w:themeShade="BF"/>
                <w:sz w:val="18"/>
                <w:szCs w:val="21"/>
                <w:vertAlign w:val="baseline"/>
              </w:rPr>
            </w:pPr>
            <w:r>
              <w:rPr>
                <w:rFonts w:hint="eastAsia"/>
                <w:color w:val="2E54A1" w:themeColor="accent1" w:themeShade="BF"/>
                <w:sz w:val="18"/>
                <w:szCs w:val="21"/>
                <w:vertAlign w:val="baseline"/>
              </w:rPr>
              <w:t>scipy.stats.chi2_contingency</w:t>
            </w:r>
          </w:p>
        </w:tc>
      </w:tr>
      <w:tr w14:paraId="5A790E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17" w:type="dxa"/>
            <w:vMerge w:val="continue"/>
            <w:tcBorders/>
            <w:vAlign w:val="top"/>
          </w:tcPr>
          <w:p w14:paraId="62670A3E">
            <w:pPr>
              <w:jc w:val="center"/>
              <w:rPr>
                <w:sz w:val="18"/>
                <w:szCs w:val="21"/>
                <w:vertAlign w:val="baseline"/>
              </w:rPr>
            </w:pPr>
          </w:p>
        </w:tc>
        <w:tc>
          <w:tcPr>
            <w:tcW w:w="731" w:type="dxa"/>
            <w:vAlign w:val="top"/>
          </w:tcPr>
          <w:p w14:paraId="6AA563F7">
            <w:pPr>
              <w:tabs>
                <w:tab w:val="left" w:pos="220"/>
              </w:tabs>
              <w:jc w:val="center"/>
              <w:rPr>
                <w:rFonts w:hint="default" w:eastAsiaTheme="minorEastAsia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21"/>
                <w:vertAlign w:val="baseline"/>
                <w:lang w:val="en-US" w:eastAsia="zh-CN"/>
              </w:rPr>
              <w:t>10</w:t>
            </w:r>
          </w:p>
        </w:tc>
        <w:tc>
          <w:tcPr>
            <w:tcW w:w="3131" w:type="dxa"/>
            <w:vAlign w:val="top"/>
          </w:tcPr>
          <w:p w14:paraId="53C78E07">
            <w:pPr>
              <w:jc w:val="left"/>
              <w:rPr>
                <w:sz w:val="18"/>
                <w:szCs w:val="21"/>
                <w:vertAlign w:val="baseline"/>
              </w:rPr>
            </w:pPr>
            <w:r>
              <w:rPr>
                <w:rFonts w:hint="eastAsia"/>
                <w:sz w:val="18"/>
                <w:szCs w:val="21"/>
                <w:vertAlign w:val="baseline"/>
              </w:rPr>
              <w:t>方差分析 ANOVA 与事后多重比较</w:t>
            </w:r>
          </w:p>
        </w:tc>
        <w:tc>
          <w:tcPr>
            <w:tcW w:w="4279" w:type="dxa"/>
            <w:vAlign w:val="top"/>
          </w:tcPr>
          <w:p w14:paraId="0FFD46C8">
            <w:pPr>
              <w:jc w:val="left"/>
              <w:rPr>
                <w:sz w:val="18"/>
                <w:szCs w:val="21"/>
                <w:vertAlign w:val="baseline"/>
              </w:rPr>
            </w:pPr>
            <w:r>
              <w:rPr>
                <w:rFonts w:hint="eastAsia"/>
                <w:sz w:val="18"/>
                <w:szCs w:val="21"/>
                <w:vertAlign w:val="baseline"/>
              </w:rPr>
              <w:t>f_oneway() + pairwise_tukeyhsd()</w:t>
            </w:r>
          </w:p>
        </w:tc>
      </w:tr>
      <w:tr w14:paraId="0B7F3B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17" w:type="dxa"/>
            <w:vMerge w:val="restart"/>
            <w:vAlign w:val="top"/>
          </w:tcPr>
          <w:p w14:paraId="1C529599">
            <w:pPr>
              <w:jc w:val="center"/>
              <w:rPr>
                <w:rFonts w:hint="eastAsia"/>
                <w:sz w:val="18"/>
                <w:szCs w:val="21"/>
                <w:vertAlign w:val="baseline"/>
                <w:lang w:val="en-US" w:eastAsia="zh-CN"/>
              </w:rPr>
            </w:pPr>
          </w:p>
          <w:p w14:paraId="7D8B973C">
            <w:pPr>
              <w:jc w:val="center"/>
              <w:rPr>
                <w:rFonts w:hint="eastAsia"/>
                <w:sz w:val="18"/>
                <w:szCs w:val="21"/>
                <w:vertAlign w:val="baseline"/>
                <w:lang w:val="en-US" w:eastAsia="zh-CN"/>
              </w:rPr>
            </w:pPr>
          </w:p>
          <w:p w14:paraId="1C425F95">
            <w:pPr>
              <w:jc w:val="center"/>
              <w:rPr>
                <w:rFonts w:hint="eastAsia"/>
                <w:sz w:val="18"/>
                <w:szCs w:val="21"/>
                <w:vertAlign w:val="baseline"/>
                <w:lang w:val="en-US" w:eastAsia="zh-CN"/>
              </w:rPr>
            </w:pPr>
          </w:p>
          <w:p w14:paraId="2C22D4B7">
            <w:pPr>
              <w:jc w:val="center"/>
              <w:rPr>
                <w:rFonts w:hint="eastAsia"/>
                <w:sz w:val="18"/>
                <w:szCs w:val="21"/>
                <w:vertAlign w:val="baseline"/>
                <w:lang w:val="en-US" w:eastAsia="zh-CN"/>
              </w:rPr>
            </w:pPr>
          </w:p>
          <w:p w14:paraId="15A94E27">
            <w:pPr>
              <w:jc w:val="center"/>
              <w:rPr>
                <w:rFonts w:hint="default" w:eastAsiaTheme="minorEastAsia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21"/>
                <w:vertAlign w:val="baseline"/>
                <w:lang w:val="en-US" w:eastAsia="zh-CN"/>
              </w:rPr>
              <w:t>模型</w:t>
            </w:r>
          </w:p>
        </w:tc>
        <w:tc>
          <w:tcPr>
            <w:tcW w:w="731" w:type="dxa"/>
            <w:vAlign w:val="top"/>
          </w:tcPr>
          <w:p w14:paraId="23D681C0">
            <w:pPr>
              <w:jc w:val="center"/>
              <w:rPr>
                <w:rFonts w:hint="default" w:eastAsiaTheme="minorEastAsia"/>
                <w:color w:val="C00000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color w:val="C00000"/>
                <w:sz w:val="18"/>
                <w:szCs w:val="21"/>
                <w:vertAlign w:val="baseline"/>
                <w:lang w:val="en-US" w:eastAsia="zh-CN"/>
              </w:rPr>
              <w:t>11</w:t>
            </w:r>
          </w:p>
        </w:tc>
        <w:tc>
          <w:tcPr>
            <w:tcW w:w="3131" w:type="dxa"/>
            <w:vAlign w:val="top"/>
          </w:tcPr>
          <w:p w14:paraId="76BF32C1">
            <w:pPr>
              <w:jc w:val="left"/>
              <w:rPr>
                <w:color w:val="C00000"/>
                <w:sz w:val="18"/>
                <w:szCs w:val="21"/>
                <w:vertAlign w:val="baseline"/>
              </w:rPr>
            </w:pPr>
            <w:r>
              <w:rPr>
                <w:rFonts w:hint="eastAsia"/>
                <w:color w:val="C00000"/>
                <w:sz w:val="18"/>
                <w:szCs w:val="21"/>
                <w:vertAlign w:val="baseline"/>
              </w:rPr>
              <w:t>简单线性回归 → 多元线性回归</w:t>
            </w:r>
          </w:p>
        </w:tc>
        <w:tc>
          <w:tcPr>
            <w:tcW w:w="4279" w:type="dxa"/>
            <w:vAlign w:val="top"/>
          </w:tcPr>
          <w:p w14:paraId="3F093A6E">
            <w:pPr>
              <w:jc w:val="left"/>
              <w:rPr>
                <w:color w:val="C00000"/>
                <w:sz w:val="18"/>
                <w:szCs w:val="21"/>
                <w:vertAlign w:val="baseline"/>
              </w:rPr>
            </w:pPr>
            <w:r>
              <w:rPr>
                <w:rFonts w:hint="eastAsia"/>
                <w:color w:val="C00000"/>
                <w:sz w:val="18"/>
                <w:szCs w:val="21"/>
                <w:vertAlign w:val="baseline"/>
              </w:rPr>
              <w:t>statsmodels.OLS，公式写法 smf.ols</w:t>
            </w:r>
          </w:p>
        </w:tc>
      </w:tr>
      <w:tr w14:paraId="5F80BD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17" w:type="dxa"/>
            <w:vMerge w:val="continue"/>
            <w:tcBorders/>
            <w:vAlign w:val="top"/>
          </w:tcPr>
          <w:p w14:paraId="11CC8E71">
            <w:pPr>
              <w:jc w:val="center"/>
              <w:rPr>
                <w:sz w:val="18"/>
                <w:szCs w:val="21"/>
                <w:vertAlign w:val="baseline"/>
              </w:rPr>
            </w:pPr>
          </w:p>
        </w:tc>
        <w:tc>
          <w:tcPr>
            <w:tcW w:w="731" w:type="dxa"/>
            <w:vAlign w:val="top"/>
          </w:tcPr>
          <w:p w14:paraId="6EABAFF3">
            <w:pPr>
              <w:jc w:val="center"/>
              <w:rPr>
                <w:rFonts w:hint="default"/>
                <w:color w:val="C00000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color w:val="C00000"/>
                <w:sz w:val="18"/>
                <w:szCs w:val="21"/>
                <w:vertAlign w:val="baseline"/>
                <w:lang w:val="en-US" w:eastAsia="zh-CN"/>
              </w:rPr>
              <w:t>12</w:t>
            </w:r>
          </w:p>
        </w:tc>
        <w:tc>
          <w:tcPr>
            <w:tcW w:w="3131" w:type="dxa"/>
            <w:vAlign w:val="top"/>
          </w:tcPr>
          <w:p w14:paraId="1B125CFC">
            <w:pPr>
              <w:jc w:val="left"/>
              <w:rPr>
                <w:color w:val="C00000"/>
                <w:sz w:val="18"/>
                <w:szCs w:val="21"/>
                <w:vertAlign w:val="baseline"/>
              </w:rPr>
            </w:pPr>
            <w:r>
              <w:rPr>
                <w:rFonts w:hint="eastAsia"/>
                <w:color w:val="C00000"/>
                <w:sz w:val="18"/>
                <w:szCs w:val="21"/>
                <w:vertAlign w:val="baseline"/>
              </w:rPr>
              <w:t>回归诊断：残差、异方差、共线性、异常值</w:t>
            </w:r>
          </w:p>
        </w:tc>
        <w:tc>
          <w:tcPr>
            <w:tcW w:w="4279" w:type="dxa"/>
            <w:vAlign w:val="top"/>
          </w:tcPr>
          <w:p w14:paraId="11C73CF9">
            <w:pPr>
              <w:jc w:val="left"/>
              <w:rPr>
                <w:color w:val="C00000"/>
                <w:sz w:val="18"/>
                <w:szCs w:val="21"/>
                <w:vertAlign w:val="baseline"/>
              </w:rPr>
            </w:pPr>
            <w:r>
              <w:rPr>
                <w:rFonts w:hint="eastAsia"/>
                <w:color w:val="C00000"/>
                <w:sz w:val="18"/>
                <w:szCs w:val="21"/>
                <w:vertAlign w:val="baseline"/>
              </w:rPr>
              <w:t>手写一遍 VIF，画残差图</w:t>
            </w:r>
          </w:p>
        </w:tc>
      </w:tr>
      <w:tr w14:paraId="0EA973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17" w:type="dxa"/>
            <w:vMerge w:val="continue"/>
            <w:tcBorders/>
            <w:vAlign w:val="top"/>
          </w:tcPr>
          <w:p w14:paraId="69EFD670">
            <w:pPr>
              <w:jc w:val="center"/>
              <w:rPr>
                <w:sz w:val="18"/>
                <w:szCs w:val="21"/>
                <w:vertAlign w:val="baseline"/>
              </w:rPr>
            </w:pPr>
          </w:p>
        </w:tc>
        <w:tc>
          <w:tcPr>
            <w:tcW w:w="731" w:type="dxa"/>
            <w:vAlign w:val="top"/>
          </w:tcPr>
          <w:p w14:paraId="5D4D3026">
            <w:pPr>
              <w:jc w:val="center"/>
              <w:rPr>
                <w:rFonts w:hint="default"/>
                <w:color w:val="C00000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color w:val="C00000"/>
                <w:sz w:val="18"/>
                <w:szCs w:val="21"/>
                <w:vertAlign w:val="baseline"/>
                <w:lang w:val="en-US" w:eastAsia="zh-CN"/>
              </w:rPr>
              <w:t>13</w:t>
            </w:r>
          </w:p>
        </w:tc>
        <w:tc>
          <w:tcPr>
            <w:tcW w:w="3131" w:type="dxa"/>
            <w:vAlign w:val="top"/>
          </w:tcPr>
          <w:p w14:paraId="4AAB601E">
            <w:pPr>
              <w:jc w:val="left"/>
              <w:rPr>
                <w:color w:val="C00000"/>
                <w:sz w:val="18"/>
                <w:szCs w:val="21"/>
                <w:vertAlign w:val="baseline"/>
              </w:rPr>
            </w:pPr>
            <w:r>
              <w:rPr>
                <w:rFonts w:hint="eastAsia"/>
                <w:color w:val="C00000"/>
                <w:sz w:val="18"/>
                <w:szCs w:val="21"/>
                <w:vertAlign w:val="baseline"/>
              </w:rPr>
              <w:t>模型选择：AIC / BIC，以及逐步回归为何不可靠</w:t>
            </w:r>
          </w:p>
        </w:tc>
        <w:tc>
          <w:tcPr>
            <w:tcW w:w="4279" w:type="dxa"/>
            <w:vAlign w:val="top"/>
          </w:tcPr>
          <w:p w14:paraId="210F12CF">
            <w:pPr>
              <w:jc w:val="left"/>
              <w:rPr>
                <w:color w:val="C00000"/>
                <w:sz w:val="18"/>
                <w:szCs w:val="21"/>
                <w:vertAlign w:val="baseline"/>
              </w:rPr>
            </w:pPr>
            <w:r>
              <w:rPr>
                <w:rFonts w:hint="eastAsia"/>
                <w:color w:val="C00000"/>
                <w:sz w:val="18"/>
                <w:szCs w:val="21"/>
                <w:vertAlign w:val="baseline"/>
              </w:rPr>
              <w:t>对同一数据比几个模型，看 AIC 差异</w:t>
            </w:r>
          </w:p>
        </w:tc>
      </w:tr>
      <w:tr w14:paraId="0392A8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17" w:type="dxa"/>
            <w:vMerge w:val="continue"/>
            <w:tcBorders/>
            <w:vAlign w:val="top"/>
          </w:tcPr>
          <w:p w14:paraId="369D7138">
            <w:pPr>
              <w:jc w:val="center"/>
              <w:rPr>
                <w:sz w:val="18"/>
                <w:szCs w:val="21"/>
                <w:vertAlign w:val="baseline"/>
              </w:rPr>
            </w:pPr>
          </w:p>
        </w:tc>
        <w:tc>
          <w:tcPr>
            <w:tcW w:w="731" w:type="dxa"/>
            <w:vAlign w:val="top"/>
          </w:tcPr>
          <w:p w14:paraId="4A412ED3">
            <w:pPr>
              <w:jc w:val="center"/>
              <w:rPr>
                <w:rFonts w:hint="default"/>
                <w:color w:val="C00000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color w:val="C00000"/>
                <w:sz w:val="18"/>
                <w:szCs w:val="21"/>
                <w:vertAlign w:val="baseline"/>
                <w:lang w:val="en-US" w:eastAsia="zh-CN"/>
              </w:rPr>
              <w:t>14</w:t>
            </w:r>
          </w:p>
        </w:tc>
        <w:tc>
          <w:tcPr>
            <w:tcW w:w="3131" w:type="dxa"/>
            <w:vAlign w:val="top"/>
          </w:tcPr>
          <w:p w14:paraId="0908F311">
            <w:pPr>
              <w:jc w:val="left"/>
              <w:rPr>
                <w:color w:val="C00000"/>
                <w:sz w:val="18"/>
                <w:szCs w:val="21"/>
                <w:vertAlign w:val="baseline"/>
              </w:rPr>
            </w:pPr>
            <w:r>
              <w:rPr>
                <w:rFonts w:hint="eastAsia"/>
                <w:color w:val="C00000"/>
                <w:sz w:val="18"/>
                <w:szCs w:val="21"/>
                <w:vertAlign w:val="baseline"/>
              </w:rPr>
              <w:t>广义线性模型：泊松、负二项、logistic</w:t>
            </w:r>
          </w:p>
        </w:tc>
        <w:tc>
          <w:tcPr>
            <w:tcW w:w="4279" w:type="dxa"/>
            <w:vAlign w:val="top"/>
          </w:tcPr>
          <w:p w14:paraId="1DB5A502">
            <w:pPr>
              <w:jc w:val="left"/>
              <w:rPr>
                <w:color w:val="C00000"/>
                <w:sz w:val="18"/>
                <w:szCs w:val="21"/>
                <w:vertAlign w:val="baseline"/>
              </w:rPr>
            </w:pPr>
            <w:r>
              <w:rPr>
                <w:rFonts w:hint="eastAsia"/>
                <w:color w:val="C00000"/>
                <w:sz w:val="18"/>
                <w:szCs w:val="21"/>
                <w:vertAlign w:val="baseline"/>
              </w:rPr>
              <w:t>sm.GLM(family=sm.families.Poisson())</w:t>
            </w:r>
          </w:p>
        </w:tc>
      </w:tr>
      <w:tr w14:paraId="2BD0DC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717" w:type="dxa"/>
            <w:vMerge w:val="continue"/>
            <w:tcBorders/>
            <w:vAlign w:val="top"/>
          </w:tcPr>
          <w:p w14:paraId="5054C903">
            <w:pPr>
              <w:jc w:val="center"/>
              <w:rPr>
                <w:sz w:val="18"/>
                <w:szCs w:val="21"/>
                <w:vertAlign w:val="baseline"/>
              </w:rPr>
            </w:pPr>
          </w:p>
        </w:tc>
        <w:tc>
          <w:tcPr>
            <w:tcW w:w="731" w:type="dxa"/>
            <w:vAlign w:val="top"/>
          </w:tcPr>
          <w:p w14:paraId="61B171B9">
            <w:pPr>
              <w:jc w:val="center"/>
              <w:rPr>
                <w:rFonts w:hint="default"/>
                <w:color w:val="C00000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color w:val="C00000"/>
                <w:sz w:val="18"/>
                <w:szCs w:val="21"/>
                <w:vertAlign w:val="baseline"/>
                <w:lang w:val="en-US" w:eastAsia="zh-CN"/>
              </w:rPr>
              <w:t>15</w:t>
            </w:r>
          </w:p>
        </w:tc>
        <w:tc>
          <w:tcPr>
            <w:tcW w:w="3131" w:type="dxa"/>
            <w:vAlign w:val="top"/>
          </w:tcPr>
          <w:p w14:paraId="726A6CBF">
            <w:pPr>
              <w:jc w:val="left"/>
              <w:rPr>
                <w:color w:val="C00000"/>
                <w:sz w:val="18"/>
                <w:szCs w:val="21"/>
                <w:vertAlign w:val="baseline"/>
              </w:rPr>
            </w:pPr>
            <w:r>
              <w:rPr>
                <w:rFonts w:hint="eastAsia"/>
                <w:color w:val="C00000"/>
                <w:sz w:val="18"/>
                <w:szCs w:val="21"/>
                <w:vertAlign w:val="baseline"/>
              </w:rPr>
              <w:t>混合效应模型（样地嵌套、重复测量）</w:t>
            </w:r>
          </w:p>
        </w:tc>
        <w:tc>
          <w:tcPr>
            <w:tcW w:w="4279" w:type="dxa"/>
            <w:vAlign w:val="top"/>
          </w:tcPr>
          <w:p w14:paraId="4450F349">
            <w:pPr>
              <w:jc w:val="left"/>
              <w:rPr>
                <w:color w:val="C00000"/>
                <w:sz w:val="18"/>
                <w:szCs w:val="21"/>
                <w:vertAlign w:val="baseline"/>
              </w:rPr>
            </w:pPr>
            <w:r>
              <w:rPr>
                <w:rFonts w:hint="eastAsia"/>
                <w:color w:val="C00000"/>
                <w:sz w:val="18"/>
                <w:szCs w:val="21"/>
                <w:vertAlign w:val="baseline"/>
              </w:rPr>
              <w:t>statsmodels.MixedLM</w:t>
            </w:r>
          </w:p>
        </w:tc>
      </w:tr>
      <w:tr w14:paraId="733995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17" w:type="dxa"/>
            <w:vMerge w:val="continue"/>
            <w:tcBorders/>
            <w:vAlign w:val="top"/>
          </w:tcPr>
          <w:p w14:paraId="09BDA495">
            <w:pPr>
              <w:jc w:val="center"/>
              <w:rPr>
                <w:sz w:val="18"/>
                <w:szCs w:val="21"/>
                <w:vertAlign w:val="baseline"/>
              </w:rPr>
            </w:pPr>
          </w:p>
        </w:tc>
        <w:tc>
          <w:tcPr>
            <w:tcW w:w="731" w:type="dxa"/>
            <w:vAlign w:val="top"/>
          </w:tcPr>
          <w:p w14:paraId="7CAF04A6">
            <w:pPr>
              <w:jc w:val="center"/>
              <w:rPr>
                <w:rFonts w:hint="default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21"/>
                <w:vertAlign w:val="baseline"/>
                <w:lang w:val="en-US" w:eastAsia="zh-CN"/>
              </w:rPr>
              <w:t>16</w:t>
            </w:r>
          </w:p>
        </w:tc>
        <w:tc>
          <w:tcPr>
            <w:tcW w:w="3131" w:type="dxa"/>
            <w:vAlign w:val="top"/>
          </w:tcPr>
          <w:p w14:paraId="23FB9E36">
            <w:pPr>
              <w:jc w:val="left"/>
              <w:rPr>
                <w:sz w:val="18"/>
                <w:szCs w:val="21"/>
                <w:vertAlign w:val="baseline"/>
              </w:rPr>
            </w:pPr>
            <w:r>
              <w:rPr>
                <w:rFonts w:hint="eastAsia"/>
                <w:sz w:val="18"/>
                <w:szCs w:val="21"/>
                <w:vertAlign w:val="baseline"/>
              </w:rPr>
              <w:t>交叉验证与模型评价</w:t>
            </w:r>
          </w:p>
        </w:tc>
        <w:tc>
          <w:tcPr>
            <w:tcW w:w="4279" w:type="dxa"/>
            <w:vAlign w:val="top"/>
          </w:tcPr>
          <w:p w14:paraId="557AB0E9">
            <w:pPr>
              <w:jc w:val="left"/>
              <w:rPr>
                <w:sz w:val="18"/>
                <w:szCs w:val="21"/>
                <w:vertAlign w:val="baseline"/>
              </w:rPr>
            </w:pPr>
            <w:r>
              <w:rPr>
                <w:rFonts w:hint="eastAsia"/>
                <w:sz w:val="18"/>
                <w:szCs w:val="21"/>
                <w:vertAlign w:val="baseline"/>
              </w:rPr>
              <w:t>sklearn 的 cross_val_score</w:t>
            </w:r>
          </w:p>
        </w:tc>
      </w:tr>
      <w:tr w14:paraId="5186F2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17" w:type="dxa"/>
            <w:vMerge w:val="restart"/>
            <w:vAlign w:val="top"/>
          </w:tcPr>
          <w:p w14:paraId="1DD1E7E1">
            <w:pPr>
              <w:jc w:val="center"/>
              <w:rPr>
                <w:rFonts w:hint="eastAsia"/>
                <w:sz w:val="18"/>
                <w:szCs w:val="21"/>
                <w:vertAlign w:val="baseline"/>
                <w:lang w:val="en-US" w:eastAsia="zh-CN"/>
              </w:rPr>
            </w:pPr>
          </w:p>
          <w:p w14:paraId="4F5F8B2B">
            <w:pPr>
              <w:jc w:val="center"/>
              <w:rPr>
                <w:rFonts w:hint="eastAsia"/>
                <w:sz w:val="18"/>
                <w:szCs w:val="21"/>
                <w:vertAlign w:val="baseline"/>
                <w:lang w:val="en-US" w:eastAsia="zh-CN"/>
              </w:rPr>
            </w:pPr>
          </w:p>
          <w:p w14:paraId="3D1C1A0B">
            <w:pPr>
              <w:jc w:val="center"/>
              <w:rPr>
                <w:rFonts w:hint="eastAsia"/>
                <w:sz w:val="18"/>
                <w:szCs w:val="21"/>
                <w:vertAlign w:val="baseline"/>
                <w:lang w:val="en-US" w:eastAsia="zh-CN"/>
              </w:rPr>
            </w:pPr>
          </w:p>
          <w:p w14:paraId="10ACF883">
            <w:pPr>
              <w:jc w:val="center"/>
              <w:rPr>
                <w:rFonts w:hint="eastAsia"/>
                <w:sz w:val="18"/>
                <w:szCs w:val="21"/>
                <w:vertAlign w:val="baseline"/>
                <w:lang w:val="en-US" w:eastAsia="zh-CN"/>
              </w:rPr>
            </w:pPr>
          </w:p>
          <w:p w14:paraId="64B37FD0">
            <w:pPr>
              <w:jc w:val="center"/>
              <w:rPr>
                <w:rFonts w:hint="eastAsia"/>
                <w:sz w:val="18"/>
                <w:szCs w:val="21"/>
                <w:vertAlign w:val="baseline"/>
                <w:lang w:val="en-US" w:eastAsia="zh-CN"/>
              </w:rPr>
            </w:pPr>
          </w:p>
          <w:p w14:paraId="0BA5EC1E">
            <w:pPr>
              <w:jc w:val="center"/>
              <w:rPr>
                <w:rFonts w:hint="eastAsia"/>
                <w:sz w:val="18"/>
                <w:szCs w:val="21"/>
                <w:vertAlign w:val="baseline"/>
                <w:lang w:val="en-US" w:eastAsia="zh-CN"/>
              </w:rPr>
            </w:pPr>
          </w:p>
          <w:p w14:paraId="36CDFE06">
            <w:pPr>
              <w:jc w:val="center"/>
              <w:rPr>
                <w:rFonts w:hint="eastAsia" w:eastAsiaTheme="minorEastAsia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21"/>
                <w:vertAlign w:val="baseline"/>
                <w:lang w:val="en-US" w:eastAsia="zh-CN"/>
              </w:rPr>
              <w:t>空间</w:t>
            </w:r>
          </w:p>
        </w:tc>
        <w:tc>
          <w:tcPr>
            <w:tcW w:w="731" w:type="dxa"/>
            <w:vAlign w:val="top"/>
          </w:tcPr>
          <w:p w14:paraId="393615AF">
            <w:pPr>
              <w:jc w:val="center"/>
              <w:rPr>
                <w:rFonts w:hint="default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21"/>
                <w:vertAlign w:val="baseline"/>
                <w:lang w:val="en-US" w:eastAsia="zh-CN"/>
              </w:rPr>
              <w:t>17</w:t>
            </w:r>
          </w:p>
        </w:tc>
        <w:tc>
          <w:tcPr>
            <w:tcW w:w="3131" w:type="dxa"/>
            <w:vAlign w:val="top"/>
          </w:tcPr>
          <w:p w14:paraId="13B3ED39">
            <w:pPr>
              <w:jc w:val="left"/>
              <w:rPr>
                <w:sz w:val="18"/>
                <w:szCs w:val="21"/>
                <w:vertAlign w:val="baseline"/>
              </w:rPr>
            </w:pPr>
            <w:r>
              <w:rPr>
                <w:rFonts w:hint="eastAsia"/>
                <w:sz w:val="18"/>
                <w:szCs w:val="21"/>
                <w:vertAlign w:val="baseline"/>
              </w:rPr>
              <w:t>空间数据基础：矢量/栅格、坐标与投影</w:t>
            </w:r>
          </w:p>
        </w:tc>
        <w:tc>
          <w:tcPr>
            <w:tcW w:w="4279" w:type="dxa"/>
            <w:vAlign w:val="top"/>
          </w:tcPr>
          <w:p w14:paraId="357AC524">
            <w:pPr>
              <w:jc w:val="left"/>
              <w:rPr>
                <w:sz w:val="18"/>
                <w:szCs w:val="21"/>
                <w:vertAlign w:val="baseline"/>
              </w:rPr>
            </w:pPr>
            <w:r>
              <w:rPr>
                <w:rFonts w:hint="eastAsia"/>
                <w:sz w:val="18"/>
                <w:szCs w:val="21"/>
                <w:vertAlign w:val="baseline"/>
              </w:rPr>
              <w:t>geopandas 读矢量，rioxarray 读栅格</w:t>
            </w:r>
          </w:p>
        </w:tc>
      </w:tr>
      <w:tr w14:paraId="1815A0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293" w:hRule="atLeast"/>
        </w:trPr>
        <w:tc>
          <w:tcPr>
            <w:tcW w:w="717" w:type="dxa"/>
            <w:vMerge w:val="continue"/>
            <w:tcBorders/>
            <w:vAlign w:val="top"/>
          </w:tcPr>
          <w:p w14:paraId="15D9871B">
            <w:pPr>
              <w:jc w:val="center"/>
              <w:rPr>
                <w:sz w:val="18"/>
                <w:szCs w:val="21"/>
                <w:vertAlign w:val="baseline"/>
              </w:rPr>
            </w:pPr>
          </w:p>
        </w:tc>
        <w:tc>
          <w:tcPr>
            <w:tcW w:w="731" w:type="dxa"/>
            <w:vAlign w:val="top"/>
          </w:tcPr>
          <w:p w14:paraId="19012B4F">
            <w:pPr>
              <w:jc w:val="center"/>
              <w:rPr>
                <w:rFonts w:hint="default"/>
                <w:color w:val="C00000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color w:val="C00000"/>
                <w:sz w:val="18"/>
                <w:szCs w:val="21"/>
                <w:vertAlign w:val="baseline"/>
                <w:lang w:val="en-US" w:eastAsia="zh-CN"/>
              </w:rPr>
              <w:t>18</w:t>
            </w:r>
          </w:p>
        </w:tc>
        <w:tc>
          <w:tcPr>
            <w:tcW w:w="3131" w:type="dxa"/>
            <w:vAlign w:val="top"/>
          </w:tcPr>
          <w:p w14:paraId="57609789">
            <w:pPr>
              <w:jc w:val="left"/>
              <w:rPr>
                <w:color w:val="C00000"/>
                <w:sz w:val="18"/>
                <w:szCs w:val="21"/>
                <w:vertAlign w:val="baseline"/>
              </w:rPr>
            </w:pPr>
            <w:r>
              <w:rPr>
                <w:rFonts w:hint="eastAsia"/>
                <w:color w:val="C00000"/>
                <w:sz w:val="18"/>
                <w:szCs w:val="21"/>
                <w:vertAlign w:val="baseline"/>
              </w:rPr>
              <w:t>空间权重矩阵：邻接、距离阈值、K 近邻</w:t>
            </w:r>
          </w:p>
        </w:tc>
        <w:tc>
          <w:tcPr>
            <w:tcW w:w="4279" w:type="dxa"/>
            <w:vAlign w:val="top"/>
          </w:tcPr>
          <w:p w14:paraId="2A02AD98">
            <w:pPr>
              <w:jc w:val="left"/>
              <w:rPr>
                <w:color w:val="C00000"/>
                <w:sz w:val="18"/>
                <w:szCs w:val="21"/>
                <w:vertAlign w:val="baseline"/>
              </w:rPr>
            </w:pPr>
            <w:r>
              <w:rPr>
                <w:rFonts w:hint="eastAsia"/>
                <w:color w:val="C00000"/>
                <w:sz w:val="18"/>
                <w:szCs w:val="21"/>
                <w:vertAlign w:val="baseline"/>
              </w:rPr>
              <w:t>libpysal.weights.Queen / KNN</w:t>
            </w:r>
          </w:p>
        </w:tc>
      </w:tr>
      <w:tr w14:paraId="133A34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17" w:type="dxa"/>
            <w:vMerge w:val="continue"/>
            <w:tcBorders/>
            <w:vAlign w:val="top"/>
          </w:tcPr>
          <w:p w14:paraId="42152542">
            <w:pPr>
              <w:jc w:val="center"/>
              <w:rPr>
                <w:sz w:val="18"/>
                <w:szCs w:val="21"/>
                <w:vertAlign w:val="baseline"/>
              </w:rPr>
            </w:pPr>
          </w:p>
        </w:tc>
        <w:tc>
          <w:tcPr>
            <w:tcW w:w="731" w:type="dxa"/>
            <w:vAlign w:val="top"/>
          </w:tcPr>
          <w:p w14:paraId="27663ABF">
            <w:pPr>
              <w:jc w:val="center"/>
              <w:rPr>
                <w:rFonts w:hint="default"/>
                <w:color w:val="C00000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color w:val="C00000"/>
                <w:sz w:val="18"/>
                <w:szCs w:val="21"/>
                <w:vertAlign w:val="baseline"/>
                <w:lang w:val="en-US" w:eastAsia="zh-CN"/>
              </w:rPr>
              <w:t>19</w:t>
            </w:r>
          </w:p>
        </w:tc>
        <w:tc>
          <w:tcPr>
            <w:tcW w:w="3131" w:type="dxa"/>
            <w:vAlign w:val="top"/>
          </w:tcPr>
          <w:p w14:paraId="576E8725">
            <w:pPr>
              <w:jc w:val="left"/>
              <w:rPr>
                <w:color w:val="C00000"/>
                <w:sz w:val="18"/>
                <w:szCs w:val="21"/>
                <w:vertAlign w:val="baseline"/>
              </w:rPr>
            </w:pPr>
            <w:r>
              <w:rPr>
                <w:rFonts w:hint="eastAsia"/>
                <w:color w:val="C00000"/>
                <w:sz w:val="18"/>
                <w:szCs w:val="21"/>
                <w:vertAlign w:val="baseline"/>
              </w:rPr>
              <w:t>全局与局部空间自相关：Moran's I、Geary's C、LISA</w:t>
            </w:r>
          </w:p>
        </w:tc>
        <w:tc>
          <w:tcPr>
            <w:tcW w:w="4279" w:type="dxa"/>
            <w:vAlign w:val="top"/>
          </w:tcPr>
          <w:p w14:paraId="16F9606B">
            <w:pPr>
              <w:jc w:val="left"/>
              <w:rPr>
                <w:color w:val="C00000"/>
                <w:sz w:val="18"/>
                <w:szCs w:val="21"/>
                <w:vertAlign w:val="baseline"/>
              </w:rPr>
            </w:pPr>
            <w:r>
              <w:rPr>
                <w:rFonts w:hint="eastAsia"/>
                <w:color w:val="C00000"/>
                <w:sz w:val="18"/>
                <w:szCs w:val="21"/>
                <w:vertAlign w:val="baseline"/>
              </w:rPr>
              <w:t>esda.Moran、esda.Moran_Local</w:t>
            </w:r>
          </w:p>
        </w:tc>
      </w:tr>
      <w:tr w14:paraId="0B88D9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17" w:type="dxa"/>
            <w:vMerge w:val="continue"/>
            <w:tcBorders/>
            <w:vAlign w:val="top"/>
          </w:tcPr>
          <w:p w14:paraId="4EC9E42F">
            <w:pPr>
              <w:jc w:val="center"/>
              <w:rPr>
                <w:sz w:val="18"/>
                <w:szCs w:val="21"/>
                <w:vertAlign w:val="baseline"/>
              </w:rPr>
            </w:pPr>
          </w:p>
        </w:tc>
        <w:tc>
          <w:tcPr>
            <w:tcW w:w="731" w:type="dxa"/>
            <w:vAlign w:val="top"/>
          </w:tcPr>
          <w:p w14:paraId="65544309">
            <w:pPr>
              <w:jc w:val="center"/>
              <w:rPr>
                <w:rFonts w:hint="default"/>
                <w:color w:val="C00000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color w:val="C00000"/>
                <w:sz w:val="18"/>
                <w:szCs w:val="21"/>
                <w:vertAlign w:val="baseline"/>
                <w:lang w:val="en-US" w:eastAsia="zh-CN"/>
              </w:rPr>
              <w:t>20</w:t>
            </w:r>
          </w:p>
        </w:tc>
        <w:tc>
          <w:tcPr>
            <w:tcW w:w="3131" w:type="dxa"/>
            <w:vAlign w:val="top"/>
          </w:tcPr>
          <w:p w14:paraId="17A2ACDD">
            <w:pPr>
              <w:jc w:val="left"/>
              <w:rPr>
                <w:color w:val="C00000"/>
                <w:sz w:val="18"/>
                <w:szCs w:val="21"/>
                <w:vertAlign w:val="baseline"/>
              </w:rPr>
            </w:pPr>
            <w:r>
              <w:rPr>
                <w:rFonts w:hint="eastAsia"/>
                <w:color w:val="C00000"/>
                <w:sz w:val="18"/>
                <w:szCs w:val="21"/>
                <w:vertAlign w:val="baseline"/>
              </w:rPr>
              <w:t>空间回归：SAR、SEM、空间杜宾</w:t>
            </w:r>
          </w:p>
        </w:tc>
        <w:tc>
          <w:tcPr>
            <w:tcW w:w="4279" w:type="dxa"/>
            <w:vAlign w:val="top"/>
          </w:tcPr>
          <w:p w14:paraId="4D56FF86">
            <w:pPr>
              <w:jc w:val="left"/>
              <w:rPr>
                <w:color w:val="C00000"/>
                <w:sz w:val="18"/>
                <w:szCs w:val="21"/>
                <w:vertAlign w:val="baseline"/>
              </w:rPr>
            </w:pPr>
            <w:r>
              <w:rPr>
                <w:rFonts w:hint="eastAsia"/>
                <w:color w:val="C00000"/>
                <w:sz w:val="18"/>
                <w:szCs w:val="21"/>
                <w:vertAlign w:val="baseline"/>
              </w:rPr>
              <w:t>spreg.ML_Lag、spreg.ML_Error</w:t>
            </w:r>
          </w:p>
        </w:tc>
      </w:tr>
      <w:tr w14:paraId="46A962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717" w:type="dxa"/>
            <w:vMerge w:val="continue"/>
            <w:tcBorders/>
            <w:vAlign w:val="top"/>
          </w:tcPr>
          <w:p w14:paraId="4CED0A43">
            <w:pPr>
              <w:jc w:val="center"/>
              <w:rPr>
                <w:sz w:val="18"/>
                <w:szCs w:val="21"/>
                <w:vertAlign w:val="baseline"/>
              </w:rPr>
            </w:pPr>
          </w:p>
        </w:tc>
        <w:tc>
          <w:tcPr>
            <w:tcW w:w="731" w:type="dxa"/>
            <w:vAlign w:val="top"/>
          </w:tcPr>
          <w:p w14:paraId="03E5D9EF">
            <w:pPr>
              <w:jc w:val="center"/>
              <w:rPr>
                <w:rFonts w:hint="default"/>
                <w:color w:val="2E54A1" w:themeColor="accent1" w:themeShade="BF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color w:val="2E54A1" w:themeColor="accent1" w:themeShade="BF"/>
                <w:sz w:val="18"/>
                <w:szCs w:val="21"/>
                <w:vertAlign w:val="baseline"/>
                <w:lang w:val="en-US" w:eastAsia="zh-CN"/>
              </w:rPr>
              <w:t>21</w:t>
            </w:r>
          </w:p>
        </w:tc>
        <w:tc>
          <w:tcPr>
            <w:tcW w:w="3131" w:type="dxa"/>
            <w:vAlign w:val="top"/>
          </w:tcPr>
          <w:p w14:paraId="30C4FB4E">
            <w:pPr>
              <w:jc w:val="left"/>
              <w:rPr>
                <w:color w:val="2E54A1" w:themeColor="accent1" w:themeShade="BF"/>
                <w:sz w:val="18"/>
                <w:szCs w:val="21"/>
                <w:vertAlign w:val="baseline"/>
              </w:rPr>
            </w:pPr>
            <w:r>
              <w:rPr>
                <w:rFonts w:hint="eastAsia"/>
                <w:color w:val="2E54A1" w:themeColor="accent1" w:themeShade="BF"/>
                <w:sz w:val="18"/>
                <w:szCs w:val="21"/>
                <w:vertAlign w:val="baseline"/>
              </w:rPr>
              <w:t>点格局分析：Ripley's K / L 函数</w:t>
            </w:r>
          </w:p>
        </w:tc>
        <w:tc>
          <w:tcPr>
            <w:tcW w:w="4279" w:type="dxa"/>
            <w:vAlign w:val="top"/>
          </w:tcPr>
          <w:p w14:paraId="43EB9EBE">
            <w:pPr>
              <w:jc w:val="left"/>
              <w:rPr>
                <w:color w:val="2E54A1" w:themeColor="accent1" w:themeShade="BF"/>
                <w:sz w:val="18"/>
                <w:szCs w:val="21"/>
                <w:vertAlign w:val="baseline"/>
              </w:rPr>
            </w:pPr>
            <w:r>
              <w:rPr>
                <w:rFonts w:hint="eastAsia"/>
                <w:color w:val="2E54A1" w:themeColor="accent1" w:themeShade="BF"/>
                <w:sz w:val="18"/>
                <w:szCs w:val="21"/>
                <w:vertAlign w:val="baseline"/>
              </w:rPr>
              <w:t>pointpats</w:t>
            </w:r>
          </w:p>
        </w:tc>
      </w:tr>
      <w:tr w14:paraId="12849C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17" w:type="dxa"/>
            <w:vMerge w:val="continue"/>
            <w:tcBorders/>
            <w:vAlign w:val="top"/>
          </w:tcPr>
          <w:p w14:paraId="28F7DEA0">
            <w:pPr>
              <w:jc w:val="center"/>
              <w:rPr>
                <w:sz w:val="18"/>
                <w:szCs w:val="21"/>
                <w:vertAlign w:val="baseline"/>
              </w:rPr>
            </w:pPr>
          </w:p>
        </w:tc>
        <w:tc>
          <w:tcPr>
            <w:tcW w:w="731" w:type="dxa"/>
            <w:vAlign w:val="top"/>
          </w:tcPr>
          <w:p w14:paraId="2697BFC9">
            <w:pPr>
              <w:jc w:val="center"/>
              <w:rPr>
                <w:rFonts w:hint="default"/>
                <w:color w:val="2E54A1" w:themeColor="accent1" w:themeShade="BF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color w:val="2E54A1" w:themeColor="accent1" w:themeShade="BF"/>
                <w:sz w:val="18"/>
                <w:szCs w:val="21"/>
                <w:vertAlign w:val="baseline"/>
                <w:lang w:val="en-US" w:eastAsia="zh-CN"/>
              </w:rPr>
              <w:t>22</w:t>
            </w:r>
          </w:p>
        </w:tc>
        <w:tc>
          <w:tcPr>
            <w:tcW w:w="3131" w:type="dxa"/>
            <w:vAlign w:val="top"/>
          </w:tcPr>
          <w:p w14:paraId="4C2355FB">
            <w:pPr>
              <w:jc w:val="left"/>
              <w:rPr>
                <w:color w:val="2E54A1" w:themeColor="accent1" w:themeShade="BF"/>
                <w:sz w:val="18"/>
                <w:szCs w:val="21"/>
                <w:vertAlign w:val="baseline"/>
              </w:rPr>
            </w:pPr>
            <w:r>
              <w:rPr>
                <w:rFonts w:hint="eastAsia"/>
                <w:color w:val="2E54A1" w:themeColor="accent1" w:themeShade="BF"/>
                <w:sz w:val="18"/>
                <w:szCs w:val="21"/>
                <w:vertAlign w:val="baseline"/>
              </w:rPr>
              <w:t>半变异函数与克里金插值</w:t>
            </w:r>
          </w:p>
        </w:tc>
        <w:tc>
          <w:tcPr>
            <w:tcW w:w="4279" w:type="dxa"/>
            <w:vAlign w:val="top"/>
          </w:tcPr>
          <w:p w14:paraId="1749A938">
            <w:pPr>
              <w:jc w:val="left"/>
              <w:rPr>
                <w:color w:val="2E54A1" w:themeColor="accent1" w:themeShade="BF"/>
                <w:sz w:val="18"/>
                <w:szCs w:val="21"/>
                <w:vertAlign w:val="baseline"/>
              </w:rPr>
            </w:pPr>
            <w:r>
              <w:rPr>
                <w:rFonts w:hint="eastAsia"/>
                <w:color w:val="2E54A1" w:themeColor="accent1" w:themeShade="BF"/>
                <w:sz w:val="18"/>
                <w:szCs w:val="21"/>
                <w:vertAlign w:val="baseline"/>
              </w:rPr>
              <w:t>pykrige 或 scikit-gstat</w:t>
            </w:r>
          </w:p>
        </w:tc>
      </w:tr>
      <w:tr w14:paraId="737241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717" w:type="dxa"/>
            <w:vMerge w:val="continue"/>
            <w:tcBorders/>
            <w:vAlign w:val="top"/>
          </w:tcPr>
          <w:p w14:paraId="05331903">
            <w:pPr>
              <w:jc w:val="center"/>
              <w:rPr>
                <w:sz w:val="18"/>
                <w:szCs w:val="21"/>
                <w:vertAlign w:val="baseline"/>
              </w:rPr>
            </w:pPr>
          </w:p>
        </w:tc>
        <w:tc>
          <w:tcPr>
            <w:tcW w:w="731" w:type="dxa"/>
            <w:vAlign w:val="top"/>
          </w:tcPr>
          <w:p w14:paraId="3F26EC71">
            <w:pPr>
              <w:jc w:val="center"/>
              <w:rPr>
                <w:rFonts w:hint="default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21"/>
                <w:vertAlign w:val="baseline"/>
                <w:lang w:val="en-US" w:eastAsia="zh-CN"/>
              </w:rPr>
              <w:t>23</w:t>
            </w:r>
          </w:p>
        </w:tc>
        <w:tc>
          <w:tcPr>
            <w:tcW w:w="3131" w:type="dxa"/>
            <w:vAlign w:val="top"/>
          </w:tcPr>
          <w:p w14:paraId="31E7EC0B">
            <w:pPr>
              <w:jc w:val="left"/>
              <w:rPr>
                <w:sz w:val="18"/>
                <w:szCs w:val="21"/>
                <w:vertAlign w:val="baseline"/>
              </w:rPr>
            </w:pPr>
            <w:r>
              <w:rPr>
                <w:rFonts w:hint="eastAsia"/>
                <w:sz w:val="18"/>
                <w:szCs w:val="21"/>
                <w:vertAlign w:val="baseline"/>
              </w:rPr>
              <w:t>景观格局指数：破碎度、连通性、边缘密度</w:t>
            </w:r>
          </w:p>
        </w:tc>
        <w:tc>
          <w:tcPr>
            <w:tcW w:w="4279" w:type="dxa"/>
            <w:vAlign w:val="top"/>
          </w:tcPr>
          <w:p w14:paraId="342E06B6">
            <w:pPr>
              <w:jc w:val="left"/>
              <w:rPr>
                <w:sz w:val="18"/>
                <w:szCs w:val="21"/>
                <w:vertAlign w:val="baseline"/>
              </w:rPr>
            </w:pPr>
            <w:r>
              <w:rPr>
                <w:rFonts w:hint="eastAsia"/>
                <w:sz w:val="18"/>
                <w:szCs w:val="21"/>
                <w:vertAlign w:val="baseline"/>
              </w:rPr>
              <w:t>PyLandStats（Python 版景观指数库）</w:t>
            </w:r>
          </w:p>
        </w:tc>
      </w:tr>
      <w:tr w14:paraId="49871A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17" w:type="dxa"/>
            <w:vMerge w:val="continue"/>
            <w:tcBorders/>
            <w:vAlign w:val="top"/>
          </w:tcPr>
          <w:p w14:paraId="2F717389">
            <w:pPr>
              <w:jc w:val="center"/>
              <w:rPr>
                <w:sz w:val="18"/>
                <w:szCs w:val="21"/>
                <w:vertAlign w:val="baseline"/>
              </w:rPr>
            </w:pPr>
          </w:p>
        </w:tc>
        <w:tc>
          <w:tcPr>
            <w:tcW w:w="731" w:type="dxa"/>
            <w:vAlign w:val="top"/>
          </w:tcPr>
          <w:p w14:paraId="59E21DC4">
            <w:pPr>
              <w:jc w:val="center"/>
              <w:rPr>
                <w:rFonts w:hint="default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21"/>
                <w:vertAlign w:val="baseline"/>
                <w:lang w:val="en-US" w:eastAsia="zh-CN"/>
              </w:rPr>
              <w:t>24</w:t>
            </w:r>
          </w:p>
        </w:tc>
        <w:tc>
          <w:tcPr>
            <w:tcW w:w="3131" w:type="dxa"/>
            <w:vAlign w:val="top"/>
          </w:tcPr>
          <w:p w14:paraId="289FBDDB">
            <w:pPr>
              <w:jc w:val="left"/>
              <w:rPr>
                <w:sz w:val="18"/>
                <w:szCs w:val="21"/>
                <w:vertAlign w:val="baseline"/>
              </w:rPr>
            </w:pPr>
            <w:r>
              <w:rPr>
                <w:rFonts w:hint="eastAsia"/>
                <w:sz w:val="18"/>
                <w:szCs w:val="21"/>
                <w:vertAlign w:val="baseline"/>
              </w:rPr>
              <w:t>尺度效应与尺度推绎：幅度、粒度、多尺度分析</w:t>
            </w:r>
          </w:p>
        </w:tc>
        <w:tc>
          <w:tcPr>
            <w:tcW w:w="4279" w:type="dxa"/>
            <w:vAlign w:val="top"/>
          </w:tcPr>
          <w:p w14:paraId="336AC972">
            <w:pPr>
              <w:jc w:val="left"/>
              <w:rPr>
                <w:sz w:val="18"/>
                <w:szCs w:val="21"/>
                <w:vertAlign w:val="baseline"/>
              </w:rPr>
            </w:pPr>
            <w:r>
              <w:rPr>
                <w:rFonts w:hint="eastAsia"/>
                <w:sz w:val="18"/>
                <w:szCs w:val="21"/>
                <w:vertAlign w:val="baseline"/>
              </w:rPr>
              <w:t>换不同粒度重算指标，看结果怎么变</w:t>
            </w:r>
          </w:p>
        </w:tc>
      </w:tr>
      <w:tr w14:paraId="2DCC2E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17" w:type="dxa"/>
            <w:vMerge w:val="restart"/>
            <w:vAlign w:val="top"/>
          </w:tcPr>
          <w:p w14:paraId="74791FAD">
            <w:pPr>
              <w:jc w:val="center"/>
              <w:rPr>
                <w:rFonts w:hint="eastAsia"/>
                <w:sz w:val="18"/>
                <w:szCs w:val="21"/>
                <w:vertAlign w:val="baseline"/>
                <w:lang w:val="en-US" w:eastAsia="zh-CN"/>
              </w:rPr>
            </w:pPr>
          </w:p>
          <w:p w14:paraId="6093545F">
            <w:pPr>
              <w:jc w:val="center"/>
              <w:rPr>
                <w:rFonts w:hint="eastAsia"/>
                <w:sz w:val="18"/>
                <w:szCs w:val="21"/>
                <w:vertAlign w:val="baseline"/>
                <w:lang w:val="en-US" w:eastAsia="zh-CN"/>
              </w:rPr>
            </w:pPr>
          </w:p>
          <w:p w14:paraId="577E73A3">
            <w:pPr>
              <w:jc w:val="center"/>
              <w:rPr>
                <w:rFonts w:hint="eastAsia"/>
                <w:sz w:val="18"/>
                <w:szCs w:val="21"/>
                <w:vertAlign w:val="baseline"/>
                <w:lang w:val="en-US" w:eastAsia="zh-CN"/>
              </w:rPr>
            </w:pPr>
          </w:p>
          <w:p w14:paraId="4FFA0F3E">
            <w:pPr>
              <w:jc w:val="center"/>
              <w:rPr>
                <w:rFonts w:hint="eastAsia" w:eastAsiaTheme="minorEastAsia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21"/>
                <w:vertAlign w:val="baseline"/>
                <w:lang w:val="en-US" w:eastAsia="zh-CN"/>
              </w:rPr>
              <w:t>多元</w:t>
            </w:r>
          </w:p>
        </w:tc>
        <w:tc>
          <w:tcPr>
            <w:tcW w:w="731" w:type="dxa"/>
            <w:vAlign w:val="top"/>
          </w:tcPr>
          <w:p w14:paraId="299FEA03">
            <w:pPr>
              <w:jc w:val="center"/>
              <w:rPr>
                <w:rFonts w:hint="default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21"/>
                <w:vertAlign w:val="baseline"/>
                <w:lang w:val="en-US" w:eastAsia="zh-CN"/>
              </w:rPr>
              <w:t>25</w:t>
            </w:r>
          </w:p>
        </w:tc>
        <w:tc>
          <w:tcPr>
            <w:tcW w:w="3131" w:type="dxa"/>
            <w:vAlign w:val="top"/>
          </w:tcPr>
          <w:p w14:paraId="4C51AFCD">
            <w:pPr>
              <w:jc w:val="left"/>
              <w:rPr>
                <w:sz w:val="18"/>
                <w:szCs w:val="21"/>
                <w:vertAlign w:val="baseline"/>
              </w:rPr>
            </w:pPr>
            <w:r>
              <w:rPr>
                <w:rFonts w:hint="eastAsia"/>
                <w:sz w:val="18"/>
                <w:szCs w:val="21"/>
                <w:vertAlign w:val="baseline"/>
              </w:rPr>
              <w:t>排序分析：PCA、DCA、RDA、CCA、NMDS</w:t>
            </w:r>
          </w:p>
        </w:tc>
        <w:tc>
          <w:tcPr>
            <w:tcW w:w="4279" w:type="dxa"/>
            <w:vAlign w:val="top"/>
          </w:tcPr>
          <w:p w14:paraId="444DA467">
            <w:pPr>
              <w:jc w:val="left"/>
              <w:rPr>
                <w:sz w:val="18"/>
                <w:szCs w:val="21"/>
                <w:vertAlign w:val="baseline"/>
              </w:rPr>
            </w:pPr>
            <w:r>
              <w:rPr>
                <w:rFonts w:hint="eastAsia"/>
                <w:sz w:val="18"/>
                <w:szCs w:val="21"/>
                <w:vertAlign w:val="baseline"/>
              </w:rPr>
              <w:t>sklearn.PCA；RDA/CCA 可借 R 的 vegan</w:t>
            </w:r>
          </w:p>
        </w:tc>
      </w:tr>
      <w:tr w14:paraId="5BFCD9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17" w:type="dxa"/>
            <w:vMerge w:val="continue"/>
            <w:tcBorders/>
            <w:vAlign w:val="top"/>
          </w:tcPr>
          <w:p w14:paraId="087BB974">
            <w:pPr>
              <w:jc w:val="center"/>
              <w:rPr>
                <w:sz w:val="18"/>
                <w:szCs w:val="21"/>
                <w:vertAlign w:val="baseline"/>
              </w:rPr>
            </w:pPr>
          </w:p>
        </w:tc>
        <w:tc>
          <w:tcPr>
            <w:tcW w:w="731" w:type="dxa"/>
            <w:vAlign w:val="top"/>
          </w:tcPr>
          <w:p w14:paraId="411C1844">
            <w:pPr>
              <w:jc w:val="center"/>
              <w:rPr>
                <w:rFonts w:hint="default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21"/>
                <w:vertAlign w:val="baseline"/>
                <w:lang w:val="en-US" w:eastAsia="zh-CN"/>
              </w:rPr>
              <w:t>26</w:t>
            </w:r>
          </w:p>
        </w:tc>
        <w:tc>
          <w:tcPr>
            <w:tcW w:w="3131" w:type="dxa"/>
            <w:vAlign w:val="top"/>
          </w:tcPr>
          <w:p w14:paraId="270751C1">
            <w:pPr>
              <w:jc w:val="left"/>
              <w:rPr>
                <w:sz w:val="18"/>
                <w:szCs w:val="21"/>
                <w:vertAlign w:val="baseline"/>
              </w:rPr>
            </w:pPr>
            <w:r>
              <w:rPr>
                <w:rFonts w:hint="eastAsia"/>
                <w:sz w:val="18"/>
                <w:szCs w:val="21"/>
                <w:vertAlign w:val="baseline"/>
              </w:rPr>
              <w:t>聚类分析：层次聚类、k-means</w:t>
            </w:r>
          </w:p>
        </w:tc>
        <w:tc>
          <w:tcPr>
            <w:tcW w:w="4279" w:type="dxa"/>
            <w:vAlign w:val="top"/>
          </w:tcPr>
          <w:p w14:paraId="7A3D0A3D">
            <w:pPr>
              <w:jc w:val="left"/>
              <w:rPr>
                <w:sz w:val="18"/>
                <w:szCs w:val="21"/>
                <w:vertAlign w:val="baseline"/>
              </w:rPr>
            </w:pPr>
            <w:r>
              <w:rPr>
                <w:rFonts w:hint="eastAsia"/>
                <w:sz w:val="18"/>
                <w:szCs w:val="21"/>
                <w:vertAlign w:val="baseline"/>
              </w:rPr>
              <w:t>scipy.cluster.hierarchy</w:t>
            </w:r>
          </w:p>
        </w:tc>
      </w:tr>
      <w:tr w14:paraId="6C9537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17" w:type="dxa"/>
            <w:vMerge w:val="continue"/>
            <w:tcBorders/>
            <w:vAlign w:val="top"/>
          </w:tcPr>
          <w:p w14:paraId="116799DE">
            <w:pPr>
              <w:jc w:val="center"/>
              <w:rPr>
                <w:sz w:val="18"/>
                <w:szCs w:val="21"/>
                <w:vertAlign w:val="baseline"/>
              </w:rPr>
            </w:pPr>
          </w:p>
        </w:tc>
        <w:tc>
          <w:tcPr>
            <w:tcW w:w="731" w:type="dxa"/>
            <w:vAlign w:val="top"/>
          </w:tcPr>
          <w:p w14:paraId="518AC7CA">
            <w:pPr>
              <w:jc w:val="center"/>
              <w:rPr>
                <w:rFonts w:hint="default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21"/>
                <w:vertAlign w:val="baseline"/>
                <w:lang w:val="en-US" w:eastAsia="zh-CN"/>
              </w:rPr>
              <w:t>27</w:t>
            </w:r>
          </w:p>
        </w:tc>
        <w:tc>
          <w:tcPr>
            <w:tcW w:w="3131" w:type="dxa"/>
            <w:vAlign w:val="top"/>
          </w:tcPr>
          <w:p w14:paraId="0CAF0525">
            <w:pPr>
              <w:jc w:val="left"/>
              <w:rPr>
                <w:sz w:val="18"/>
                <w:szCs w:val="21"/>
                <w:vertAlign w:val="baseline"/>
              </w:rPr>
            </w:pPr>
            <w:r>
              <w:rPr>
                <w:rFonts w:hint="eastAsia"/>
                <w:sz w:val="18"/>
                <w:szCs w:val="21"/>
                <w:vertAlign w:val="baseline"/>
              </w:rPr>
              <w:t>多样性指数：α、β、γ 及其分解</w:t>
            </w:r>
          </w:p>
        </w:tc>
        <w:tc>
          <w:tcPr>
            <w:tcW w:w="4279" w:type="dxa"/>
            <w:vAlign w:val="top"/>
          </w:tcPr>
          <w:p w14:paraId="3C054C7A">
            <w:pPr>
              <w:jc w:val="left"/>
              <w:rPr>
                <w:sz w:val="18"/>
                <w:szCs w:val="21"/>
                <w:vertAlign w:val="baseline"/>
              </w:rPr>
            </w:pPr>
            <w:r>
              <w:rPr>
                <w:rFonts w:hint="eastAsia"/>
                <w:sz w:val="18"/>
                <w:szCs w:val="21"/>
                <w:vertAlign w:val="baseline"/>
              </w:rPr>
              <w:t>手写 + skbio</w:t>
            </w:r>
          </w:p>
        </w:tc>
      </w:tr>
      <w:tr w14:paraId="12CC7E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17" w:type="dxa"/>
            <w:vMerge w:val="continue"/>
            <w:tcBorders/>
            <w:vAlign w:val="top"/>
          </w:tcPr>
          <w:p w14:paraId="15F18187">
            <w:pPr>
              <w:jc w:val="center"/>
              <w:rPr>
                <w:sz w:val="18"/>
                <w:szCs w:val="21"/>
                <w:vertAlign w:val="baseline"/>
              </w:rPr>
            </w:pPr>
          </w:p>
        </w:tc>
        <w:tc>
          <w:tcPr>
            <w:tcW w:w="731" w:type="dxa"/>
            <w:vAlign w:val="top"/>
          </w:tcPr>
          <w:p w14:paraId="51384622">
            <w:pPr>
              <w:jc w:val="center"/>
              <w:rPr>
                <w:rFonts w:hint="default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21"/>
                <w:vertAlign w:val="baseline"/>
                <w:lang w:val="en-US" w:eastAsia="zh-CN"/>
              </w:rPr>
              <w:t>28</w:t>
            </w:r>
          </w:p>
        </w:tc>
        <w:tc>
          <w:tcPr>
            <w:tcW w:w="3131" w:type="dxa"/>
            <w:vAlign w:val="top"/>
          </w:tcPr>
          <w:p w14:paraId="530090EF">
            <w:pPr>
              <w:jc w:val="left"/>
              <w:rPr>
                <w:sz w:val="18"/>
                <w:szCs w:val="21"/>
                <w:vertAlign w:val="baseline"/>
              </w:rPr>
            </w:pPr>
            <w:r>
              <w:rPr>
                <w:rFonts w:hint="eastAsia"/>
                <w:sz w:val="18"/>
                <w:szCs w:val="21"/>
                <w:vertAlign w:val="baseline"/>
              </w:rPr>
              <w:t>方差分解：区分环境因子与空间因子的贡献</w:t>
            </w:r>
          </w:p>
        </w:tc>
        <w:tc>
          <w:tcPr>
            <w:tcW w:w="4279" w:type="dxa"/>
            <w:vAlign w:val="top"/>
          </w:tcPr>
          <w:p w14:paraId="0139AF4C">
            <w:pPr>
              <w:jc w:val="left"/>
              <w:rPr>
                <w:sz w:val="18"/>
                <w:szCs w:val="21"/>
                <w:vertAlign w:val="baseline"/>
              </w:rPr>
            </w:pPr>
            <w:r>
              <w:rPr>
                <w:rFonts w:hint="eastAsia"/>
                <w:sz w:val="18"/>
                <w:szCs w:val="21"/>
                <w:vertAlign w:val="baseline"/>
              </w:rPr>
              <w:t>R 的 varpart，或手动实现</w:t>
            </w:r>
          </w:p>
        </w:tc>
      </w:tr>
      <w:tr w14:paraId="00C404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17" w:type="dxa"/>
            <w:vMerge w:val="restart"/>
            <w:vAlign w:val="top"/>
          </w:tcPr>
          <w:p w14:paraId="688745A8">
            <w:pPr>
              <w:jc w:val="center"/>
              <w:rPr>
                <w:rFonts w:hint="eastAsia"/>
                <w:sz w:val="18"/>
                <w:szCs w:val="21"/>
                <w:vertAlign w:val="baseline"/>
                <w:lang w:val="en-US" w:eastAsia="zh-CN"/>
              </w:rPr>
            </w:pPr>
          </w:p>
          <w:p w14:paraId="4B25F3AE">
            <w:pPr>
              <w:jc w:val="center"/>
              <w:rPr>
                <w:rFonts w:hint="eastAsia" w:eastAsiaTheme="minorEastAsia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21"/>
                <w:vertAlign w:val="baseline"/>
                <w:lang w:val="en-US" w:eastAsia="zh-CN"/>
              </w:rPr>
              <w:t>实战</w:t>
            </w:r>
          </w:p>
        </w:tc>
        <w:tc>
          <w:tcPr>
            <w:tcW w:w="731" w:type="dxa"/>
            <w:vAlign w:val="top"/>
          </w:tcPr>
          <w:p w14:paraId="68F0CCB8">
            <w:pPr>
              <w:jc w:val="center"/>
              <w:rPr>
                <w:rFonts w:hint="default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21"/>
                <w:vertAlign w:val="baseline"/>
                <w:lang w:val="en-US" w:eastAsia="zh-CN"/>
              </w:rPr>
              <w:t>29</w:t>
            </w:r>
          </w:p>
        </w:tc>
        <w:tc>
          <w:tcPr>
            <w:tcW w:w="3131" w:type="dxa"/>
            <w:vAlign w:val="top"/>
          </w:tcPr>
          <w:p w14:paraId="320ECEE3">
            <w:pPr>
              <w:jc w:val="left"/>
              <w:rPr>
                <w:sz w:val="18"/>
                <w:szCs w:val="21"/>
                <w:vertAlign w:val="baseline"/>
              </w:rPr>
            </w:pPr>
            <w:r>
              <w:rPr>
                <w:rFonts w:hint="eastAsia"/>
                <w:sz w:val="18"/>
                <w:szCs w:val="21"/>
                <w:vertAlign w:val="baseline"/>
              </w:rPr>
              <w:t>选一篇目标论文，拆出它的方法清单</w:t>
            </w:r>
          </w:p>
        </w:tc>
        <w:tc>
          <w:tcPr>
            <w:tcW w:w="4279" w:type="dxa"/>
            <w:vAlign w:val="top"/>
          </w:tcPr>
          <w:p w14:paraId="7A302E4A">
            <w:pPr>
              <w:jc w:val="left"/>
              <w:rPr>
                <w:sz w:val="18"/>
                <w:szCs w:val="21"/>
                <w:vertAlign w:val="baseline"/>
              </w:rPr>
            </w:pPr>
            <w:r>
              <w:rPr>
                <w:rFonts w:hint="eastAsia"/>
                <w:sz w:val="18"/>
                <w:szCs w:val="21"/>
                <w:vertAlign w:val="baseline"/>
              </w:rPr>
              <w:t>Jupyter 里逐条复现</w:t>
            </w:r>
          </w:p>
        </w:tc>
      </w:tr>
      <w:tr w14:paraId="33322B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17" w:type="dxa"/>
            <w:vMerge w:val="continue"/>
            <w:tcBorders/>
            <w:vAlign w:val="top"/>
          </w:tcPr>
          <w:p w14:paraId="1825DDDA">
            <w:pPr>
              <w:jc w:val="center"/>
              <w:rPr>
                <w:sz w:val="18"/>
                <w:szCs w:val="21"/>
                <w:vertAlign w:val="baseline"/>
              </w:rPr>
            </w:pPr>
          </w:p>
        </w:tc>
        <w:tc>
          <w:tcPr>
            <w:tcW w:w="731" w:type="dxa"/>
            <w:vAlign w:val="top"/>
          </w:tcPr>
          <w:p w14:paraId="3D3190B4">
            <w:pPr>
              <w:jc w:val="center"/>
              <w:rPr>
                <w:rFonts w:hint="default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18"/>
                <w:szCs w:val="21"/>
                <w:vertAlign w:val="baseline"/>
                <w:lang w:val="en-US" w:eastAsia="zh-CN"/>
              </w:rPr>
              <w:t>30</w:t>
            </w:r>
          </w:p>
        </w:tc>
        <w:tc>
          <w:tcPr>
            <w:tcW w:w="3131" w:type="dxa"/>
            <w:vAlign w:val="top"/>
          </w:tcPr>
          <w:p w14:paraId="450C341E">
            <w:pPr>
              <w:jc w:val="left"/>
              <w:rPr>
                <w:sz w:val="18"/>
                <w:szCs w:val="21"/>
                <w:vertAlign w:val="baseline"/>
              </w:rPr>
            </w:pPr>
            <w:r>
              <w:rPr>
                <w:rFonts w:hint="eastAsia"/>
                <w:sz w:val="18"/>
                <w:szCs w:val="21"/>
                <w:vertAlign w:val="baseline"/>
              </w:rPr>
              <w:t>把整条流程脚本化、出图、写成方法段落</w:t>
            </w:r>
          </w:p>
        </w:tc>
        <w:tc>
          <w:tcPr>
            <w:tcW w:w="4279" w:type="dxa"/>
            <w:vAlign w:val="top"/>
          </w:tcPr>
          <w:p w14:paraId="7ABFBD9D">
            <w:pPr>
              <w:jc w:val="left"/>
              <w:rPr>
                <w:sz w:val="18"/>
                <w:szCs w:val="21"/>
                <w:vertAlign w:val="baseline"/>
              </w:rPr>
            </w:pPr>
            <w:r>
              <w:rPr>
                <w:rFonts w:hint="eastAsia"/>
                <w:sz w:val="18"/>
                <w:szCs w:val="21"/>
                <w:vertAlign w:val="baseline"/>
              </w:rPr>
              <w:t>整理成可复用的 .py，不要只在 Notebook 点一遍</w:t>
            </w:r>
          </w:p>
        </w:tc>
      </w:tr>
    </w:tbl>
    <w:p w14:paraId="4068C9F9">
      <w:pPr>
        <w:jc w:val="right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Ps：红字是重要学习，蓝色是可忽略学习</w:t>
      </w:r>
    </w:p>
    <w:sectPr>
      <w:pgSz w:w="11906" w:h="16838"/>
      <w:pgMar w:top="986" w:right="1576" w:bottom="760" w:left="1576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ans-serif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B5A09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37</TotalTime>
  <ScaleCrop>false</ScaleCrop>
  <LinksUpToDate>false</LinksUpToDate>
  <CharactersWithSpaces>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2026-10-16T10:06:12Z</dcterms:created>
  <dc:creator>Administrator</dc:creator>
  <cp:lastModifiedBy>郝栩麟</cp:lastModifiedBy>
  <dcterms:modified xsi:type="dcterms:W3CDTF">2026-10-16T10:43:46Z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KSOTemplateDocerSaveRecord">
    <vt:lpwstr>eyJoZGlkIjoiZTNhYzY3MGYzYTI4NzQ1ODRlZTIyMDhjMjllNjVmNGIiLCJ1c2VySWQiOiI5MzAzMDEzODMifQ==</vt:lpwstr>
  </property>
  <property fmtid="{D5CDD505-2E9C-101B-9397-08002B2CF9AE}" pid="4" name="ICV">
    <vt:lpwstr>957832E84BB643E59D2AF8BF547102F8_12</vt:lpwstr>
  </property>
</Properties>
</file>