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FDB" w:rsidRPr="00F45FDB" w:rsidRDefault="00F45FDB" w:rsidP="00F45FDB">
      <w:pPr>
        <w:spacing w:before="100" w:beforeAutospacing="1" w:after="100" w:afterAutospacing="1"/>
        <w:outlineLvl w:val="3"/>
        <w:rPr>
          <w:rFonts w:ascii="Georgia" w:eastAsia="Times New Roman" w:hAnsi="Georgia" w:cs="Times New Roman"/>
          <w:color w:val="2E2E2E"/>
          <w:sz w:val="27"/>
          <w:szCs w:val="27"/>
        </w:rPr>
      </w:pPr>
      <w:r w:rsidRPr="00F45FDB">
        <w:rPr>
          <w:rFonts w:ascii="Georgia" w:eastAsia="Times New Roman" w:hAnsi="Georgia" w:cs="Times New Roman"/>
          <w:color w:val="2E2E2E"/>
          <w:sz w:val="27"/>
          <w:szCs w:val="27"/>
        </w:rPr>
        <w:t>Target Deconvolution Analysis</w:t>
      </w:r>
    </w:p>
    <w:p w:rsidR="00F45FDB" w:rsidRPr="00F45FDB" w:rsidRDefault="00F45FDB" w:rsidP="00F45FDB">
      <w:pPr>
        <w:rPr>
          <w:rFonts w:ascii="Georgia" w:eastAsia="Times New Roman" w:hAnsi="Georgia" w:cs="Times New Roman"/>
          <w:color w:val="2E2E2E"/>
          <w:sz w:val="27"/>
          <w:szCs w:val="27"/>
        </w:rPr>
      </w:pPr>
      <w:r w:rsidRPr="00F45FDB">
        <w:rPr>
          <w:rFonts w:ascii="Georgia" w:eastAsia="Times New Roman" w:hAnsi="Georgia" w:cs="Times New Roman"/>
          <w:color w:val="2E2E2E"/>
          <w:sz w:val="27"/>
          <w:szCs w:val="27"/>
        </w:rPr>
        <w:t>Target deconvolution analysis was performed as previously described (</w:t>
      </w:r>
      <w:bookmarkStart w:id="0" w:name="bbib1"/>
      <w:r w:rsidRPr="00F45FDB">
        <w:rPr>
          <w:rFonts w:ascii="Georgia" w:eastAsia="Times New Roman" w:hAnsi="Georgia" w:cs="Times New Roman"/>
          <w:color w:val="2E2E2E"/>
          <w:sz w:val="27"/>
          <w:szCs w:val="27"/>
        </w:rPr>
        <w:fldChar w:fldCharType="begin"/>
      </w:r>
      <w:r w:rsidRPr="00F45FDB">
        <w:rPr>
          <w:rFonts w:ascii="Georgia" w:eastAsia="Times New Roman" w:hAnsi="Georgia" w:cs="Times New Roman"/>
          <w:color w:val="2E2E2E"/>
          <w:sz w:val="27"/>
          <w:szCs w:val="27"/>
        </w:rPr>
        <w:instrText xml:space="preserve"> HYPERLINK "https://www.sciencedirect.com/science/article/pii/S2451945619301072?via%3Dihub" \l "bib1" </w:instrText>
      </w:r>
      <w:r w:rsidRPr="00F45FDB">
        <w:rPr>
          <w:rFonts w:ascii="Georgia" w:eastAsia="Times New Roman" w:hAnsi="Georgia" w:cs="Times New Roman"/>
          <w:color w:val="2E2E2E"/>
          <w:sz w:val="27"/>
          <w:szCs w:val="27"/>
        </w:rPr>
        <w:fldChar w:fldCharType="separate"/>
      </w:r>
      <w:r w:rsidRPr="00F45FDB">
        <w:rPr>
          <w:rFonts w:ascii="Georgia" w:eastAsia="Times New Roman" w:hAnsi="Georgia" w:cs="Times New Roman"/>
          <w:color w:val="0C7DBB"/>
          <w:sz w:val="27"/>
          <w:szCs w:val="27"/>
          <w:u w:val="single"/>
        </w:rPr>
        <w:t>Al-Ali et al., 2015</w:t>
      </w:r>
      <w:r w:rsidRPr="00F45FDB">
        <w:rPr>
          <w:rFonts w:ascii="Georgia" w:eastAsia="Times New Roman" w:hAnsi="Georgia" w:cs="Times New Roman"/>
          <w:color w:val="2E2E2E"/>
          <w:sz w:val="27"/>
          <w:szCs w:val="27"/>
        </w:rPr>
        <w:fldChar w:fldCharType="end"/>
      </w:r>
      <w:r w:rsidRPr="00F45FDB">
        <w:rPr>
          <w:rFonts w:ascii="Georgia" w:eastAsia="Times New Roman" w:hAnsi="Georgia" w:cs="Times New Roman"/>
          <w:color w:val="2E2E2E"/>
          <w:sz w:val="27"/>
          <w:szCs w:val="27"/>
        </w:rPr>
        <w:t>). Briefly, cell-based activities, expressed as DSS (</w:t>
      </w:r>
      <w:bookmarkStart w:id="1" w:name="bbib29"/>
      <w:r w:rsidRPr="00F45FDB">
        <w:rPr>
          <w:rFonts w:ascii="Georgia" w:eastAsia="Times New Roman" w:hAnsi="Georgia" w:cs="Times New Roman"/>
          <w:color w:val="2E2E2E"/>
          <w:sz w:val="27"/>
          <w:szCs w:val="27"/>
        </w:rPr>
        <w:fldChar w:fldCharType="begin"/>
      </w:r>
      <w:r w:rsidRPr="00F45FDB">
        <w:rPr>
          <w:rFonts w:ascii="Georgia" w:eastAsia="Times New Roman" w:hAnsi="Georgia" w:cs="Times New Roman"/>
          <w:color w:val="2E2E2E"/>
          <w:sz w:val="27"/>
          <w:szCs w:val="27"/>
        </w:rPr>
        <w:instrText xml:space="preserve"> HYPERLINK "https://www.sciencedirect.com/science/article/pii/S2451945619301072?via%3Dihub" \l "bib29" </w:instrText>
      </w:r>
      <w:r w:rsidRPr="00F45FDB">
        <w:rPr>
          <w:rFonts w:ascii="Georgia" w:eastAsia="Times New Roman" w:hAnsi="Georgia" w:cs="Times New Roman"/>
          <w:color w:val="2E2E2E"/>
          <w:sz w:val="27"/>
          <w:szCs w:val="27"/>
        </w:rPr>
        <w:fldChar w:fldCharType="separate"/>
      </w:r>
      <w:r w:rsidRPr="00F45FDB">
        <w:rPr>
          <w:rFonts w:ascii="Georgia" w:eastAsia="Times New Roman" w:hAnsi="Georgia" w:cs="Times New Roman"/>
          <w:color w:val="0C7DBB"/>
          <w:sz w:val="27"/>
          <w:szCs w:val="27"/>
          <w:u w:val="single"/>
        </w:rPr>
        <w:t>Yadav et al., 2014</w:t>
      </w:r>
      <w:r w:rsidRPr="00F45FDB">
        <w:rPr>
          <w:rFonts w:ascii="Georgia" w:eastAsia="Times New Roman" w:hAnsi="Georgia" w:cs="Times New Roman"/>
          <w:color w:val="2E2E2E"/>
          <w:sz w:val="27"/>
          <w:szCs w:val="27"/>
        </w:rPr>
        <w:fldChar w:fldCharType="end"/>
      </w:r>
      <w:bookmarkEnd w:id="1"/>
      <w:r w:rsidRPr="00F45FDB">
        <w:rPr>
          <w:rFonts w:ascii="Georgia" w:eastAsia="Times New Roman" w:hAnsi="Georgia" w:cs="Times New Roman"/>
          <w:color w:val="2E2E2E"/>
          <w:sz w:val="27"/>
          <w:szCs w:val="27"/>
        </w:rPr>
        <w:t>) (</w:t>
      </w:r>
      <w:bookmarkStart w:id="2" w:name="bmmc5"/>
      <w:r w:rsidRPr="00F45FDB">
        <w:rPr>
          <w:rFonts w:ascii="Georgia" w:eastAsia="Times New Roman" w:hAnsi="Georgia" w:cs="Times New Roman"/>
          <w:color w:val="2E2E2E"/>
          <w:sz w:val="27"/>
          <w:szCs w:val="27"/>
        </w:rPr>
        <w:fldChar w:fldCharType="begin"/>
      </w:r>
      <w:r w:rsidRPr="00F45FDB">
        <w:rPr>
          <w:rFonts w:ascii="Georgia" w:eastAsia="Times New Roman" w:hAnsi="Georgia" w:cs="Times New Roman"/>
          <w:color w:val="2E2E2E"/>
          <w:sz w:val="27"/>
          <w:szCs w:val="27"/>
        </w:rPr>
        <w:instrText xml:space="preserve"> HYPERLINK "https://www.sciencedirect.com/science/article/pii/S2451945619301072?via%3Dihub" \l "mmc5" </w:instrText>
      </w:r>
      <w:r w:rsidRPr="00F45FDB">
        <w:rPr>
          <w:rFonts w:ascii="Georgia" w:eastAsia="Times New Roman" w:hAnsi="Georgia" w:cs="Times New Roman"/>
          <w:color w:val="2E2E2E"/>
          <w:sz w:val="27"/>
          <w:szCs w:val="27"/>
        </w:rPr>
        <w:fldChar w:fldCharType="separate"/>
      </w:r>
      <w:r w:rsidRPr="00F45FDB">
        <w:rPr>
          <w:rFonts w:ascii="Georgia" w:eastAsia="Times New Roman" w:hAnsi="Georgia" w:cs="Times New Roman"/>
          <w:color w:val="0C7DBB"/>
          <w:sz w:val="27"/>
          <w:szCs w:val="27"/>
          <w:u w:val="single"/>
        </w:rPr>
        <w:t>Table S5</w:t>
      </w:r>
      <w:r w:rsidRPr="00F45FDB">
        <w:rPr>
          <w:rFonts w:ascii="Georgia" w:eastAsia="Times New Roman" w:hAnsi="Georgia" w:cs="Times New Roman"/>
          <w:color w:val="2E2E2E"/>
          <w:sz w:val="27"/>
          <w:szCs w:val="27"/>
        </w:rPr>
        <w:fldChar w:fldCharType="end"/>
      </w:r>
      <w:bookmarkEnd w:id="2"/>
      <w:r w:rsidRPr="00F45FDB">
        <w:rPr>
          <w:rFonts w:ascii="Georgia" w:eastAsia="Times New Roman" w:hAnsi="Georgia" w:cs="Times New Roman"/>
          <w:color w:val="2E2E2E"/>
          <w:sz w:val="27"/>
          <w:szCs w:val="27"/>
        </w:rPr>
        <w:t>), were used t</w:t>
      </w:r>
      <w:bookmarkStart w:id="3" w:name="_GoBack"/>
      <w:bookmarkEnd w:id="3"/>
      <w:r w:rsidRPr="00F45FDB">
        <w:rPr>
          <w:rFonts w:ascii="Georgia" w:eastAsia="Times New Roman" w:hAnsi="Georgia" w:cs="Times New Roman"/>
          <w:color w:val="2E2E2E"/>
          <w:sz w:val="27"/>
          <w:szCs w:val="27"/>
        </w:rPr>
        <w:t>o stratify compounds into one of two classes: hits (DSS ≥ 5) and non-hits (DSS ≤ 0.5). Kinase activity profiles for the stratified compounds were acquired from previously published datasets (</w:t>
      </w:r>
      <w:hyperlink r:id="rId4" w:anchor="bib1" w:history="1">
        <w:r w:rsidRPr="00F45FDB">
          <w:rPr>
            <w:rFonts w:ascii="Georgia" w:eastAsia="Times New Roman" w:hAnsi="Georgia" w:cs="Times New Roman"/>
            <w:color w:val="0C7DBB"/>
            <w:sz w:val="27"/>
            <w:szCs w:val="27"/>
            <w:u w:val="single"/>
          </w:rPr>
          <w:t>Al-Ali et al., 2015</w:t>
        </w:r>
      </w:hyperlink>
      <w:r w:rsidRPr="00F45FDB">
        <w:rPr>
          <w:rFonts w:ascii="Georgia" w:eastAsia="Times New Roman" w:hAnsi="Georgia" w:cs="Times New Roman"/>
          <w:color w:val="2E2E2E"/>
          <w:sz w:val="27"/>
          <w:szCs w:val="27"/>
        </w:rPr>
        <w:t>, </w:t>
      </w:r>
      <w:bookmarkStart w:id="4" w:name="bbib2"/>
      <w:r w:rsidRPr="00F45FDB">
        <w:rPr>
          <w:rFonts w:ascii="Georgia" w:eastAsia="Times New Roman" w:hAnsi="Georgia" w:cs="Times New Roman"/>
          <w:color w:val="2E2E2E"/>
          <w:sz w:val="27"/>
          <w:szCs w:val="27"/>
        </w:rPr>
        <w:fldChar w:fldCharType="begin"/>
      </w:r>
      <w:r w:rsidRPr="00F45FDB">
        <w:rPr>
          <w:rFonts w:ascii="Georgia" w:eastAsia="Times New Roman" w:hAnsi="Georgia" w:cs="Times New Roman"/>
          <w:color w:val="2E2E2E"/>
          <w:sz w:val="27"/>
          <w:szCs w:val="27"/>
        </w:rPr>
        <w:instrText xml:space="preserve"> HYPERLINK "https://www.sciencedirect.com/science/article/pii/S2451945619301072?via%3Dihub" \l "bib2" </w:instrText>
      </w:r>
      <w:r w:rsidRPr="00F45FDB">
        <w:rPr>
          <w:rFonts w:ascii="Georgia" w:eastAsia="Times New Roman" w:hAnsi="Georgia" w:cs="Times New Roman"/>
          <w:color w:val="2E2E2E"/>
          <w:sz w:val="27"/>
          <w:szCs w:val="27"/>
        </w:rPr>
        <w:fldChar w:fldCharType="separate"/>
      </w:r>
      <w:r w:rsidRPr="00F45FDB">
        <w:rPr>
          <w:rFonts w:ascii="Georgia" w:eastAsia="Times New Roman" w:hAnsi="Georgia" w:cs="Times New Roman"/>
          <w:color w:val="0C7DBB"/>
          <w:sz w:val="27"/>
          <w:szCs w:val="27"/>
          <w:u w:val="single"/>
        </w:rPr>
        <w:t>Anastassiadis et al., 2011</w:t>
      </w:r>
      <w:r w:rsidRPr="00F45FDB">
        <w:rPr>
          <w:rFonts w:ascii="Georgia" w:eastAsia="Times New Roman" w:hAnsi="Georgia" w:cs="Times New Roman"/>
          <w:color w:val="2E2E2E"/>
          <w:sz w:val="27"/>
          <w:szCs w:val="27"/>
        </w:rPr>
        <w:fldChar w:fldCharType="end"/>
      </w:r>
      <w:bookmarkEnd w:id="4"/>
      <w:r w:rsidRPr="00F45FDB">
        <w:rPr>
          <w:rFonts w:ascii="Georgia" w:eastAsia="Times New Roman" w:hAnsi="Georgia" w:cs="Times New Roman"/>
          <w:color w:val="2E2E2E"/>
          <w:sz w:val="27"/>
          <w:szCs w:val="27"/>
        </w:rPr>
        <w:t>, </w:t>
      </w:r>
      <w:bookmarkStart w:id="5" w:name="bbib3"/>
      <w:r w:rsidRPr="00F45FDB">
        <w:rPr>
          <w:rFonts w:ascii="Georgia" w:eastAsia="Times New Roman" w:hAnsi="Georgia" w:cs="Times New Roman"/>
          <w:color w:val="2E2E2E"/>
          <w:sz w:val="27"/>
          <w:szCs w:val="27"/>
        </w:rPr>
        <w:fldChar w:fldCharType="begin"/>
      </w:r>
      <w:r w:rsidRPr="00F45FDB">
        <w:rPr>
          <w:rFonts w:ascii="Georgia" w:eastAsia="Times New Roman" w:hAnsi="Georgia" w:cs="Times New Roman"/>
          <w:color w:val="2E2E2E"/>
          <w:sz w:val="27"/>
          <w:szCs w:val="27"/>
        </w:rPr>
        <w:instrText xml:space="preserve"> HYPERLINK "https://www.sciencedirect.com/science/article/pii/S2451945619301072?via%3Dihub" \l "bib3" </w:instrText>
      </w:r>
      <w:r w:rsidRPr="00F45FDB">
        <w:rPr>
          <w:rFonts w:ascii="Georgia" w:eastAsia="Times New Roman" w:hAnsi="Georgia" w:cs="Times New Roman"/>
          <w:color w:val="2E2E2E"/>
          <w:sz w:val="27"/>
          <w:szCs w:val="27"/>
        </w:rPr>
        <w:fldChar w:fldCharType="separate"/>
      </w:r>
      <w:r w:rsidRPr="00F45FDB">
        <w:rPr>
          <w:rFonts w:ascii="Georgia" w:eastAsia="Times New Roman" w:hAnsi="Georgia" w:cs="Times New Roman"/>
          <w:color w:val="0C7DBB"/>
          <w:sz w:val="27"/>
          <w:szCs w:val="27"/>
          <w:u w:val="single"/>
        </w:rPr>
        <w:t>Arrowsmith et al., 2015</w:t>
      </w:r>
      <w:r w:rsidRPr="00F45FDB">
        <w:rPr>
          <w:rFonts w:ascii="Georgia" w:eastAsia="Times New Roman" w:hAnsi="Georgia" w:cs="Times New Roman"/>
          <w:color w:val="2E2E2E"/>
          <w:sz w:val="27"/>
          <w:szCs w:val="27"/>
        </w:rPr>
        <w:fldChar w:fldCharType="end"/>
      </w:r>
      <w:bookmarkEnd w:id="5"/>
      <w:r w:rsidRPr="00F45FDB">
        <w:rPr>
          <w:rFonts w:ascii="Georgia" w:eastAsia="Times New Roman" w:hAnsi="Georgia" w:cs="Times New Roman"/>
          <w:color w:val="2E2E2E"/>
          <w:sz w:val="27"/>
          <w:szCs w:val="27"/>
        </w:rPr>
        <w:t>, </w:t>
      </w:r>
      <w:bookmarkStart w:id="6" w:name="bbib6"/>
      <w:r w:rsidRPr="00F45FDB">
        <w:rPr>
          <w:rFonts w:ascii="Georgia" w:eastAsia="Times New Roman" w:hAnsi="Georgia" w:cs="Times New Roman"/>
          <w:color w:val="2E2E2E"/>
          <w:sz w:val="27"/>
          <w:szCs w:val="27"/>
        </w:rPr>
        <w:fldChar w:fldCharType="begin"/>
      </w:r>
      <w:r w:rsidRPr="00F45FDB">
        <w:rPr>
          <w:rFonts w:ascii="Georgia" w:eastAsia="Times New Roman" w:hAnsi="Georgia" w:cs="Times New Roman"/>
          <w:color w:val="2E2E2E"/>
          <w:sz w:val="27"/>
          <w:szCs w:val="27"/>
        </w:rPr>
        <w:instrText xml:space="preserve"> HYPERLINK "https://www.sciencedirect.com/science/article/pii/S2451945619301072?via%3Dihub" \l "bib6" </w:instrText>
      </w:r>
      <w:r w:rsidRPr="00F45FDB">
        <w:rPr>
          <w:rFonts w:ascii="Georgia" w:eastAsia="Times New Roman" w:hAnsi="Georgia" w:cs="Times New Roman"/>
          <w:color w:val="2E2E2E"/>
          <w:sz w:val="27"/>
          <w:szCs w:val="27"/>
        </w:rPr>
        <w:fldChar w:fldCharType="separate"/>
      </w:r>
      <w:r w:rsidRPr="00F45FDB">
        <w:rPr>
          <w:rFonts w:ascii="Georgia" w:eastAsia="Times New Roman" w:hAnsi="Georgia" w:cs="Times New Roman"/>
          <w:color w:val="0C7DBB"/>
          <w:sz w:val="27"/>
          <w:szCs w:val="27"/>
          <w:u w:val="single"/>
        </w:rPr>
        <w:t>Davis et al., 2011</w:t>
      </w:r>
      <w:r w:rsidRPr="00F45FDB">
        <w:rPr>
          <w:rFonts w:ascii="Georgia" w:eastAsia="Times New Roman" w:hAnsi="Georgia" w:cs="Times New Roman"/>
          <w:color w:val="2E2E2E"/>
          <w:sz w:val="27"/>
          <w:szCs w:val="27"/>
        </w:rPr>
        <w:fldChar w:fldCharType="end"/>
      </w:r>
      <w:bookmarkEnd w:id="6"/>
      <w:r w:rsidRPr="00F45FDB">
        <w:rPr>
          <w:rFonts w:ascii="Georgia" w:eastAsia="Times New Roman" w:hAnsi="Georgia" w:cs="Times New Roman"/>
          <w:color w:val="2E2E2E"/>
          <w:sz w:val="27"/>
          <w:szCs w:val="27"/>
        </w:rPr>
        <w:t>, </w:t>
      </w:r>
      <w:bookmarkStart w:id="7" w:name="bbib8"/>
      <w:r w:rsidRPr="00F45FDB">
        <w:rPr>
          <w:rFonts w:ascii="Georgia" w:eastAsia="Times New Roman" w:hAnsi="Georgia" w:cs="Times New Roman"/>
          <w:color w:val="2E2E2E"/>
          <w:sz w:val="27"/>
          <w:szCs w:val="27"/>
        </w:rPr>
        <w:fldChar w:fldCharType="begin"/>
      </w:r>
      <w:r w:rsidRPr="00F45FDB">
        <w:rPr>
          <w:rFonts w:ascii="Georgia" w:eastAsia="Times New Roman" w:hAnsi="Georgia" w:cs="Times New Roman"/>
          <w:color w:val="2E2E2E"/>
          <w:sz w:val="27"/>
          <w:szCs w:val="27"/>
        </w:rPr>
        <w:instrText xml:space="preserve"> HYPERLINK "https://www.sciencedirect.com/science/article/pii/S2451945619301072?via%3Dihub" \l "bib8" </w:instrText>
      </w:r>
      <w:r w:rsidRPr="00F45FDB">
        <w:rPr>
          <w:rFonts w:ascii="Georgia" w:eastAsia="Times New Roman" w:hAnsi="Georgia" w:cs="Times New Roman"/>
          <w:color w:val="2E2E2E"/>
          <w:sz w:val="27"/>
          <w:szCs w:val="27"/>
        </w:rPr>
        <w:fldChar w:fldCharType="separate"/>
      </w:r>
      <w:r w:rsidRPr="00F45FDB">
        <w:rPr>
          <w:rFonts w:ascii="Georgia" w:eastAsia="Times New Roman" w:hAnsi="Georgia" w:cs="Times New Roman"/>
          <w:color w:val="0C7DBB"/>
          <w:sz w:val="27"/>
          <w:szCs w:val="27"/>
          <w:u w:val="single"/>
        </w:rPr>
        <w:t>Drewry et al., 2014</w:t>
      </w:r>
      <w:r w:rsidRPr="00F45FDB">
        <w:rPr>
          <w:rFonts w:ascii="Georgia" w:eastAsia="Times New Roman" w:hAnsi="Georgia" w:cs="Times New Roman"/>
          <w:color w:val="2E2E2E"/>
          <w:sz w:val="27"/>
          <w:szCs w:val="27"/>
        </w:rPr>
        <w:fldChar w:fldCharType="end"/>
      </w:r>
      <w:bookmarkEnd w:id="7"/>
      <w:r w:rsidRPr="00F45FDB">
        <w:rPr>
          <w:rFonts w:ascii="Georgia" w:eastAsia="Times New Roman" w:hAnsi="Georgia" w:cs="Times New Roman"/>
          <w:color w:val="2E2E2E"/>
          <w:sz w:val="27"/>
          <w:szCs w:val="27"/>
        </w:rPr>
        <w:t>, </w:t>
      </w:r>
      <w:bookmarkStart w:id="8" w:name="bbib7"/>
      <w:r w:rsidRPr="00F45FDB">
        <w:rPr>
          <w:rFonts w:ascii="Georgia" w:eastAsia="Times New Roman" w:hAnsi="Georgia" w:cs="Times New Roman"/>
          <w:color w:val="2E2E2E"/>
          <w:sz w:val="27"/>
          <w:szCs w:val="27"/>
        </w:rPr>
        <w:fldChar w:fldCharType="begin"/>
      </w:r>
      <w:r w:rsidRPr="00F45FDB">
        <w:rPr>
          <w:rFonts w:ascii="Georgia" w:eastAsia="Times New Roman" w:hAnsi="Georgia" w:cs="Times New Roman"/>
          <w:color w:val="2E2E2E"/>
          <w:sz w:val="27"/>
          <w:szCs w:val="27"/>
        </w:rPr>
        <w:instrText xml:space="preserve"> HYPERLINK "https://www.sciencedirect.com/science/article/pii/S2451945619301072?via%3Dihub" \l "bib7" </w:instrText>
      </w:r>
      <w:r w:rsidRPr="00F45FDB">
        <w:rPr>
          <w:rFonts w:ascii="Georgia" w:eastAsia="Times New Roman" w:hAnsi="Georgia" w:cs="Times New Roman"/>
          <w:color w:val="2E2E2E"/>
          <w:sz w:val="27"/>
          <w:szCs w:val="27"/>
        </w:rPr>
        <w:fldChar w:fldCharType="separate"/>
      </w:r>
      <w:r w:rsidRPr="00F45FDB">
        <w:rPr>
          <w:rFonts w:ascii="Georgia" w:eastAsia="Times New Roman" w:hAnsi="Georgia" w:cs="Times New Roman"/>
          <w:color w:val="0C7DBB"/>
          <w:sz w:val="27"/>
          <w:szCs w:val="27"/>
          <w:u w:val="single"/>
        </w:rPr>
        <w:t>Drewry et al., 2017</w:t>
      </w:r>
      <w:r w:rsidRPr="00F45FDB">
        <w:rPr>
          <w:rFonts w:ascii="Georgia" w:eastAsia="Times New Roman" w:hAnsi="Georgia" w:cs="Times New Roman"/>
          <w:color w:val="2E2E2E"/>
          <w:sz w:val="27"/>
          <w:szCs w:val="27"/>
        </w:rPr>
        <w:fldChar w:fldCharType="end"/>
      </w:r>
      <w:bookmarkEnd w:id="8"/>
      <w:r w:rsidRPr="00F45FDB">
        <w:rPr>
          <w:rFonts w:ascii="Georgia" w:eastAsia="Times New Roman" w:hAnsi="Georgia" w:cs="Times New Roman"/>
          <w:color w:val="2E2E2E"/>
          <w:sz w:val="27"/>
          <w:szCs w:val="27"/>
        </w:rPr>
        <w:t xml:space="preserve">), and integrated with additional activity data obtained from PubChem and </w:t>
      </w:r>
      <w:proofErr w:type="spellStart"/>
      <w:r w:rsidRPr="00F45FDB">
        <w:rPr>
          <w:rFonts w:ascii="Georgia" w:eastAsia="Times New Roman" w:hAnsi="Georgia" w:cs="Times New Roman"/>
          <w:color w:val="2E2E2E"/>
          <w:sz w:val="27"/>
          <w:szCs w:val="27"/>
        </w:rPr>
        <w:t>ChEMBL</w:t>
      </w:r>
      <w:proofErr w:type="spellEnd"/>
      <w:r w:rsidRPr="00F45FDB">
        <w:rPr>
          <w:rFonts w:ascii="Georgia" w:eastAsia="Times New Roman" w:hAnsi="Georgia" w:cs="Times New Roman"/>
          <w:color w:val="2E2E2E"/>
          <w:sz w:val="27"/>
          <w:szCs w:val="27"/>
        </w:rPr>
        <w:t xml:space="preserve"> (</w:t>
      </w:r>
      <w:hyperlink r:id="rId5" w:tgtFrame="_blank" w:history="1">
        <w:r w:rsidRPr="00F45FDB">
          <w:rPr>
            <w:rFonts w:ascii="Georgia" w:eastAsia="Times New Roman" w:hAnsi="Georgia" w:cs="Times New Roman"/>
            <w:color w:val="0C7DBB"/>
            <w:sz w:val="27"/>
            <w:szCs w:val="27"/>
            <w:u w:val="single"/>
          </w:rPr>
          <w:t>https://doi.org/10.6019/CHEMBL1961873</w:t>
        </w:r>
      </w:hyperlink>
      <w:r w:rsidRPr="00F45FDB">
        <w:rPr>
          <w:rFonts w:ascii="Georgia" w:eastAsia="Times New Roman" w:hAnsi="Georgia" w:cs="Times New Roman"/>
          <w:color w:val="2E2E2E"/>
          <w:sz w:val="27"/>
          <w:szCs w:val="27"/>
        </w:rPr>
        <w:t>). In total, 200 non-mutant kinases were included in the analysis. The mutual information for each kinase within the compound classes was calculated and used to prioritize a subset of potentially relevant target kinases for each cell line (maximum relevance algorithm, MR, (</w:t>
      </w:r>
      <w:hyperlink r:id="rId6" w:anchor="bib1" w:history="1">
        <w:r w:rsidRPr="00F45FDB">
          <w:rPr>
            <w:rFonts w:ascii="Georgia" w:eastAsia="Times New Roman" w:hAnsi="Georgia" w:cs="Times New Roman"/>
            <w:color w:val="0C7DBB"/>
            <w:sz w:val="27"/>
            <w:szCs w:val="27"/>
            <w:u w:val="single"/>
          </w:rPr>
          <w:t>Al-Ali et al., 2015</w:t>
        </w:r>
      </w:hyperlink>
      <w:r w:rsidRPr="00F45FDB">
        <w:rPr>
          <w:rFonts w:ascii="Georgia" w:eastAsia="Times New Roman" w:hAnsi="Georgia" w:cs="Times New Roman"/>
          <w:color w:val="2E2E2E"/>
          <w:sz w:val="27"/>
          <w:szCs w:val="27"/>
        </w:rPr>
        <w:t>)) A rule-based selection algorithm using vector machine (SVM) was then used to identify the smallest number of kinases that can predict the hit class of compounds (maximum information set, MAXIS, (</w:t>
      </w:r>
      <w:hyperlink r:id="rId7" w:anchor="bib1" w:history="1">
        <w:r w:rsidRPr="00F45FDB">
          <w:rPr>
            <w:rFonts w:ascii="Georgia" w:eastAsia="Times New Roman" w:hAnsi="Georgia" w:cs="Times New Roman"/>
            <w:color w:val="0C7DBB"/>
            <w:sz w:val="27"/>
            <w:szCs w:val="27"/>
            <w:u w:val="single"/>
          </w:rPr>
          <w:t>Al-Ali et al., 2015</w:t>
        </w:r>
      </w:hyperlink>
      <w:r w:rsidRPr="00F45FDB">
        <w:rPr>
          <w:rFonts w:ascii="Georgia" w:eastAsia="Times New Roman" w:hAnsi="Georgia" w:cs="Times New Roman"/>
          <w:color w:val="2E2E2E"/>
          <w:sz w:val="27"/>
          <w:szCs w:val="27"/>
        </w:rPr>
        <w:t>)). This analysis was performed 100 times, each time using a different combination of hits and non-hits as the starting set (90% of total, randomly selected, with hits to non-hits ratios preserved). The overall scheme is abbreviated as MR-SVM. In the end, each kinase received a MAXIS score ranging between 0 and 100, reflective of how many times it was selected by the algorithm into MAXIS over the 100 runs. The inhibition bias of each kinase (Bk) by the hits or the non-hits was also quantified using the metric previously described in (</w:t>
      </w:r>
      <w:hyperlink r:id="rId8" w:anchor="bib1" w:history="1">
        <w:r w:rsidRPr="00F45FDB">
          <w:rPr>
            <w:rFonts w:ascii="Georgia" w:eastAsia="Times New Roman" w:hAnsi="Georgia" w:cs="Times New Roman"/>
            <w:color w:val="0C7DBB"/>
            <w:sz w:val="27"/>
            <w:szCs w:val="27"/>
            <w:u w:val="single"/>
          </w:rPr>
          <w:t>Al-Ali et al., 2015</w:t>
        </w:r>
      </w:hyperlink>
      <w:r w:rsidRPr="00F45FDB">
        <w:rPr>
          <w:rFonts w:ascii="Georgia" w:eastAsia="Times New Roman" w:hAnsi="Georgia" w:cs="Times New Roman"/>
          <w:color w:val="2E2E2E"/>
          <w:sz w:val="27"/>
          <w:szCs w:val="27"/>
        </w:rPr>
        <w:t>). A positive Bk (more inhibition by hits) value suggests that the kinase is a target (inhibition results in the cell viability inhibition), while a negative Bk (more inhibition by non-hits) suggests that the kinase is an anti-target (inhibition results in cell proliferation). The product of MAXIS score and Bk constituted the combined score for every kinase for each cell line. A scaling function was used to adjust combined kinase scores to a range of [-100, +100] and to de-emphasize the scores for low inhibition bias (i.e. to emphasize kinases whose inhibition shows high correlation with cellular outcome). Finally, kinases that have high likelihood of being co-inhibited by the same compounds were grouped into pharmacologically linked groups as previously described (</w:t>
      </w:r>
      <w:hyperlink r:id="rId9" w:anchor="bib1" w:history="1">
        <w:r w:rsidRPr="00F45FDB">
          <w:rPr>
            <w:rFonts w:ascii="Georgia" w:eastAsia="Times New Roman" w:hAnsi="Georgia" w:cs="Times New Roman"/>
            <w:color w:val="0C7DBB"/>
            <w:sz w:val="27"/>
            <w:szCs w:val="27"/>
            <w:u w:val="single"/>
          </w:rPr>
          <w:t>Al-Ali et al., 2015</w:t>
        </w:r>
      </w:hyperlink>
      <w:r w:rsidRPr="00F45FDB">
        <w:rPr>
          <w:rFonts w:ascii="Georgia" w:eastAsia="Times New Roman" w:hAnsi="Georgia" w:cs="Times New Roman"/>
          <w:color w:val="2E2E2E"/>
          <w:sz w:val="27"/>
          <w:szCs w:val="27"/>
        </w:rPr>
        <w:t>). The MAXIS score and Bk for the groups were calculated as the means of the MAXIS scores and Bks (</w:t>
      </w:r>
      <w:bookmarkStart w:id="9" w:name="bmmc7"/>
      <w:r w:rsidRPr="00F45FDB">
        <w:rPr>
          <w:rFonts w:ascii="Georgia" w:eastAsia="Times New Roman" w:hAnsi="Georgia" w:cs="Times New Roman"/>
          <w:color w:val="2E2E2E"/>
          <w:sz w:val="27"/>
          <w:szCs w:val="27"/>
        </w:rPr>
        <w:fldChar w:fldCharType="begin"/>
      </w:r>
      <w:r w:rsidRPr="00F45FDB">
        <w:rPr>
          <w:rFonts w:ascii="Georgia" w:eastAsia="Times New Roman" w:hAnsi="Georgia" w:cs="Times New Roman"/>
          <w:color w:val="2E2E2E"/>
          <w:sz w:val="27"/>
          <w:szCs w:val="27"/>
        </w:rPr>
        <w:instrText xml:space="preserve"> HYPERLINK "https://www.sciencedirect.com/science/article/pii/S2451945619301072?via%3Dihub" \l "mmc7" </w:instrText>
      </w:r>
      <w:r w:rsidRPr="00F45FDB">
        <w:rPr>
          <w:rFonts w:ascii="Georgia" w:eastAsia="Times New Roman" w:hAnsi="Georgia" w:cs="Times New Roman"/>
          <w:color w:val="2E2E2E"/>
          <w:sz w:val="27"/>
          <w:szCs w:val="27"/>
        </w:rPr>
        <w:fldChar w:fldCharType="separate"/>
      </w:r>
      <w:r w:rsidRPr="00F45FDB">
        <w:rPr>
          <w:rFonts w:ascii="Georgia" w:eastAsia="Times New Roman" w:hAnsi="Georgia" w:cs="Times New Roman"/>
          <w:color w:val="0C7DBB"/>
          <w:sz w:val="27"/>
          <w:szCs w:val="27"/>
          <w:u w:val="single"/>
        </w:rPr>
        <w:t>Table S7</w:t>
      </w:r>
      <w:r w:rsidRPr="00F45FDB">
        <w:rPr>
          <w:rFonts w:ascii="Georgia" w:eastAsia="Times New Roman" w:hAnsi="Georgia" w:cs="Times New Roman"/>
          <w:color w:val="2E2E2E"/>
          <w:sz w:val="27"/>
          <w:szCs w:val="27"/>
        </w:rPr>
        <w:fldChar w:fldCharType="end"/>
      </w:r>
      <w:bookmarkEnd w:id="9"/>
      <w:r w:rsidRPr="00F45FDB">
        <w:rPr>
          <w:rFonts w:ascii="Georgia" w:eastAsia="Times New Roman" w:hAnsi="Georgia" w:cs="Times New Roman"/>
          <w:color w:val="2E2E2E"/>
          <w:sz w:val="27"/>
          <w:szCs w:val="27"/>
        </w:rPr>
        <w:t>) of the individual kinase members, respectively. The combined MAXIS*Bk scores were then used to </w:t>
      </w:r>
      <w:hyperlink r:id="rId10" w:tooltip="Learn more about Ordo from ScienceDirect's AI-generated Topic Pages" w:history="1">
        <w:r w:rsidRPr="00F45FDB">
          <w:rPr>
            <w:rFonts w:ascii="Georgia" w:eastAsia="Times New Roman" w:hAnsi="Georgia" w:cs="Times New Roman"/>
            <w:color w:val="0C7DBB"/>
            <w:sz w:val="27"/>
            <w:szCs w:val="27"/>
            <w:u w:val="single"/>
          </w:rPr>
          <w:t>rank order</w:t>
        </w:r>
      </w:hyperlink>
      <w:r w:rsidRPr="00F45FDB">
        <w:rPr>
          <w:rFonts w:ascii="Georgia" w:eastAsia="Times New Roman" w:hAnsi="Georgia" w:cs="Times New Roman"/>
          <w:color w:val="2E2E2E"/>
          <w:sz w:val="27"/>
          <w:szCs w:val="27"/>
        </w:rPr>
        <w:t xml:space="preserve"> the groups. The whole process is termed </w:t>
      </w:r>
      <w:proofErr w:type="spellStart"/>
      <w:r w:rsidRPr="00F45FDB">
        <w:rPr>
          <w:rFonts w:ascii="Georgia" w:eastAsia="Times New Roman" w:hAnsi="Georgia" w:cs="Times New Roman"/>
          <w:color w:val="2E2E2E"/>
          <w:sz w:val="27"/>
          <w:szCs w:val="27"/>
        </w:rPr>
        <w:t>idTRAX</w:t>
      </w:r>
      <w:proofErr w:type="spellEnd"/>
      <w:r w:rsidRPr="00F45FDB">
        <w:rPr>
          <w:rFonts w:ascii="Georgia" w:eastAsia="Times New Roman" w:hAnsi="Georgia" w:cs="Times New Roman"/>
          <w:color w:val="2E2E2E"/>
          <w:sz w:val="27"/>
          <w:szCs w:val="27"/>
        </w:rPr>
        <w:t xml:space="preserve"> (Identification of </w:t>
      </w:r>
      <w:hyperlink r:id="rId11" w:tooltip="Learn more about Drug Target from ScienceDirect's AI-generated Topic Pages" w:history="1">
        <w:r w:rsidRPr="00F45FDB">
          <w:rPr>
            <w:rFonts w:ascii="Georgia" w:eastAsia="Times New Roman" w:hAnsi="Georgia" w:cs="Times New Roman"/>
            <w:color w:val="0C7DBB"/>
            <w:sz w:val="27"/>
            <w:szCs w:val="27"/>
            <w:u w:val="single"/>
          </w:rPr>
          <w:t xml:space="preserve">Drug </w:t>
        </w:r>
        <w:proofErr w:type="spellStart"/>
        <w:r w:rsidRPr="00F45FDB">
          <w:rPr>
            <w:rFonts w:ascii="Georgia" w:eastAsia="Times New Roman" w:hAnsi="Georgia" w:cs="Times New Roman"/>
            <w:color w:val="0C7DBB"/>
            <w:sz w:val="27"/>
            <w:szCs w:val="27"/>
            <w:u w:val="single"/>
          </w:rPr>
          <w:t>TaRgets</w:t>
        </w:r>
        <w:proofErr w:type="spellEnd"/>
      </w:hyperlink>
      <w:r w:rsidRPr="00F45FDB">
        <w:rPr>
          <w:rFonts w:ascii="Georgia" w:eastAsia="Times New Roman" w:hAnsi="Georgia" w:cs="Times New Roman"/>
          <w:color w:val="2E2E2E"/>
          <w:sz w:val="27"/>
          <w:szCs w:val="27"/>
        </w:rPr>
        <w:t> and Anti-targets by Cellular and Molecular Cross-referencing). A high positive MAXIS*Bk score indicates that a group contains one or more targets, while a low negative score indicates that a group contains one or more anti-</w:t>
      </w:r>
      <w:r w:rsidRPr="00F45FDB">
        <w:rPr>
          <w:rFonts w:ascii="Georgia" w:eastAsia="Times New Roman" w:hAnsi="Georgia" w:cs="Times New Roman"/>
          <w:color w:val="2E2E2E"/>
          <w:sz w:val="27"/>
          <w:szCs w:val="27"/>
        </w:rPr>
        <w:lastRenderedPageBreak/>
        <w:t xml:space="preserve">targets. In this study, we used an implementation of </w:t>
      </w:r>
      <w:proofErr w:type="spellStart"/>
      <w:r w:rsidRPr="00F45FDB">
        <w:rPr>
          <w:rFonts w:ascii="Georgia" w:eastAsia="Times New Roman" w:hAnsi="Georgia" w:cs="Times New Roman"/>
          <w:color w:val="2E2E2E"/>
          <w:sz w:val="27"/>
          <w:szCs w:val="27"/>
        </w:rPr>
        <w:t>idTRAX</w:t>
      </w:r>
      <w:proofErr w:type="spellEnd"/>
      <w:r w:rsidRPr="00F45FDB">
        <w:rPr>
          <w:rFonts w:ascii="Georgia" w:eastAsia="Times New Roman" w:hAnsi="Georgia" w:cs="Times New Roman"/>
          <w:color w:val="2E2E2E"/>
          <w:sz w:val="27"/>
          <w:szCs w:val="27"/>
        </w:rPr>
        <w:t xml:space="preserve"> generated by </w:t>
      </w:r>
      <w:proofErr w:type="spellStart"/>
      <w:r w:rsidRPr="00F45FDB">
        <w:rPr>
          <w:rFonts w:ascii="Georgia" w:eastAsia="Times New Roman" w:hAnsi="Georgia" w:cs="Times New Roman"/>
          <w:color w:val="2E2E2E"/>
          <w:sz w:val="27"/>
          <w:szCs w:val="27"/>
        </w:rPr>
        <w:t>Truvitech</w:t>
      </w:r>
      <w:proofErr w:type="spellEnd"/>
      <w:r w:rsidRPr="00F45FDB">
        <w:rPr>
          <w:rFonts w:ascii="Georgia" w:eastAsia="Times New Roman" w:hAnsi="Georgia" w:cs="Times New Roman"/>
          <w:color w:val="2E2E2E"/>
          <w:sz w:val="27"/>
          <w:szCs w:val="27"/>
        </w:rPr>
        <w:t xml:space="preserve"> LLC through a collaboration with the company, though the method can also be recreated from the methods described in </w:t>
      </w:r>
      <w:hyperlink r:id="rId12" w:anchor="bib1" w:history="1">
        <w:r w:rsidRPr="00F45FDB">
          <w:rPr>
            <w:rFonts w:ascii="Georgia" w:eastAsia="Times New Roman" w:hAnsi="Georgia" w:cs="Times New Roman"/>
            <w:color w:val="0C7DBB"/>
            <w:sz w:val="27"/>
            <w:szCs w:val="27"/>
            <w:u w:val="single"/>
          </w:rPr>
          <w:t>Al Ali et al. (2015)</w:t>
        </w:r>
      </w:hyperlink>
      <w:r w:rsidRPr="00F45FDB">
        <w:rPr>
          <w:rFonts w:ascii="Georgia" w:eastAsia="Times New Roman" w:hAnsi="Georgia" w:cs="Times New Roman"/>
          <w:color w:val="2E2E2E"/>
          <w:sz w:val="27"/>
          <w:szCs w:val="27"/>
        </w:rPr>
        <w:t> (</w:t>
      </w:r>
      <w:hyperlink r:id="rId13" w:anchor="bib1" w:history="1">
        <w:r w:rsidRPr="00F45FDB">
          <w:rPr>
            <w:rFonts w:ascii="Georgia" w:eastAsia="Times New Roman" w:hAnsi="Georgia" w:cs="Times New Roman"/>
            <w:color w:val="0C7DBB"/>
            <w:sz w:val="27"/>
            <w:szCs w:val="27"/>
            <w:u w:val="single"/>
          </w:rPr>
          <w:t>Al-Ali et al., 2015</w:t>
        </w:r>
      </w:hyperlink>
      <w:bookmarkEnd w:id="0"/>
      <w:r w:rsidRPr="00F45FDB">
        <w:rPr>
          <w:rFonts w:ascii="Georgia" w:eastAsia="Times New Roman" w:hAnsi="Georgia" w:cs="Times New Roman"/>
          <w:color w:val="2E2E2E"/>
          <w:sz w:val="27"/>
          <w:szCs w:val="27"/>
        </w:rPr>
        <w:t>).</w:t>
      </w:r>
    </w:p>
    <w:p w:rsidR="003A35CF" w:rsidRDefault="003A35CF"/>
    <w:sectPr w:rsidR="003A35CF" w:rsidSect="001C4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DB"/>
    <w:rsid w:val="00022602"/>
    <w:rsid w:val="001C472A"/>
    <w:rsid w:val="00326DB5"/>
    <w:rsid w:val="003A35CF"/>
    <w:rsid w:val="00885938"/>
    <w:rsid w:val="00893924"/>
    <w:rsid w:val="00A244F9"/>
    <w:rsid w:val="00B83AA7"/>
    <w:rsid w:val="00B91F60"/>
    <w:rsid w:val="00D41E4C"/>
    <w:rsid w:val="00F45FDB"/>
    <w:rsid w:val="00FC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0904172-948A-7646-9F53-6451054F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45FD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45FDB"/>
    <w:rPr>
      <w:rFonts w:ascii="Times New Roman" w:eastAsia="Times New Roman" w:hAnsi="Times New Roman" w:cs="Times New Roman"/>
      <w:b/>
      <w:bCs/>
    </w:rPr>
  </w:style>
  <w:style w:type="paragraph" w:styleId="NormalWeb">
    <w:name w:val="Normal (Web)"/>
    <w:basedOn w:val="Normal"/>
    <w:uiPriority w:val="99"/>
    <w:semiHidden/>
    <w:unhideWhenUsed/>
    <w:rsid w:val="00F45FD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45F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92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51945619301072?via%3Dihub" TargetMode="External"/><Relationship Id="rId13" Type="http://schemas.openxmlformats.org/officeDocument/2006/relationships/hyperlink" Target="https://www.sciencedirect.com/science/article/pii/S2451945619301072?via%3Dihub" TargetMode="External"/><Relationship Id="rId3" Type="http://schemas.openxmlformats.org/officeDocument/2006/relationships/webSettings" Target="webSettings.xml"/><Relationship Id="rId7" Type="http://schemas.openxmlformats.org/officeDocument/2006/relationships/hyperlink" Target="https://www.sciencedirect.com/science/article/pii/S2451945619301072?via%3Dihub" TargetMode="External"/><Relationship Id="rId12" Type="http://schemas.openxmlformats.org/officeDocument/2006/relationships/hyperlink" Target="https://www.sciencedirect.com/science/article/pii/S2451945619301072?via%3Dihu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2451945619301072?via%3Dihub" TargetMode="External"/><Relationship Id="rId11" Type="http://schemas.openxmlformats.org/officeDocument/2006/relationships/hyperlink" Target="https://www.sciencedirect.com/topics/chemistry/drug-target" TargetMode="External"/><Relationship Id="rId5" Type="http://schemas.openxmlformats.org/officeDocument/2006/relationships/hyperlink" Target="https://doi.org/10.6019/CHEMBL1961873" TargetMode="External"/><Relationship Id="rId15" Type="http://schemas.openxmlformats.org/officeDocument/2006/relationships/theme" Target="theme/theme1.xml"/><Relationship Id="rId10" Type="http://schemas.openxmlformats.org/officeDocument/2006/relationships/hyperlink" Target="https://www.sciencedirect.com/topics/biochemistry-genetics-and-molecular-biology/ordo" TargetMode="External"/><Relationship Id="rId4" Type="http://schemas.openxmlformats.org/officeDocument/2006/relationships/hyperlink" Target="https://www.sciencedirect.com/science/article/pii/S2451945619301072?via%3Dihub" TargetMode="External"/><Relationship Id="rId9" Type="http://schemas.openxmlformats.org/officeDocument/2006/relationships/hyperlink" Target="https://www.sciencedirect.com/science/article/pii/S2451945619301072?via%3Dihu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Xulong</dc:creator>
  <cp:keywords/>
  <dc:description/>
  <cp:lastModifiedBy>Wang, Xulong</cp:lastModifiedBy>
  <cp:revision>2</cp:revision>
  <dcterms:created xsi:type="dcterms:W3CDTF">2019-07-25T17:41:00Z</dcterms:created>
  <dcterms:modified xsi:type="dcterms:W3CDTF">2019-07-25T17:41:00Z</dcterms:modified>
</cp:coreProperties>
</file>