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160"/>
        <w:jc w:val="center"/>
      </w:pPr>
      <w:r>
        <w:rPr>
          <w:rFonts w:eastAsia="Times New Roman"/>
          <w:b/>
          <w:sz w:val="34"/>
        </w:rPr>
        <w:t>From Natural Language to Verifiable GeoWorkflows: A Typed LLM-Orchestration Framework for Predictive Geodata Science</w:t>
      </w:r>
    </w:p>
    <w:p>
      <w:pPr>
        <w:spacing w:after="40"/>
        <w:jc w:val="center"/>
        <w:rPr>
          <w:rFonts w:eastAsia="Times New Roman"/>
          <w:b/>
          <w:sz w:val="21"/>
        </w:rPr>
      </w:pPr>
      <w:r>
        <w:rPr>
          <w:rFonts w:eastAsia="Times New Roman"/>
          <w:b/>
          <w:sz w:val="21"/>
        </w:rPr>
        <w:t>Dai-Long Ngo-Hoang</w:t>
      </w:r>
      <w:r>
        <w:rPr>
          <w:rFonts w:eastAsia="Times New Roman"/>
          <w:b/>
          <w:sz w:val="21"/>
        </w:rPr>
        <w:t>*</w:t>
      </w:r>
    </w:p>
    <w:p>
      <w:pPr>
        <w:spacing w:after="40"/>
        <w:jc w:val="center"/>
        <w:rPr>
          <w:i/>
        </w:rPr>
      </w:pPr>
      <w:r>
        <w:rPr>
          <w:rFonts w:eastAsia="Times New Roman"/>
          <w:i/>
          <w:sz w:val="21"/>
        </w:rPr>
        <w:t>Email: nhdlong@vnuhcm.edu.vn</w:t>
      </w:r>
    </w:p>
    <w:p>
      <w:pPr>
        <w:spacing w:after="200"/>
        <w:jc w:val="center"/>
      </w:pPr>
      <w:r>
        <w:rPr>
          <w:rFonts w:eastAsia="Times New Roman"/>
          <w:i/>
          <w:sz w:val="18"/>
        </w:rPr>
        <w:t>*</w:t>
      </w:r>
      <w:bookmarkStart w:id="0" w:name="_GoBack"/>
      <w:bookmarkEnd w:id="0"/>
      <w:r>
        <w:rPr>
          <w:rFonts w:eastAsia="Times New Roman"/>
          <w:i/>
          <w:sz w:val="18"/>
        </w:rPr>
        <w:t xml:space="preserve">Vietnam National University Ho Chi Minh City </w:t>
      </w:r>
      <w:r>
        <w:rPr>
          <w:rFonts w:eastAsia="Times New Roman"/>
          <w:i/>
          <w:sz w:val="18"/>
        </w:rPr>
        <w:t>–</w:t>
      </w:r>
      <w:r>
        <w:rPr>
          <w:rFonts w:eastAsia="Times New Roman"/>
          <w:i/>
          <w:sz w:val="18"/>
        </w:rPr>
        <w:t xml:space="preserve"> </w:t>
      </w:r>
      <w:r>
        <w:rPr>
          <w:rFonts w:eastAsia="Times New Roman"/>
          <w:i/>
          <w:sz w:val="18"/>
        </w:rPr>
        <w:t>Ben Tre</w:t>
      </w:r>
      <w:r>
        <w:rPr>
          <w:rFonts w:eastAsia="Times New Roman"/>
          <w:i/>
          <w:sz w:val="18"/>
        </w:rPr>
        <w:t xml:space="preserve"> Campus, Vinh Long, Vietnam</w:t>
      </w:r>
    </w:p>
    <w:p>
      <w:pPr>
        <w:spacing w:before="80" w:after="80"/>
      </w:pPr>
      <w:r>
        <w:rPr>
          <w:rFonts w:eastAsia="Times New Roman"/>
          <w:b/>
          <w:sz w:val="18"/>
        </w:rPr>
        <w:t xml:space="preserve">Abstract. </w:t>
      </w:r>
      <w:r>
        <w:rPr>
          <w:rFonts w:eastAsia="Times New Roman"/>
          <w:sz w:val="18"/>
        </w:rPr>
        <w:t xml:space="preserve">Natural-language </w:t>
      </w:r>
      <w:r>
        <w:rPr>
          <w:rFonts w:eastAsia="Times New Roman"/>
          <w:sz w:val="18"/>
        </w:rPr>
        <w:t>interfaces can lower the expertise barrier to geospatial analysis, but direct prompt-to-code systems remain vulnerable to silent errors in coordinate reference systems, units, temporal alignment, data provenance, topology, and model selection. This paper p</w:t>
      </w:r>
      <w:r>
        <w:rPr>
          <w:rFonts w:eastAsia="Times New Roman"/>
          <w:sz w:val="18"/>
        </w:rPr>
        <w:t>resents GeoPlan, a verifiable framework that treats a large language model (LLM) as a semantic planner and workflow compiler rather than as the numerical authority for geometry or prediction. GeoPlan translates an analyst's request into GeoPlan-IR, a typed</w:t>
      </w:r>
      <w:r>
        <w:rPr>
          <w:rFonts w:eastAsia="Times New Roman"/>
          <w:sz w:val="18"/>
        </w:rPr>
        <w:t xml:space="preserve"> directed acyclic graph that explicitly records spatial entities, coordinate systems, units, temporal extents, data lineage, uncertainty, model assumptions, and acceptance constraints. A spatial knowledge graph grounds domain concepts and data catalogs; st</w:t>
      </w:r>
      <w:r>
        <w:rPr>
          <w:rFonts w:eastAsia="Times New Roman"/>
          <w:sz w:val="18"/>
        </w:rPr>
        <w:t>atic and dynamic verifiers check the plan before and after execution; and sandboxed adapters compile approved plans to PostGIS, Python geospatial libraries, or Google Earth Engine. The paper further specifies GeoNL2Workflow, an expert-annotated benchmark c</w:t>
      </w:r>
      <w:r>
        <w:rPr>
          <w:rFonts w:eastAsia="Times New Roman"/>
          <w:sz w:val="18"/>
        </w:rPr>
        <w:t>overing vector, raster, network, spatiotemporal, predictive, and streaming Internet-of-Things tasks. Evaluation separates semantic fidelity, plan correctness, executability, result agreement, robustness, safety, and resource cost rather than collapsing the</w:t>
      </w:r>
      <w:r>
        <w:rPr>
          <w:rFonts w:eastAsia="Times New Roman"/>
          <w:sz w:val="18"/>
        </w:rPr>
        <w:t>m into a single code-generation score. Two reproducible case studies are defined: compound-flood susceptibility under SSP2-4.5 conditions using satellite, climate, and ESP32 sensor streams, and land-use change prediction from multitemporal Earth observatio</w:t>
      </w:r>
      <w:r>
        <w:rPr>
          <w:rFonts w:eastAsia="Times New Roman"/>
          <w:sz w:val="18"/>
        </w:rPr>
        <w:t>n data. The prespecified primary success criterion is at least 85% end-to-end valid workflow generation on held-out tasks relative to expert reference workflows; it is a target, not a reported empirical result. The framework's central contribution is a neu</w:t>
      </w:r>
      <w:r>
        <w:rPr>
          <w:rFonts w:eastAsia="Times New Roman"/>
          <w:sz w:val="18"/>
        </w:rPr>
        <w:t>rosymbolic contract between language and geocomputation that makes LLM-assisted predictive geodata science inspectable, portable, and suitable for human-governed decision support.</w:t>
      </w:r>
    </w:p>
    <w:p>
      <w:pPr>
        <w:spacing w:after="160"/>
      </w:pPr>
      <w:r>
        <w:rPr>
          <w:rFonts w:eastAsia="Times New Roman"/>
          <w:b/>
          <w:sz w:val="18"/>
        </w:rPr>
        <w:t xml:space="preserve">Keywords: </w:t>
      </w:r>
      <w:r>
        <w:rPr>
          <w:rFonts w:eastAsia="Times New Roman"/>
          <w:sz w:val="18"/>
        </w:rPr>
        <w:t>GeoAI; geospatial agents; large language models; spatial reasoning</w:t>
      </w:r>
      <w:r>
        <w:rPr>
          <w:rFonts w:eastAsia="Times New Roman"/>
          <w:sz w:val="18"/>
        </w:rPr>
        <w:t>; workflow verification; predictive geodata science; edge IoT</w:t>
      </w:r>
    </w:p>
    <w:p>
      <w:pPr>
        <w:pStyle w:val="Heading1"/>
        <w:rPr>
          <w:color w:val="auto"/>
        </w:rPr>
      </w:pPr>
      <w:r>
        <w:rPr>
          <w:color w:val="auto"/>
        </w:rPr>
        <w:t>1 Introduction</w:t>
      </w:r>
    </w:p>
    <w:p>
      <w:r>
        <w:t>Geographic information science is moving from descriptive mapping toward predictive geodata science: analysts increasingly combine Earth observation, spatial databases, simulation</w:t>
      </w:r>
      <w:r>
        <w:t>, machine learning, and live sensor streams to estimate what may happen, where, when, and with what uncertainty. Yet the operational interface to this ecosystem remains fragmented. A seemingly simple question about flood exposure may require data discovery</w:t>
      </w:r>
      <w:r>
        <w:t>, coordinate transformation, temporal harmonization, hydrological conditioning, feature engineering, model selection, validation, and cartographic communication. Each step introduces domain assumptions that are rarely visible to non-specialists and are eas</w:t>
      </w:r>
      <w:r>
        <w:t>y to mishandle even when generated code executes successfully.</w:t>
      </w:r>
    </w:p>
    <w:p>
      <w:r>
        <w:t>LLM-based GIS agents offer a compelling interaction model because they can decompose natural-language requests, retrieve documentation, call tools, and generate code. Early systems such as LLM-</w:t>
      </w:r>
      <w:r>
        <w:t>Geo, GeoGPT, and GIS Copilot demonstrated that language models can orchestrate common geoprocessing operations [3-5]. More recent multi-agent and benchmark studies show meaningful gains but also a persistent complexity ceiling: success deteriorates as task</w:t>
      </w:r>
      <w:r>
        <w:t>s require more tools, heterogeneous data, ambiguous constraints, or predictive reasoning [6-10]. Intrinsic topological reasoning is itself unreliable; experiments with well-known text geometries report only moderate accuracy and emphasize that spatial data</w:t>
      </w:r>
      <w:r>
        <w:t>bases remain more competent at exact computation [11]. These findings expose a central design mistake in many prototypes: an executable script is treated as evidence of a correct spatial analysis.</w:t>
      </w:r>
    </w:p>
    <w:p>
      <w:r>
        <w:t>This paper addresses the gap between linguistic plausibilit</w:t>
      </w:r>
      <w:r>
        <w:t>y and geocomputational validity. We propose GeoPlan, a framework in which the LLM performs semantic interpretation, constrained planning, and explanation, while deterministic spatial engines perform geometry, statistics, simulation, and prediction. The bou</w:t>
      </w:r>
      <w:r>
        <w:t>ndary between these roles is encoded in a typed intermediate representation called GeoPlan-IR. Instead of asking a model to emit unrestricted Python, the system first produces a machine-checkable workflow graph containing explicit data contracts and spatia</w:t>
      </w:r>
      <w:r>
        <w:t>l invariants. This design makes errors such as buffering longitude-latitude coordinates in metres, joining observations from incompatible timestamps, or fitting a predictive model with spatial leakage detectable before execution.</w:t>
      </w:r>
    </w:p>
    <w:p>
      <w:r>
        <w:rPr>
          <w:rFonts w:eastAsia="Times New Roman"/>
          <w:b/>
        </w:rPr>
        <w:t xml:space="preserve">Research questions. </w:t>
      </w:r>
      <w:r>
        <w:rPr>
          <w:rFonts w:eastAsia="Times New Roman"/>
        </w:rPr>
        <w:t>RQ1 as</w:t>
      </w:r>
      <w:r>
        <w:rPr>
          <w:rFonts w:eastAsia="Times New Roman"/>
        </w:rPr>
        <w:t>ks whether ontology-grounded GeoPlan-IR improves semantic and structural workflow correctness compared with direct prompt-to-code and unconstrained tool calling. RQ2 asks how much static and dynamic verification reduces silent spatial errors while preservi</w:t>
      </w:r>
      <w:r>
        <w:rPr>
          <w:rFonts w:eastAsia="Times New Roman"/>
        </w:rPr>
        <w:t xml:space="preserve">ng task completion. RQ3 asks whether </w:t>
      </w:r>
      <w:r>
        <w:rPr>
          <w:rFonts w:eastAsia="Times New Roman"/>
        </w:rPr>
        <w:lastRenderedPageBreak/>
        <w:t>the framework generalizes across geography, data modality, and application domain, including live edge-IoT observations.</w:t>
      </w:r>
    </w:p>
    <w:p>
      <w:r>
        <w:t>The paper makes four contributions:</w:t>
      </w:r>
    </w:p>
    <w:p>
      <w:pPr>
        <w:pStyle w:val="ListNumber"/>
      </w:pPr>
      <w:r>
        <w:t>A typed, model-agnostic intermediate representation for natura</w:t>
      </w:r>
      <w:r>
        <w:t>l-language-to-geospatial workflows, including coordinate systems, units, time, scale, uncertainty, provenance, and acceptance constraints.</w:t>
      </w:r>
    </w:p>
    <w:p>
      <w:pPr>
        <w:pStyle w:val="ListNumber"/>
      </w:pPr>
      <w:r>
        <w:t>A verification architecture that combines ontology grounding, static plan checks, sandboxed execution, result invaria</w:t>
      </w:r>
      <w:r>
        <w:t>nts, bounded repair, and human escalation.</w:t>
      </w:r>
    </w:p>
    <w:p>
      <w:pPr>
        <w:pStyle w:val="ListNumber"/>
      </w:pPr>
      <w:r>
        <w:t>A benchmark and evaluation protocol that distinguishes semantic fidelity, graph correctness, functional execution, output equivalence, robustness, safety, and computational cost.</w:t>
      </w:r>
    </w:p>
    <w:p>
      <w:pPr>
        <w:pStyle w:val="ListNumber"/>
      </w:pPr>
      <w:r>
        <w:t>Two end-to-end predictive case-stu</w:t>
      </w:r>
      <w:r>
        <w:t>dy specifications connecting cloud geocomputation with satellite products and georeferenced ESP32 sensor streams.</w:t>
      </w:r>
    </w:p>
    <w:p>
      <w:pPr>
        <w:pStyle w:val="Heading1"/>
        <w:rPr>
          <w:color w:val="auto"/>
        </w:rPr>
      </w:pPr>
      <w:r>
        <w:rPr>
          <w:color w:val="auto"/>
        </w:rPr>
        <w:t>2 Background and Related Work</w:t>
      </w:r>
    </w:p>
    <w:p>
      <w:pPr>
        <w:pStyle w:val="Heading2"/>
        <w:rPr>
          <w:color w:val="auto"/>
        </w:rPr>
      </w:pPr>
      <w:r>
        <w:rPr>
          <w:color w:val="auto"/>
        </w:rPr>
        <w:t>2.1 From GIS automation to agentic geocomputation</w:t>
      </w:r>
    </w:p>
    <w:p>
      <w:r>
        <w:t>Autonomous GIS has been framed as a progression toward systems</w:t>
      </w:r>
      <w:r>
        <w:t xml:space="preserve"> that can generate, organize, verify, execute, and improve geospatial workflows [3]. LLM-Geo represents workflows as solution graphs and generates executable programs; GeoGPT similarly combines natural-language understanding with a tool registry [4]. GIS C</w:t>
      </w:r>
      <w:r>
        <w:t xml:space="preserve">opilot integrates an informed agent into QGIS and evaluates more than one hundred tasks at several complexity levels [5]. These systems established feasibility, but their primary abstraction remains code or a loosely typed tool sequence. Consequently, the </w:t>
      </w:r>
      <w:r>
        <w:t>burden of validating spatial semantics often remains outside the agent.</w:t>
      </w:r>
    </w:p>
    <w:p>
      <w:r>
        <w:t>Mansourian and Oucheikh introduced a multi-agent QGIS framework with retrieval, fine-tuning, and specialized roles [6]. The study reported high execution success on short workflows but</w:t>
      </w:r>
      <w:r>
        <w:t xml:space="preserve"> reduced effectiveness as complexity increased. GISclaw extends coverage across vector, raster, and tabular analysis and highlights an important systems result: additional agent layers do not automatically improve strong models and may introduce coordinati</w:t>
      </w:r>
      <w:r>
        <w:t>on overhead [10]. GeoPlan therefore avoids assuming that more agents imply better reasoning. It uses a small number of explicit compiler and verifier roles whose outputs are typed, observable, and independently testable.</w:t>
      </w:r>
    </w:p>
    <w:p>
      <w:pPr>
        <w:pStyle w:val="Heading2"/>
        <w:rPr>
          <w:color w:val="auto"/>
        </w:rPr>
      </w:pPr>
      <w:r>
        <w:rPr>
          <w:color w:val="auto"/>
        </w:rPr>
        <w:t>2.2 Benchmarks and the functional-e</w:t>
      </w:r>
      <w:r>
        <w:rPr>
          <w:color w:val="auto"/>
        </w:rPr>
        <w:t>quivalence problem</w:t>
      </w:r>
    </w:p>
    <w:p>
      <w:r>
        <w:t>GeoAnalystBench contains 50 expert-validated Python tasks and calls for rigorous evaluation before claims of full GIS automation [7]. Bench4GeoCode contributes 100 progressively difficult tasks, including unattainable and ambiguous queri</w:t>
      </w:r>
      <w:r>
        <w:t>es, and separates functional correctness from code quality [8]. These benchmarks are important, yet predictive geodata science adds requirements that code execution alone cannot capture: the same analysis can be implemented by different valid workflows; co</w:t>
      </w:r>
      <w:r>
        <w:t>nversely, two scripts may run and produce maps while embodying incompatible coordinate systems, temporal definitions, leakage controls, or uncertainty assumptions. GeoPlan evaluates equivalence at plan, execution, and result levels and records acceptable a</w:t>
      </w:r>
      <w:r>
        <w:t>lternative workflows in the gold standard.</w:t>
      </w:r>
    </w:p>
    <w:p>
      <w:pPr>
        <w:pStyle w:val="Heading2"/>
        <w:rPr>
          <w:color w:val="auto"/>
        </w:rPr>
      </w:pPr>
      <w:r>
        <w:rPr>
          <w:color w:val="auto"/>
        </w:rPr>
        <w:t>2.3 Spatial semantics, standards, and exact computation</w:t>
      </w:r>
    </w:p>
    <w:p>
      <w:r>
        <w:t>GeoSPARQL provides vocabularies and query functions for representing geospatial entities, geometries, and topological relations in RDF [12, 13]. The SpatioTe</w:t>
      </w:r>
      <w:r>
        <w:t>mporal Asset Catalog specification supplies a common structure for describing and discovering Earth-observation assets [14]. W3C PROV-O and SHACL support data lineage and graph validation [15, 16]. These standards enable a neurosymbolic architecture: langu</w:t>
      </w:r>
      <w:r>
        <w:t>age is grounded to formal concepts, constraints are validated symbolically, and exact geometry is delegated to databases and geospatial libraries. The framework consequently interprets an LLM as a spatial reasoning orchestrator, not as a replacement for DE</w:t>
      </w:r>
      <w:r>
        <w:t>-9IM predicates, raster algebra, hydrodynamic models, or calibrated statistical learners.</w:t>
      </w:r>
    </w:p>
    <w:p>
      <w:pPr>
        <w:pStyle w:val="Heading2"/>
        <w:rPr>
          <w:color w:val="auto"/>
        </w:rPr>
      </w:pPr>
      <w:r>
        <w:rPr>
          <w:color w:val="auto"/>
        </w:rPr>
        <w:t>2.4 Research gap and novelty</w:t>
      </w:r>
    </w:p>
    <w:p>
      <w:r>
        <w:t>The closest published title to the initial framing of this study is the 2026 multi-agent work in [6]. GeoPlan is differentiated technical</w:t>
      </w:r>
      <w:r>
        <w:t>ly and rhetorically: it does not claim novelty merely from bridging language and GIS. Its contribution is the typed contract that separates semantic planning from numerical execution, plus verification criteria tailored to predictive and streaming geodata.</w:t>
      </w:r>
    </w:p>
    <w:p>
      <w:pPr>
        <w:pStyle w:val="Caption"/>
        <w:keepNext/>
        <w:jc w:val="center"/>
        <w:rPr>
          <w:color w:val="auto"/>
        </w:rPr>
      </w:pPr>
      <w:r>
        <w:rPr>
          <w:rFonts w:eastAsia="Times New Roman"/>
          <w:color w:val="auto"/>
        </w:rPr>
        <w:lastRenderedPageBreak/>
        <w:t>Table 1. Positioning of GeoPlan relative to representative LLM-GIS approaches.</w:t>
      </w:r>
    </w:p>
    <w:tbl>
      <w:tblPr>
        <w:tblStyle w:val="TableGrid"/>
        <w:tblW w:w="9030" w:type="dxa"/>
        <w:tblInd w:w="100" w:type="dxa"/>
        <w:tblBorders>
          <w:top w:val="single" w:sz="4" w:space="0" w:color="9AA7B2"/>
          <w:left w:val="single" w:sz="4" w:space="0" w:color="9AA7B2"/>
          <w:bottom w:val="single" w:sz="4" w:space="0" w:color="9AA7B2"/>
          <w:right w:val="single" w:sz="4" w:space="0" w:color="9AA7B2"/>
          <w:insideH w:val="single" w:sz="4" w:space="0" w:color="9AA7B2"/>
          <w:insideV w:val="single" w:sz="4" w:space="0" w:color="9AA7B2"/>
        </w:tblBorders>
        <w:tblLayout w:type="fixed"/>
        <w:tblLook w:val="04A0" w:firstRow="1" w:lastRow="0" w:firstColumn="1" w:lastColumn="0" w:noHBand="0" w:noVBand="1"/>
      </w:tblPr>
      <w:tblGrid>
        <w:gridCol w:w="1450"/>
        <w:gridCol w:w="1650"/>
        <w:gridCol w:w="1650"/>
        <w:gridCol w:w="1900"/>
        <w:gridCol w:w="2380"/>
      </w:tblGrid>
      <w:tr>
        <w:trPr>
          <w:tblHeader/>
        </w:trPr>
        <w:tc>
          <w:tcPr>
            <w:tcW w:w="1450" w:type="dxa"/>
            <w:shd w:val="clear" w:color="auto" w:fill="E8EEF5"/>
            <w:tcMar>
              <w:top w:w="70" w:type="dxa"/>
              <w:left w:w="100" w:type="dxa"/>
              <w:bottom w:w="70" w:type="dxa"/>
              <w:right w:w="100" w:type="dxa"/>
            </w:tcMar>
            <w:vAlign w:val="center"/>
          </w:tcPr>
          <w:p>
            <w:pPr>
              <w:spacing w:after="0"/>
              <w:jc w:val="center"/>
            </w:pPr>
            <w:r>
              <w:rPr>
                <w:rFonts w:eastAsia="Times New Roman"/>
                <w:b/>
                <w:sz w:val="16"/>
              </w:rPr>
              <w:t>Approach</w:t>
            </w:r>
          </w:p>
        </w:tc>
        <w:tc>
          <w:tcPr>
            <w:tcW w:w="1650" w:type="dxa"/>
            <w:shd w:val="clear" w:color="auto" w:fill="E8EEF5"/>
            <w:tcMar>
              <w:top w:w="70" w:type="dxa"/>
              <w:left w:w="100" w:type="dxa"/>
              <w:bottom w:w="70" w:type="dxa"/>
              <w:right w:w="100" w:type="dxa"/>
            </w:tcMar>
            <w:vAlign w:val="center"/>
          </w:tcPr>
          <w:p>
            <w:pPr>
              <w:spacing w:after="0"/>
              <w:jc w:val="center"/>
            </w:pPr>
            <w:r>
              <w:rPr>
                <w:rFonts w:eastAsia="Times New Roman"/>
                <w:b/>
                <w:sz w:val="16"/>
              </w:rPr>
              <w:t>Primary output</w:t>
            </w:r>
          </w:p>
        </w:tc>
        <w:tc>
          <w:tcPr>
            <w:tcW w:w="1650" w:type="dxa"/>
            <w:shd w:val="clear" w:color="auto" w:fill="E8EEF5"/>
            <w:tcMar>
              <w:top w:w="70" w:type="dxa"/>
              <w:left w:w="100" w:type="dxa"/>
              <w:bottom w:w="70" w:type="dxa"/>
              <w:right w:w="100" w:type="dxa"/>
            </w:tcMar>
            <w:vAlign w:val="center"/>
          </w:tcPr>
          <w:p>
            <w:pPr>
              <w:spacing w:after="0"/>
              <w:jc w:val="center"/>
            </w:pPr>
            <w:r>
              <w:rPr>
                <w:rFonts w:eastAsia="Times New Roman"/>
                <w:b/>
                <w:sz w:val="16"/>
              </w:rPr>
              <w:t>Verification</w:t>
            </w:r>
          </w:p>
        </w:tc>
        <w:tc>
          <w:tcPr>
            <w:tcW w:w="19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Predictive/streaming scope</w:t>
            </w:r>
          </w:p>
        </w:tc>
        <w:tc>
          <w:tcPr>
            <w:tcW w:w="2380" w:type="dxa"/>
            <w:shd w:val="clear" w:color="auto" w:fill="E8EEF5"/>
            <w:tcMar>
              <w:top w:w="70" w:type="dxa"/>
              <w:left w:w="100" w:type="dxa"/>
              <w:bottom w:w="70" w:type="dxa"/>
              <w:right w:w="100" w:type="dxa"/>
            </w:tcMar>
            <w:vAlign w:val="center"/>
          </w:tcPr>
          <w:p>
            <w:pPr>
              <w:spacing w:after="0"/>
              <w:jc w:val="center"/>
            </w:pPr>
            <w:r>
              <w:rPr>
                <w:rFonts w:eastAsia="Times New Roman"/>
                <w:b/>
                <w:sz w:val="16"/>
              </w:rPr>
              <w:t>Remaining gap</w:t>
            </w:r>
          </w:p>
        </w:tc>
      </w:tr>
      <w:tr>
        <w:tc>
          <w:tcPr>
            <w:tcW w:w="1450" w:type="dxa"/>
            <w:tcMar>
              <w:top w:w="70" w:type="dxa"/>
              <w:left w:w="100" w:type="dxa"/>
              <w:bottom w:w="70" w:type="dxa"/>
              <w:right w:w="100" w:type="dxa"/>
            </w:tcMar>
            <w:vAlign w:val="center"/>
          </w:tcPr>
          <w:p>
            <w:pPr>
              <w:spacing w:after="0" w:line="240" w:lineRule="auto"/>
              <w:jc w:val="center"/>
            </w:pPr>
            <w:r>
              <w:rPr>
                <w:rFonts w:eastAsia="Times New Roman"/>
                <w:sz w:val="16"/>
              </w:rPr>
              <w:t>LLM-Geo / GeoGPT</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Code or solution graph</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Limited runtime feedback</w:t>
            </w:r>
          </w:p>
        </w:tc>
        <w:tc>
          <w:tcPr>
            <w:tcW w:w="1900" w:type="dxa"/>
            <w:tcMar>
              <w:top w:w="70" w:type="dxa"/>
              <w:left w:w="100" w:type="dxa"/>
              <w:bottom w:w="70" w:type="dxa"/>
              <w:right w:w="100" w:type="dxa"/>
            </w:tcMar>
            <w:vAlign w:val="center"/>
          </w:tcPr>
          <w:p>
            <w:pPr>
              <w:spacing w:after="0" w:line="240" w:lineRule="auto"/>
              <w:jc w:val="left"/>
            </w:pPr>
            <w:r>
              <w:rPr>
                <w:rFonts w:eastAsia="Times New Roman"/>
                <w:sz w:val="16"/>
              </w:rPr>
              <w:t>Demonstration cases</w:t>
            </w:r>
          </w:p>
        </w:tc>
        <w:tc>
          <w:tcPr>
            <w:tcW w:w="2380" w:type="dxa"/>
            <w:tcMar>
              <w:top w:w="70" w:type="dxa"/>
              <w:left w:w="100" w:type="dxa"/>
              <w:bottom w:w="70" w:type="dxa"/>
              <w:right w:w="100" w:type="dxa"/>
            </w:tcMar>
            <w:vAlign w:val="center"/>
          </w:tcPr>
          <w:p>
            <w:pPr>
              <w:spacing w:after="0" w:line="240" w:lineRule="auto"/>
              <w:jc w:val="left"/>
            </w:pPr>
            <w:r>
              <w:rPr>
                <w:rFonts w:eastAsia="Times New Roman"/>
                <w:sz w:val="16"/>
              </w:rPr>
              <w:t>Weakly typed</w:t>
            </w:r>
            <w:r>
              <w:rPr>
                <w:rFonts w:eastAsia="Times New Roman"/>
                <w:sz w:val="16"/>
              </w:rPr>
              <w:t xml:space="preserve"> spatial contracts</w:t>
            </w:r>
          </w:p>
        </w:tc>
      </w:tr>
      <w:tr>
        <w:tc>
          <w:tcPr>
            <w:tcW w:w="1450" w:type="dxa"/>
            <w:tcMar>
              <w:top w:w="70" w:type="dxa"/>
              <w:left w:w="100" w:type="dxa"/>
              <w:bottom w:w="70" w:type="dxa"/>
              <w:right w:w="100" w:type="dxa"/>
            </w:tcMar>
            <w:vAlign w:val="center"/>
          </w:tcPr>
          <w:p>
            <w:pPr>
              <w:spacing w:after="0" w:line="240" w:lineRule="auto"/>
              <w:jc w:val="center"/>
            </w:pPr>
            <w:r>
              <w:rPr>
                <w:rFonts w:eastAsia="Times New Roman"/>
                <w:sz w:val="16"/>
              </w:rPr>
              <w:t>GIS Copilot</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QGIS workflow and code</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Tool-informed execution</w:t>
            </w:r>
          </w:p>
        </w:tc>
        <w:tc>
          <w:tcPr>
            <w:tcW w:w="1900" w:type="dxa"/>
            <w:tcMar>
              <w:top w:w="70" w:type="dxa"/>
              <w:left w:w="100" w:type="dxa"/>
              <w:bottom w:w="70" w:type="dxa"/>
              <w:right w:w="100" w:type="dxa"/>
            </w:tcMar>
            <w:vAlign w:val="center"/>
          </w:tcPr>
          <w:p>
            <w:pPr>
              <w:spacing w:after="0" w:line="240" w:lineRule="auto"/>
              <w:jc w:val="left"/>
            </w:pPr>
            <w:r>
              <w:rPr>
                <w:rFonts w:eastAsia="Times New Roman"/>
                <w:sz w:val="16"/>
              </w:rPr>
              <w:t>Mainly desktop GIS</w:t>
            </w:r>
          </w:p>
        </w:tc>
        <w:tc>
          <w:tcPr>
            <w:tcW w:w="2380" w:type="dxa"/>
            <w:tcMar>
              <w:top w:w="70" w:type="dxa"/>
              <w:left w:w="100" w:type="dxa"/>
              <w:bottom w:w="70" w:type="dxa"/>
              <w:right w:w="100" w:type="dxa"/>
            </w:tcMar>
            <w:vAlign w:val="center"/>
          </w:tcPr>
          <w:p>
            <w:pPr>
              <w:spacing w:after="0" w:line="240" w:lineRule="auto"/>
              <w:jc w:val="left"/>
            </w:pPr>
            <w:r>
              <w:rPr>
                <w:rFonts w:eastAsia="Times New Roman"/>
                <w:sz w:val="16"/>
              </w:rPr>
              <w:t>Limited provenance and uncertainty</w:t>
            </w:r>
          </w:p>
        </w:tc>
      </w:tr>
      <w:tr>
        <w:tc>
          <w:tcPr>
            <w:tcW w:w="1450" w:type="dxa"/>
            <w:tcMar>
              <w:top w:w="70" w:type="dxa"/>
              <w:left w:w="100" w:type="dxa"/>
              <w:bottom w:w="70" w:type="dxa"/>
              <w:right w:w="100" w:type="dxa"/>
            </w:tcMar>
            <w:vAlign w:val="center"/>
          </w:tcPr>
          <w:p>
            <w:pPr>
              <w:spacing w:after="0" w:line="240" w:lineRule="auto"/>
              <w:jc w:val="center"/>
            </w:pPr>
            <w:r>
              <w:rPr>
                <w:rFonts w:eastAsia="Times New Roman"/>
                <w:sz w:val="16"/>
              </w:rPr>
              <w:t>Multi-agent QGIS</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Collaborative tool plan</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Self-refinement</w:t>
            </w:r>
          </w:p>
        </w:tc>
        <w:tc>
          <w:tcPr>
            <w:tcW w:w="1900" w:type="dxa"/>
            <w:tcMar>
              <w:top w:w="70" w:type="dxa"/>
              <w:left w:w="100" w:type="dxa"/>
              <w:bottom w:w="70" w:type="dxa"/>
              <w:right w:w="100" w:type="dxa"/>
            </w:tcMar>
            <w:vAlign w:val="center"/>
          </w:tcPr>
          <w:p>
            <w:pPr>
              <w:spacing w:after="0" w:line="240" w:lineRule="auto"/>
              <w:jc w:val="left"/>
            </w:pPr>
            <w:r>
              <w:rPr>
                <w:rFonts w:eastAsia="Times New Roman"/>
                <w:sz w:val="16"/>
              </w:rPr>
              <w:t>Short to medium workflows</w:t>
            </w:r>
          </w:p>
        </w:tc>
        <w:tc>
          <w:tcPr>
            <w:tcW w:w="2380" w:type="dxa"/>
            <w:tcMar>
              <w:top w:w="70" w:type="dxa"/>
              <w:left w:w="100" w:type="dxa"/>
              <w:bottom w:w="70" w:type="dxa"/>
              <w:right w:w="100" w:type="dxa"/>
            </w:tcMar>
            <w:vAlign w:val="center"/>
          </w:tcPr>
          <w:p>
            <w:pPr>
              <w:spacing w:after="0" w:line="240" w:lineRule="auto"/>
              <w:jc w:val="left"/>
            </w:pPr>
            <w:r>
              <w:rPr>
                <w:rFonts w:eastAsia="Times New Roman"/>
                <w:sz w:val="16"/>
              </w:rPr>
              <w:t>Complexity and coordination ceiling</w:t>
            </w:r>
          </w:p>
        </w:tc>
      </w:tr>
      <w:tr>
        <w:tc>
          <w:tcPr>
            <w:tcW w:w="1450" w:type="dxa"/>
            <w:tcMar>
              <w:top w:w="70" w:type="dxa"/>
              <w:left w:w="100" w:type="dxa"/>
              <w:bottom w:w="70" w:type="dxa"/>
              <w:right w:w="100" w:type="dxa"/>
            </w:tcMar>
            <w:vAlign w:val="center"/>
          </w:tcPr>
          <w:p>
            <w:pPr>
              <w:spacing w:after="0" w:line="240" w:lineRule="auto"/>
              <w:jc w:val="center"/>
            </w:pPr>
            <w:r>
              <w:rPr>
                <w:rFonts w:eastAsia="Times New Roman"/>
                <w:sz w:val="16"/>
              </w:rPr>
              <w:t>GeoAnalystBench / Bench4GeoCode</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Reference code and task scores</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Functional and quality checks</w:t>
            </w:r>
          </w:p>
        </w:tc>
        <w:tc>
          <w:tcPr>
            <w:tcW w:w="1900" w:type="dxa"/>
            <w:tcMar>
              <w:top w:w="70" w:type="dxa"/>
              <w:left w:w="100" w:type="dxa"/>
              <w:bottom w:w="70" w:type="dxa"/>
              <w:right w:w="100" w:type="dxa"/>
            </w:tcMar>
            <w:vAlign w:val="center"/>
          </w:tcPr>
          <w:p>
            <w:pPr>
              <w:spacing w:after="0" w:line="240" w:lineRule="auto"/>
              <w:jc w:val="left"/>
            </w:pPr>
            <w:r>
              <w:rPr>
                <w:rFonts w:eastAsia="Times New Roman"/>
                <w:sz w:val="16"/>
              </w:rPr>
              <w:t>Mostly static benchmark data</w:t>
            </w:r>
          </w:p>
        </w:tc>
        <w:tc>
          <w:tcPr>
            <w:tcW w:w="2380" w:type="dxa"/>
            <w:tcMar>
              <w:top w:w="70" w:type="dxa"/>
              <w:left w:w="100" w:type="dxa"/>
              <w:bottom w:w="70" w:type="dxa"/>
              <w:right w:w="100" w:type="dxa"/>
            </w:tcMar>
            <w:vAlign w:val="center"/>
          </w:tcPr>
          <w:p>
            <w:pPr>
              <w:spacing w:after="0" w:line="240" w:lineRule="auto"/>
              <w:jc w:val="left"/>
            </w:pPr>
            <w:r>
              <w:rPr>
                <w:rFonts w:eastAsia="Times New Roman"/>
                <w:sz w:val="16"/>
              </w:rPr>
              <w:t>No unified predictive contract</w:t>
            </w:r>
          </w:p>
        </w:tc>
      </w:tr>
      <w:tr>
        <w:tc>
          <w:tcPr>
            <w:tcW w:w="1450" w:type="dxa"/>
            <w:tcMar>
              <w:top w:w="70" w:type="dxa"/>
              <w:left w:w="100" w:type="dxa"/>
              <w:bottom w:w="70" w:type="dxa"/>
              <w:right w:w="100" w:type="dxa"/>
            </w:tcMar>
            <w:vAlign w:val="center"/>
          </w:tcPr>
          <w:p>
            <w:pPr>
              <w:spacing w:after="0" w:line="240" w:lineRule="auto"/>
              <w:jc w:val="center"/>
            </w:pPr>
            <w:r>
              <w:rPr>
                <w:rFonts w:eastAsia="Times New Roman"/>
                <w:sz w:val="16"/>
              </w:rPr>
              <w:t>GeoPlan (proposed)</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Typed GeoPlan-IR plus compiled workflow</w:t>
            </w:r>
          </w:p>
        </w:tc>
        <w:tc>
          <w:tcPr>
            <w:tcW w:w="1650" w:type="dxa"/>
            <w:tcMar>
              <w:top w:w="70" w:type="dxa"/>
              <w:left w:w="100" w:type="dxa"/>
              <w:bottom w:w="70" w:type="dxa"/>
              <w:right w:w="100" w:type="dxa"/>
            </w:tcMar>
            <w:vAlign w:val="center"/>
          </w:tcPr>
          <w:p>
            <w:pPr>
              <w:spacing w:after="0" w:line="240" w:lineRule="auto"/>
              <w:jc w:val="left"/>
            </w:pPr>
            <w:r>
              <w:rPr>
                <w:rFonts w:eastAsia="Times New Roman"/>
                <w:sz w:val="16"/>
              </w:rPr>
              <w:t>Static, dynamic, result and policy checks</w:t>
            </w:r>
          </w:p>
        </w:tc>
        <w:tc>
          <w:tcPr>
            <w:tcW w:w="1900" w:type="dxa"/>
            <w:tcMar>
              <w:top w:w="70" w:type="dxa"/>
              <w:left w:w="100" w:type="dxa"/>
              <w:bottom w:w="70" w:type="dxa"/>
              <w:right w:w="100" w:type="dxa"/>
            </w:tcMar>
            <w:vAlign w:val="center"/>
          </w:tcPr>
          <w:p>
            <w:pPr>
              <w:spacing w:after="0" w:line="240" w:lineRule="auto"/>
              <w:jc w:val="left"/>
            </w:pPr>
            <w:r>
              <w:rPr>
                <w:rFonts w:eastAsia="Times New Roman"/>
                <w:sz w:val="16"/>
              </w:rPr>
              <w:t>R</w:t>
            </w:r>
            <w:r>
              <w:rPr>
                <w:rFonts w:eastAsia="Times New Roman"/>
                <w:sz w:val="16"/>
              </w:rPr>
              <w:t>aster, vector, prediction and edge-IoT streams</w:t>
            </w:r>
          </w:p>
        </w:tc>
        <w:tc>
          <w:tcPr>
            <w:tcW w:w="2380" w:type="dxa"/>
            <w:tcMar>
              <w:top w:w="70" w:type="dxa"/>
              <w:left w:w="100" w:type="dxa"/>
              <w:bottom w:w="70" w:type="dxa"/>
              <w:right w:w="100" w:type="dxa"/>
            </w:tcMar>
            <w:vAlign w:val="center"/>
          </w:tcPr>
          <w:p>
            <w:pPr>
              <w:spacing w:after="0" w:line="240" w:lineRule="auto"/>
              <w:jc w:val="left"/>
            </w:pPr>
            <w:r>
              <w:rPr>
                <w:rFonts w:eastAsia="Times New Roman"/>
                <w:sz w:val="16"/>
              </w:rPr>
              <w:t>Requires empirical validation</w:t>
            </w:r>
          </w:p>
        </w:tc>
      </w:tr>
    </w:tbl>
    <w:p>
      <w:pPr>
        <w:spacing w:after="40"/>
      </w:pPr>
    </w:p>
    <w:p>
      <w:pPr>
        <w:pStyle w:val="Heading1"/>
        <w:rPr>
          <w:color w:val="auto"/>
        </w:rPr>
      </w:pPr>
      <w:r>
        <w:rPr>
          <w:color w:val="auto"/>
        </w:rPr>
        <w:t>3 Problem Formulation</w:t>
      </w:r>
    </w:p>
    <w:p>
      <w:r>
        <w:t xml:space="preserve">Let a user request be q, contextual information be C, available datasets and catalogs be D, and authorized execution environments be E. The system must </w:t>
      </w:r>
      <w:r>
        <w:t>produce a workflow W = (V, A), where V is a set of typed operations and A is a set of data-dependency edges. A workflow is acceptable only if it is semantically faithful to q, well typed with respect to D, executable within E, and demonstrably consistent w</w:t>
      </w:r>
      <w:r>
        <w:t>ith output constraints. The objective is not exact textual or code match. It is constrained functional equivalence: multiple plans may be valid if they satisfy the same intent, preconditions, invariants, and tolerance-bounded outputs.</w:t>
      </w:r>
    </w:p>
    <w:p>
      <w:r>
        <w:t xml:space="preserve">We define a workflow </w:t>
      </w:r>
      <w:r>
        <w:t>utility U(W) = alpha S_sem + beta S_plan + gamma S_out - lambda R - mu C, where S_sem is semantic fidelity, S_plan is typed graph correctness, S_out is result agreement, R is safety and epistemic risk, and C is normalized computational cost. The coefficien</w:t>
      </w:r>
      <w:r>
        <w:t>ts are fixed before evaluation and sensitivity analysis reports whether conclusions depend on a particular weighting. Primary claims are based on the component measures rather than U(W), preventing a high score in one dimension from concealing a critical f</w:t>
      </w:r>
      <w:r>
        <w:t>ailure in another.</w:t>
      </w:r>
    </w:p>
    <w:p>
      <w:r>
        <w:rPr>
          <w:rFonts w:eastAsia="Times New Roman"/>
          <w:b/>
        </w:rPr>
        <w:t xml:space="preserve">Spatial correctness. </w:t>
      </w:r>
      <w:r>
        <w:rPr>
          <w:rFonts w:eastAsia="Times New Roman"/>
        </w:rPr>
        <w:t>A plan is spatially correct when geometry types, coordinate reference systems, units, spatial scale, topology, temporal support, resolution, and boundary semantics are explicitly defined or safely inferred and then v</w:t>
      </w:r>
      <w:r>
        <w:rPr>
          <w:rFonts w:eastAsia="Times New Roman"/>
        </w:rPr>
        <w:t>alidated. Terms such as near, upstream, coastal corridor, recent, or high risk are treated as underspecified until resolved by policy, domain context, or user clarification.</w:t>
      </w:r>
    </w:p>
    <w:p>
      <w:r>
        <w:rPr>
          <w:rFonts w:eastAsia="Times New Roman"/>
          <w:b/>
        </w:rPr>
        <w:t xml:space="preserve">Predictive correctness. </w:t>
      </w:r>
      <w:r>
        <w:rPr>
          <w:rFonts w:eastAsia="Times New Roman"/>
        </w:rPr>
        <w:t>A predictive plan additionally specifies target variables,</w:t>
      </w:r>
      <w:r>
        <w:rPr>
          <w:rFonts w:eastAsia="Times New Roman"/>
        </w:rPr>
        <w:t xml:space="preserve"> forecasting horizon, feature availability at prediction time, spatial and temporal cross-validation, leakage controls, calibration, uncertainty outputs, and a reproducible model-selection protocol. The LLM may recommend a model family, but only models reg</w:t>
      </w:r>
      <w:r>
        <w:rPr>
          <w:rFonts w:eastAsia="Times New Roman"/>
        </w:rPr>
        <w:t>istered with machine-readable preconditions can be executed automatically.</w:t>
      </w:r>
    </w:p>
    <w:p>
      <w:pPr>
        <w:pStyle w:val="Heading1"/>
        <w:rPr>
          <w:color w:val="auto"/>
        </w:rPr>
      </w:pPr>
      <w:r>
        <w:rPr>
          <w:color w:val="auto"/>
        </w:rPr>
        <w:lastRenderedPageBreak/>
        <w:t>4 GeoPlan Framework</w:t>
      </w:r>
    </w:p>
    <w:p>
      <w:pPr>
        <w:spacing w:after="40"/>
        <w:jc w:val="center"/>
      </w:pPr>
      <w:r>
        <w:rPr>
          <w:noProof/>
        </w:rPr>
        <w:drawing>
          <wp:inline distT="0" distB="0" distL="0" distR="0" wp14:anchorId="45A6C13E" wp14:editId="29502FC2">
            <wp:extent cx="5616000" cy="2914901"/>
            <wp:effectExtent l="0" t="0" r="0" b="0"/>
            <wp:docPr id="1" name="Picture 1" descr="A seven-stage flow converts a natural-language spatial task into a grounded typed plan, verifies it, executes it in deterministic geospatial engines, checks outputs, and returns a decision-ready result with provenance and human controls." title="GeoPl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plan_architecture.png"/>
                    <pic:cNvPicPr/>
                  </pic:nvPicPr>
                  <pic:blipFill>
                    <a:blip r:embed="rId8"/>
                    <a:stretch>
                      <a:fillRect/>
                    </a:stretch>
                  </pic:blipFill>
                  <pic:spPr>
                    <a:xfrm>
                      <a:off x="0" y="0"/>
                      <a:ext cx="5616000" cy="2914901"/>
                    </a:xfrm>
                    <a:prstGeom prst="rect">
                      <a:avLst/>
                    </a:prstGeom>
                  </pic:spPr>
                </pic:pic>
              </a:graphicData>
            </a:graphic>
          </wp:inline>
        </w:drawing>
      </w:r>
    </w:p>
    <w:p>
      <w:pPr>
        <w:pStyle w:val="Caption"/>
        <w:keepNext/>
        <w:jc w:val="center"/>
        <w:rPr>
          <w:color w:val="auto"/>
        </w:rPr>
      </w:pPr>
      <w:r>
        <w:rPr>
          <w:rFonts w:eastAsia="Times New Roman"/>
          <w:color w:val="auto"/>
        </w:rPr>
        <w:t>Fig. 1. GeoPlan architecture. The LLM plans and explains; deterministic engines remain the authority for spatial computation and prediction.</w:t>
      </w:r>
    </w:p>
    <w:p>
      <w:pPr>
        <w:pStyle w:val="Heading2"/>
        <w:rPr>
          <w:color w:val="auto"/>
        </w:rPr>
      </w:pPr>
      <w:r>
        <w:rPr>
          <w:color w:val="auto"/>
        </w:rPr>
        <w:t xml:space="preserve">4.1 Design </w:t>
      </w:r>
      <w:r>
        <w:rPr>
          <w:color w:val="auto"/>
        </w:rPr>
        <w:t>principles</w:t>
      </w:r>
    </w:p>
    <w:p>
      <w:r>
        <w:t>GeoPlan follows five principles. First, semantic planning is separated from execution. Second, every automatic inference that can change a result is made explicit in GeoPlan-IR. Third, data and tools are discovered through registries rather than</w:t>
      </w:r>
      <w:r>
        <w:t xml:space="preserve"> recalled from model parameters. Fourth, verification is layered: cheap static checks precede costly execution, and result checks precede release. Fifth, the system escalates ambiguity and high-impact decisions to a human instead of forcing completion. Thi</w:t>
      </w:r>
      <w:r>
        <w:t>s final principle is essential for trustworthy automation because a correct response to an ill-posed request may be a clarification question or a documented refusal.</w:t>
      </w:r>
    </w:p>
    <w:p>
      <w:pPr>
        <w:pStyle w:val="Heading2"/>
        <w:rPr>
          <w:color w:val="auto"/>
        </w:rPr>
      </w:pPr>
      <w:r>
        <w:rPr>
          <w:color w:val="auto"/>
        </w:rPr>
        <w:t>4.2 GeoPlan-IR: a typed intermediate representation</w:t>
      </w:r>
    </w:p>
    <w:p>
      <w:r>
        <w:t>GeoPlan-IR is serialized as JSON or RD</w:t>
      </w:r>
      <w:r>
        <w:t>F but is conceptually a typed DAG. Each node declares its operation, inputs, outputs, parameter types, spatial and temporal contracts, preconditions, postconditions, and evidence. The graph is model agnostic and platform neutral: the same plan can be compi</w:t>
      </w:r>
      <w:r>
        <w:t>led to SQL/PostGIS, a Python stack, or Earth Engine when equivalent operators are available.</w:t>
      </w:r>
    </w:p>
    <w:p>
      <w:pPr>
        <w:pStyle w:val="Caption"/>
        <w:keepNext/>
        <w:jc w:val="center"/>
        <w:rPr>
          <w:color w:val="auto"/>
        </w:rPr>
      </w:pPr>
      <w:r>
        <w:rPr>
          <w:rFonts w:eastAsia="Times New Roman"/>
          <w:color w:val="auto"/>
        </w:rPr>
        <w:t>Table 2. Core GeoPlan-IR fields and the failures they are designed to prevent.</w:t>
      </w:r>
    </w:p>
    <w:tbl>
      <w:tblPr>
        <w:tblStyle w:val="TableGrid"/>
        <w:tblW w:w="9030" w:type="dxa"/>
        <w:tblInd w:w="100" w:type="dxa"/>
        <w:tblBorders>
          <w:top w:val="single" w:sz="4" w:space="0" w:color="9AA7B2"/>
          <w:left w:val="single" w:sz="4" w:space="0" w:color="9AA7B2"/>
          <w:bottom w:val="single" w:sz="4" w:space="0" w:color="9AA7B2"/>
          <w:right w:val="single" w:sz="4" w:space="0" w:color="9AA7B2"/>
          <w:insideH w:val="single" w:sz="4" w:space="0" w:color="9AA7B2"/>
          <w:insideV w:val="single" w:sz="4" w:space="0" w:color="9AA7B2"/>
        </w:tblBorders>
        <w:tblLayout w:type="fixed"/>
        <w:tblLook w:val="04A0" w:firstRow="1" w:lastRow="0" w:firstColumn="1" w:lastColumn="0" w:noHBand="0" w:noVBand="1"/>
      </w:tblPr>
      <w:tblGrid>
        <w:gridCol w:w="1700"/>
        <w:gridCol w:w="4000"/>
        <w:gridCol w:w="3330"/>
      </w:tblGrid>
      <w:tr>
        <w:trPr>
          <w:tblHeader/>
        </w:trPr>
        <w:tc>
          <w:tcPr>
            <w:tcW w:w="17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Field group</w:t>
            </w:r>
          </w:p>
        </w:tc>
        <w:tc>
          <w:tcPr>
            <w:tcW w:w="40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Required content</w:t>
            </w:r>
          </w:p>
        </w:tc>
        <w:tc>
          <w:tcPr>
            <w:tcW w:w="3330" w:type="dxa"/>
            <w:shd w:val="clear" w:color="auto" w:fill="E8EEF5"/>
            <w:tcMar>
              <w:top w:w="70" w:type="dxa"/>
              <w:left w:w="100" w:type="dxa"/>
              <w:bottom w:w="70" w:type="dxa"/>
              <w:right w:w="100" w:type="dxa"/>
            </w:tcMar>
            <w:vAlign w:val="center"/>
          </w:tcPr>
          <w:p>
            <w:pPr>
              <w:spacing w:after="0"/>
              <w:jc w:val="center"/>
            </w:pPr>
            <w:r>
              <w:rPr>
                <w:rFonts w:eastAsia="Times New Roman"/>
                <w:b/>
                <w:sz w:val="16"/>
              </w:rPr>
              <w:t>Failure prevented</w:t>
            </w:r>
          </w:p>
        </w:tc>
      </w:tr>
      <w:tr>
        <w:tc>
          <w:tcPr>
            <w:tcW w:w="1700" w:type="dxa"/>
            <w:tcMar>
              <w:top w:w="70" w:type="dxa"/>
              <w:left w:w="100" w:type="dxa"/>
              <w:bottom w:w="70" w:type="dxa"/>
              <w:right w:w="100" w:type="dxa"/>
            </w:tcMar>
            <w:vAlign w:val="center"/>
          </w:tcPr>
          <w:p>
            <w:pPr>
              <w:spacing w:after="0" w:line="240" w:lineRule="auto"/>
              <w:jc w:val="center"/>
            </w:pPr>
            <w:r>
              <w:rPr>
                <w:rFonts w:eastAsia="Times New Roman"/>
                <w:sz w:val="16"/>
              </w:rPr>
              <w:t>Intent</w:t>
            </w:r>
          </w:p>
        </w:tc>
        <w:tc>
          <w:tcPr>
            <w:tcW w:w="4000" w:type="dxa"/>
            <w:tcMar>
              <w:top w:w="70" w:type="dxa"/>
              <w:left w:w="100" w:type="dxa"/>
              <w:bottom w:w="70" w:type="dxa"/>
              <w:right w:w="100" w:type="dxa"/>
            </w:tcMar>
            <w:vAlign w:val="center"/>
          </w:tcPr>
          <w:p>
            <w:pPr>
              <w:spacing w:after="0" w:line="240" w:lineRule="auto"/>
              <w:jc w:val="left"/>
            </w:pPr>
            <w:r>
              <w:rPr>
                <w:rFonts w:eastAsia="Times New Roman"/>
                <w:sz w:val="16"/>
              </w:rPr>
              <w:t xml:space="preserve">task type, decision purpose, </w:t>
            </w:r>
            <w:r>
              <w:rPr>
                <w:rFonts w:eastAsia="Times New Roman"/>
                <w:sz w:val="16"/>
              </w:rPr>
              <w:t>target, horizon</w:t>
            </w:r>
          </w:p>
        </w:tc>
        <w:tc>
          <w:tcPr>
            <w:tcW w:w="3330" w:type="dxa"/>
            <w:tcMar>
              <w:top w:w="70" w:type="dxa"/>
              <w:left w:w="100" w:type="dxa"/>
              <w:bottom w:w="70" w:type="dxa"/>
              <w:right w:w="100" w:type="dxa"/>
            </w:tcMar>
            <w:vAlign w:val="center"/>
          </w:tcPr>
          <w:p>
            <w:pPr>
              <w:spacing w:after="0" w:line="240" w:lineRule="auto"/>
              <w:jc w:val="left"/>
            </w:pPr>
            <w:r>
              <w:rPr>
                <w:rFonts w:eastAsia="Times New Roman"/>
                <w:sz w:val="16"/>
              </w:rPr>
              <w:t>Fluent but irrelevant analysis</w:t>
            </w:r>
          </w:p>
        </w:tc>
      </w:tr>
      <w:tr>
        <w:tc>
          <w:tcPr>
            <w:tcW w:w="1700" w:type="dxa"/>
            <w:tcMar>
              <w:top w:w="70" w:type="dxa"/>
              <w:left w:w="100" w:type="dxa"/>
              <w:bottom w:w="70" w:type="dxa"/>
              <w:right w:w="100" w:type="dxa"/>
            </w:tcMar>
            <w:vAlign w:val="center"/>
          </w:tcPr>
          <w:p>
            <w:pPr>
              <w:spacing w:after="0" w:line="240" w:lineRule="auto"/>
              <w:jc w:val="center"/>
            </w:pPr>
            <w:r>
              <w:rPr>
                <w:rFonts w:eastAsia="Times New Roman"/>
                <w:sz w:val="16"/>
              </w:rPr>
              <w:t>Spatial contract</w:t>
            </w:r>
          </w:p>
        </w:tc>
        <w:tc>
          <w:tcPr>
            <w:tcW w:w="4000" w:type="dxa"/>
            <w:tcMar>
              <w:top w:w="70" w:type="dxa"/>
              <w:left w:w="100" w:type="dxa"/>
              <w:bottom w:w="70" w:type="dxa"/>
              <w:right w:w="100" w:type="dxa"/>
            </w:tcMar>
            <w:vAlign w:val="center"/>
          </w:tcPr>
          <w:p>
            <w:pPr>
              <w:spacing w:after="0" w:line="240" w:lineRule="auto"/>
              <w:jc w:val="left"/>
            </w:pPr>
            <w:r>
              <w:rPr>
                <w:rFonts w:eastAsia="Times New Roman"/>
                <w:sz w:val="16"/>
              </w:rPr>
              <w:t>geometry type, CRS, extent, resolution, scale, units</w:t>
            </w:r>
          </w:p>
        </w:tc>
        <w:tc>
          <w:tcPr>
            <w:tcW w:w="3330" w:type="dxa"/>
            <w:tcMar>
              <w:top w:w="70" w:type="dxa"/>
              <w:left w:w="100" w:type="dxa"/>
              <w:bottom w:w="70" w:type="dxa"/>
              <w:right w:w="100" w:type="dxa"/>
            </w:tcMar>
            <w:vAlign w:val="center"/>
          </w:tcPr>
          <w:p>
            <w:pPr>
              <w:spacing w:after="0" w:line="240" w:lineRule="auto"/>
              <w:jc w:val="left"/>
            </w:pPr>
            <w:r>
              <w:rPr>
                <w:rFonts w:eastAsia="Times New Roman"/>
                <w:sz w:val="16"/>
              </w:rPr>
              <w:t>Invalid distance, area, overlay, or resampling</w:t>
            </w:r>
          </w:p>
        </w:tc>
      </w:tr>
      <w:tr>
        <w:tc>
          <w:tcPr>
            <w:tcW w:w="1700" w:type="dxa"/>
            <w:tcMar>
              <w:top w:w="70" w:type="dxa"/>
              <w:left w:w="100" w:type="dxa"/>
              <w:bottom w:w="70" w:type="dxa"/>
              <w:right w:w="100" w:type="dxa"/>
            </w:tcMar>
            <w:vAlign w:val="center"/>
          </w:tcPr>
          <w:p>
            <w:pPr>
              <w:spacing w:after="0" w:line="240" w:lineRule="auto"/>
              <w:jc w:val="center"/>
            </w:pPr>
            <w:r>
              <w:rPr>
                <w:rFonts w:eastAsia="Times New Roman"/>
                <w:sz w:val="16"/>
              </w:rPr>
              <w:t>Temporal contract</w:t>
            </w:r>
          </w:p>
        </w:tc>
        <w:tc>
          <w:tcPr>
            <w:tcW w:w="4000" w:type="dxa"/>
            <w:tcMar>
              <w:top w:w="70" w:type="dxa"/>
              <w:left w:w="100" w:type="dxa"/>
              <w:bottom w:w="70" w:type="dxa"/>
              <w:right w:w="100" w:type="dxa"/>
            </w:tcMar>
            <w:vAlign w:val="center"/>
          </w:tcPr>
          <w:p>
            <w:pPr>
              <w:spacing w:after="0" w:line="240" w:lineRule="auto"/>
              <w:jc w:val="left"/>
            </w:pPr>
            <w:r>
              <w:rPr>
                <w:rFonts w:eastAsia="Times New Roman"/>
                <w:sz w:val="16"/>
              </w:rPr>
              <w:t>event time, interval, timezone, aggregation, lag</w:t>
            </w:r>
          </w:p>
        </w:tc>
        <w:tc>
          <w:tcPr>
            <w:tcW w:w="3330" w:type="dxa"/>
            <w:tcMar>
              <w:top w:w="70" w:type="dxa"/>
              <w:left w:w="100" w:type="dxa"/>
              <w:bottom w:w="70" w:type="dxa"/>
              <w:right w:w="100" w:type="dxa"/>
            </w:tcMar>
            <w:vAlign w:val="center"/>
          </w:tcPr>
          <w:p>
            <w:pPr>
              <w:spacing w:after="0" w:line="240" w:lineRule="auto"/>
              <w:jc w:val="left"/>
            </w:pPr>
            <w:r>
              <w:rPr>
                <w:rFonts w:eastAsia="Times New Roman"/>
                <w:sz w:val="16"/>
              </w:rPr>
              <w:t>Misaligned observations</w:t>
            </w:r>
            <w:r>
              <w:rPr>
                <w:rFonts w:eastAsia="Times New Roman"/>
                <w:sz w:val="16"/>
              </w:rPr>
              <w:t xml:space="preserve"> and look-ahead leakage</w:t>
            </w:r>
          </w:p>
        </w:tc>
      </w:tr>
      <w:tr>
        <w:tc>
          <w:tcPr>
            <w:tcW w:w="1700" w:type="dxa"/>
            <w:tcMar>
              <w:top w:w="70" w:type="dxa"/>
              <w:left w:w="100" w:type="dxa"/>
              <w:bottom w:w="70" w:type="dxa"/>
              <w:right w:w="100" w:type="dxa"/>
            </w:tcMar>
            <w:vAlign w:val="center"/>
          </w:tcPr>
          <w:p>
            <w:pPr>
              <w:spacing w:after="0" w:line="240" w:lineRule="auto"/>
              <w:jc w:val="center"/>
            </w:pPr>
            <w:r>
              <w:rPr>
                <w:rFonts w:eastAsia="Times New Roman"/>
                <w:sz w:val="16"/>
              </w:rPr>
              <w:t>Data contract</w:t>
            </w:r>
          </w:p>
        </w:tc>
        <w:tc>
          <w:tcPr>
            <w:tcW w:w="4000" w:type="dxa"/>
            <w:tcMar>
              <w:top w:w="70" w:type="dxa"/>
              <w:left w:w="100" w:type="dxa"/>
              <w:bottom w:w="70" w:type="dxa"/>
              <w:right w:w="100" w:type="dxa"/>
            </w:tcMar>
            <w:vAlign w:val="center"/>
          </w:tcPr>
          <w:p>
            <w:pPr>
              <w:spacing w:after="0" w:line="240" w:lineRule="auto"/>
              <w:jc w:val="left"/>
            </w:pPr>
            <w:r>
              <w:rPr>
                <w:rFonts w:eastAsia="Times New Roman"/>
                <w:sz w:val="16"/>
              </w:rPr>
              <w:t>schema, source, licence, quality, lineage, access</w:t>
            </w:r>
          </w:p>
        </w:tc>
        <w:tc>
          <w:tcPr>
            <w:tcW w:w="3330" w:type="dxa"/>
            <w:tcMar>
              <w:top w:w="70" w:type="dxa"/>
              <w:left w:w="100" w:type="dxa"/>
              <w:bottom w:w="70" w:type="dxa"/>
              <w:right w:w="100" w:type="dxa"/>
            </w:tcMar>
            <w:vAlign w:val="center"/>
          </w:tcPr>
          <w:p>
            <w:pPr>
              <w:spacing w:after="0" w:line="240" w:lineRule="auto"/>
              <w:jc w:val="left"/>
            </w:pPr>
            <w:r>
              <w:rPr>
                <w:rFonts w:eastAsia="Times New Roman"/>
                <w:sz w:val="16"/>
              </w:rPr>
              <w:t>Hallucinated or unauthorized datasets</w:t>
            </w:r>
          </w:p>
        </w:tc>
      </w:tr>
      <w:tr>
        <w:tc>
          <w:tcPr>
            <w:tcW w:w="1700" w:type="dxa"/>
            <w:tcMar>
              <w:top w:w="70" w:type="dxa"/>
              <w:left w:w="100" w:type="dxa"/>
              <w:bottom w:w="70" w:type="dxa"/>
              <w:right w:w="100" w:type="dxa"/>
            </w:tcMar>
            <w:vAlign w:val="center"/>
          </w:tcPr>
          <w:p>
            <w:pPr>
              <w:spacing w:after="0" w:line="240" w:lineRule="auto"/>
              <w:jc w:val="center"/>
            </w:pPr>
            <w:r>
              <w:rPr>
                <w:rFonts w:eastAsia="Times New Roman"/>
                <w:sz w:val="16"/>
              </w:rPr>
              <w:t>Operation node</w:t>
            </w:r>
          </w:p>
        </w:tc>
        <w:tc>
          <w:tcPr>
            <w:tcW w:w="4000" w:type="dxa"/>
            <w:tcMar>
              <w:top w:w="70" w:type="dxa"/>
              <w:left w:w="100" w:type="dxa"/>
              <w:bottom w:w="70" w:type="dxa"/>
              <w:right w:w="100" w:type="dxa"/>
            </w:tcMar>
            <w:vAlign w:val="center"/>
          </w:tcPr>
          <w:p>
            <w:pPr>
              <w:spacing w:after="0" w:line="240" w:lineRule="auto"/>
              <w:jc w:val="left"/>
            </w:pPr>
            <w:r>
              <w:rPr>
                <w:rFonts w:eastAsia="Times New Roman"/>
                <w:sz w:val="16"/>
              </w:rPr>
              <w:t>typed inputs/outputs, parameters, pre/postconditions</w:t>
            </w:r>
          </w:p>
        </w:tc>
        <w:tc>
          <w:tcPr>
            <w:tcW w:w="3330" w:type="dxa"/>
            <w:tcMar>
              <w:top w:w="70" w:type="dxa"/>
              <w:left w:w="100" w:type="dxa"/>
              <w:bottom w:w="70" w:type="dxa"/>
              <w:right w:w="100" w:type="dxa"/>
            </w:tcMar>
            <w:vAlign w:val="center"/>
          </w:tcPr>
          <w:p>
            <w:pPr>
              <w:spacing w:after="0" w:line="240" w:lineRule="auto"/>
              <w:jc w:val="left"/>
            </w:pPr>
            <w:r>
              <w:rPr>
                <w:rFonts w:eastAsia="Times New Roman"/>
                <w:sz w:val="16"/>
              </w:rPr>
              <w:t>Incorrect tool order or incompatible data types</w:t>
            </w:r>
          </w:p>
        </w:tc>
      </w:tr>
      <w:tr>
        <w:tc>
          <w:tcPr>
            <w:tcW w:w="1700" w:type="dxa"/>
            <w:tcMar>
              <w:top w:w="70" w:type="dxa"/>
              <w:left w:w="100" w:type="dxa"/>
              <w:bottom w:w="70" w:type="dxa"/>
              <w:right w:w="100" w:type="dxa"/>
            </w:tcMar>
            <w:vAlign w:val="center"/>
          </w:tcPr>
          <w:p>
            <w:pPr>
              <w:spacing w:after="0" w:line="240" w:lineRule="auto"/>
              <w:jc w:val="center"/>
            </w:pPr>
            <w:r>
              <w:rPr>
                <w:rFonts w:eastAsia="Times New Roman"/>
                <w:sz w:val="16"/>
              </w:rPr>
              <w:t xml:space="preserve">Predictive </w:t>
            </w:r>
            <w:r>
              <w:rPr>
                <w:rFonts w:eastAsia="Times New Roman"/>
                <w:sz w:val="16"/>
              </w:rPr>
              <w:t>contract</w:t>
            </w:r>
          </w:p>
        </w:tc>
        <w:tc>
          <w:tcPr>
            <w:tcW w:w="4000" w:type="dxa"/>
            <w:tcMar>
              <w:top w:w="70" w:type="dxa"/>
              <w:left w:w="100" w:type="dxa"/>
              <w:bottom w:w="70" w:type="dxa"/>
              <w:right w:w="100" w:type="dxa"/>
            </w:tcMar>
            <w:vAlign w:val="center"/>
          </w:tcPr>
          <w:p>
            <w:pPr>
              <w:spacing w:after="0" w:line="240" w:lineRule="auto"/>
              <w:jc w:val="left"/>
            </w:pPr>
            <w:r>
              <w:rPr>
                <w:rFonts w:eastAsia="Times New Roman"/>
                <w:sz w:val="16"/>
              </w:rPr>
              <w:t>target, features, split, model, calibration, uncertainty</w:t>
            </w:r>
          </w:p>
        </w:tc>
        <w:tc>
          <w:tcPr>
            <w:tcW w:w="3330" w:type="dxa"/>
            <w:tcMar>
              <w:top w:w="70" w:type="dxa"/>
              <w:left w:w="100" w:type="dxa"/>
              <w:bottom w:w="70" w:type="dxa"/>
              <w:right w:w="100" w:type="dxa"/>
            </w:tcMar>
            <w:vAlign w:val="center"/>
          </w:tcPr>
          <w:p>
            <w:pPr>
              <w:spacing w:after="0" w:line="240" w:lineRule="auto"/>
              <w:jc w:val="left"/>
            </w:pPr>
            <w:r>
              <w:rPr>
                <w:rFonts w:eastAsia="Times New Roman"/>
                <w:sz w:val="16"/>
              </w:rPr>
              <w:t>Overfitting, leakage, and uncalibrated risk</w:t>
            </w:r>
          </w:p>
        </w:tc>
      </w:tr>
      <w:tr>
        <w:tc>
          <w:tcPr>
            <w:tcW w:w="1700" w:type="dxa"/>
            <w:tcMar>
              <w:top w:w="70" w:type="dxa"/>
              <w:left w:w="100" w:type="dxa"/>
              <w:bottom w:w="70" w:type="dxa"/>
              <w:right w:w="100" w:type="dxa"/>
            </w:tcMar>
            <w:vAlign w:val="center"/>
          </w:tcPr>
          <w:p>
            <w:pPr>
              <w:spacing w:after="0" w:line="240" w:lineRule="auto"/>
              <w:jc w:val="center"/>
            </w:pPr>
            <w:r>
              <w:rPr>
                <w:rFonts w:eastAsia="Times New Roman"/>
                <w:sz w:val="16"/>
              </w:rPr>
              <w:t>Acceptance contract</w:t>
            </w:r>
          </w:p>
        </w:tc>
        <w:tc>
          <w:tcPr>
            <w:tcW w:w="4000" w:type="dxa"/>
            <w:tcMar>
              <w:top w:w="70" w:type="dxa"/>
              <w:left w:w="100" w:type="dxa"/>
              <w:bottom w:w="70" w:type="dxa"/>
              <w:right w:w="100" w:type="dxa"/>
            </w:tcMar>
            <w:vAlign w:val="center"/>
          </w:tcPr>
          <w:p>
            <w:pPr>
              <w:spacing w:after="0" w:line="240" w:lineRule="auto"/>
              <w:jc w:val="left"/>
            </w:pPr>
            <w:r>
              <w:rPr>
                <w:rFonts w:eastAsia="Times New Roman"/>
                <w:sz w:val="16"/>
              </w:rPr>
              <w:t>tests, tolerances, risk tier, human approval</w:t>
            </w:r>
          </w:p>
        </w:tc>
        <w:tc>
          <w:tcPr>
            <w:tcW w:w="3330" w:type="dxa"/>
            <w:tcMar>
              <w:top w:w="70" w:type="dxa"/>
              <w:left w:w="100" w:type="dxa"/>
              <w:bottom w:w="70" w:type="dxa"/>
              <w:right w:w="100" w:type="dxa"/>
            </w:tcMar>
            <w:vAlign w:val="center"/>
          </w:tcPr>
          <w:p>
            <w:pPr>
              <w:spacing w:after="0" w:line="240" w:lineRule="auto"/>
              <w:jc w:val="left"/>
            </w:pPr>
            <w:r>
              <w:rPr>
                <w:rFonts w:eastAsia="Times New Roman"/>
                <w:sz w:val="16"/>
              </w:rPr>
              <w:t>Release of plausible but invalid outputs</w:t>
            </w:r>
          </w:p>
        </w:tc>
      </w:tr>
    </w:tbl>
    <w:p>
      <w:pPr>
        <w:spacing w:after="40"/>
      </w:pPr>
    </w:p>
    <w:p>
      <w:r>
        <w:t>A minimal buffer node, for example, c</w:t>
      </w:r>
      <w:r>
        <w:t>annot contain only a distance value. It must identify an input geometry, output geometry, projected CRS or geodesic method, unit, cap and join policy, invalid-geometry handling, and postconditions such as non-empty output and preserved feature identifiers.</w:t>
      </w:r>
      <w:r>
        <w:t xml:space="preserve"> This explicitness converts many GIS best practices into compile-time checks.</w:t>
      </w:r>
    </w:p>
    <w:p>
      <w:pPr>
        <w:pStyle w:val="Heading2"/>
        <w:rPr>
          <w:color w:val="auto"/>
        </w:rPr>
      </w:pPr>
      <w:r>
        <w:rPr>
          <w:color w:val="auto"/>
        </w:rPr>
        <w:lastRenderedPageBreak/>
        <w:t>4.3 Semantic grounding and data discovery</w:t>
      </w:r>
    </w:p>
    <w:p>
      <w:r>
        <w:t>The grounding layer maps place names, domain phrases, and vague relations to canonical entities and predicates. A spatial knowledge grap</w:t>
      </w:r>
      <w:r>
        <w:t>h combines GeoSPARQL relations with domain ontologies for hydrology, land cover, urban zoning, hazards, and sensors. It also links concepts to tool signatures and catalog assets. Retrieval is constrained by geographic coverage, time span, resolution, licen</w:t>
      </w:r>
      <w:r>
        <w:t>sing, update frequency, and authorization. STAC records identify raster assets; database catalogs expose vector and tabular schemas; sensor registries expose station coordinates, units, calibration dates, and quality flags.</w:t>
      </w:r>
    </w:p>
    <w:p>
      <w:r>
        <w:t xml:space="preserve">Ambiguity is quantified rather </w:t>
      </w:r>
      <w:r>
        <w:t xml:space="preserve">than hidden. If coastal corridor could refer to an administrative buffer, an elevation-defined coastal zone, or a distance from shoreline, the system returns candidate interpretations with consequences for data and output. An automatic choice is permitted </w:t>
      </w:r>
      <w:r>
        <w:t>only when an organization-approved default exists and its use is recorded in the plan.</w:t>
      </w:r>
    </w:p>
    <w:p>
      <w:pPr>
        <w:pStyle w:val="Heading2"/>
        <w:rPr>
          <w:color w:val="auto"/>
        </w:rPr>
      </w:pPr>
      <w:r>
        <w:rPr>
          <w:color w:val="auto"/>
        </w:rPr>
        <w:t>4.4 Planning, compilation, and bounded repair</w:t>
      </w:r>
    </w:p>
    <w:p>
      <w:r>
        <w:t>The planner decomposes q into data acquisition, preprocessing, analysis, prediction, validation, and presentation nodes. Re</w:t>
      </w:r>
      <w:r>
        <w:t>trieval supplies only tool documentation and examples compatible with the current execution environment. The compiler then resolves abstract operators to concrete implementations. For instance, spatial_join may compile to ST_Intersects in PostGIS, GeoPanda</w:t>
      </w:r>
      <w:r>
        <w:t>s.sjoin in Python, or an Earth Engine join. Platform-specific code is generated from typed operator templates, reducing the unconstrained code surface.</w:t>
      </w:r>
    </w:p>
    <w:p>
      <w:r>
        <w:t>When a verifier rejects a plan or execution fails, the system may enter a bounded repair loop. The error</w:t>
      </w:r>
      <w:r>
        <w:t>, relevant schema, and failed invariant are returned to the planner; unrelated context and raw secrets are withheld. Repair is limited by attempt count, cost budget, and risk tier. Repeated failure, missing data, or an ambiguous high-impact assumption trig</w:t>
      </w:r>
      <w:r>
        <w:t>gers human escalation. This differs from open-ended self-debugging because the permissible state transitions are explicit and auditable.</w:t>
      </w:r>
    </w:p>
    <w:p>
      <w:pPr>
        <w:pStyle w:val="Heading2"/>
        <w:rPr>
          <w:color w:val="auto"/>
        </w:rPr>
      </w:pPr>
      <w:r>
        <w:rPr>
          <w:color w:val="auto"/>
        </w:rPr>
        <w:t>4.5 Static, execution, and result verification</w:t>
      </w:r>
    </w:p>
    <w:p>
      <w:r>
        <w:t>Static verification uses JSON Schema or SHACL shapes, operator signature</w:t>
      </w:r>
      <w:r>
        <w:t>s, and domain rules. It checks DAG acyclicity, type compatibility, CRS and unit consistency, temporal ordering, required metadata, tool authorization, and model preconditions. Predictive rules flag random train-test splits for strongly spatial data, featur</w:t>
      </w:r>
      <w:r>
        <w:t>es unavailable at forecast time, fitting preprocessing outside cross-validation, and missing calibration or uncertainty outputs.</w:t>
      </w:r>
    </w:p>
    <w:p>
      <w:r>
        <w:t>Execution occurs in a sandbox with read-only inputs, explicit output locations, resource quotas, network allowlists, and parame</w:t>
      </w:r>
      <w:r>
        <w:t>terized SQL. Dynamic checks inspect geometry validity, row and pixel counts, missingness, spatial bounds, temporal coverage, and distribution shifts. Result verification compares outputs with reference tests or invariant-based expectations. Examples includ</w:t>
      </w:r>
      <w:r>
        <w:t>e conservation of total area within tolerance after reprojection, monotonicity of cumulative inundation area with increasing water level, and agreement between independently implemented spatial predicates.</w:t>
      </w:r>
    </w:p>
    <w:p>
      <w:r>
        <w:t>Every released artifact carries a provenance bundl</w:t>
      </w:r>
      <w:r>
        <w:t>e: normalized request, GeoPlan-IR, model and tool versions, dataset identifiers and checksums, generated code, runtime log, verification results, uncertainty summary, and human interventions. This bundle supports reproduction, audit, and post-hoc compariso</w:t>
      </w:r>
      <w:r>
        <w:t>n when models or datasets change.</w:t>
      </w:r>
    </w:p>
    <w:p>
      <w:pPr>
        <w:pStyle w:val="Heading1"/>
        <w:rPr>
          <w:color w:val="auto"/>
        </w:rPr>
      </w:pPr>
      <w:r>
        <w:rPr>
          <w:color w:val="auto"/>
        </w:rPr>
        <w:t>5 GeoNL2Workflow Benchmark</w:t>
      </w:r>
    </w:p>
    <w:p>
      <w:pPr>
        <w:pStyle w:val="Heading2"/>
        <w:rPr>
          <w:color w:val="auto"/>
        </w:rPr>
      </w:pPr>
      <w:r>
        <w:rPr>
          <w:color w:val="auto"/>
        </w:rPr>
        <w:t>5.1 Dataset construction</w:t>
      </w:r>
    </w:p>
    <w:p>
      <w:r>
        <w:t>GeoNL2Workflow is designed as an expert-authored benchmark rather than a collection of automatically paraphrased coding prompts. Candidate tasks are elicited from GIS ana</w:t>
      </w:r>
      <w:r>
        <w:t>lysts, remote-sensing specialists, hydrologists, planners, and IoT engineers. Each task is independently formalized by two annotators and adjudicated by a third. The released unit contains the natural-language request, ambiguity labels, required clarificat</w:t>
      </w:r>
      <w:r>
        <w:t>ions, admissible data sources, one or more gold GeoPlan-IR graphs, executable reference implementations, test fixtures, expected invariants, and risk classification.</w:t>
      </w:r>
    </w:p>
    <w:p>
      <w:r>
        <w:t xml:space="preserve">The planned corpus contains 1,200 tasks: 720 core tasks, 240 robustness tasks, 120 </w:t>
      </w:r>
      <w:r>
        <w:t>predictive tasks, and 120 streaming or edge-IoT tasks. These counts are design targets and must be replaced by achieved counts in the empirical submission. Tasks are stratified by operation count and dependency depth. Gold alternatives capture scientifical</w:t>
      </w:r>
      <w:r>
        <w:t>ly equivalent algorithms within declared tolerances.</w:t>
      </w:r>
    </w:p>
    <w:p>
      <w:pPr>
        <w:pStyle w:val="Caption"/>
        <w:keepNext/>
        <w:jc w:val="center"/>
        <w:rPr>
          <w:color w:val="auto"/>
        </w:rPr>
      </w:pPr>
      <w:r>
        <w:rPr>
          <w:rFonts w:eastAsia="Times New Roman"/>
          <w:color w:val="auto"/>
        </w:rPr>
        <w:lastRenderedPageBreak/>
        <w:t>Table 3. Planned benchmark taxonomy.</w:t>
      </w:r>
    </w:p>
    <w:tbl>
      <w:tblPr>
        <w:tblStyle w:val="TableGrid"/>
        <w:tblW w:w="9030" w:type="dxa"/>
        <w:tblInd w:w="100" w:type="dxa"/>
        <w:tblBorders>
          <w:top w:val="single" w:sz="4" w:space="0" w:color="9AA7B2"/>
          <w:left w:val="single" w:sz="4" w:space="0" w:color="9AA7B2"/>
          <w:bottom w:val="single" w:sz="4" w:space="0" w:color="9AA7B2"/>
          <w:right w:val="single" w:sz="4" w:space="0" w:color="9AA7B2"/>
          <w:insideH w:val="single" w:sz="4" w:space="0" w:color="9AA7B2"/>
          <w:insideV w:val="single" w:sz="4" w:space="0" w:color="9AA7B2"/>
        </w:tblBorders>
        <w:tblLayout w:type="fixed"/>
        <w:tblLook w:val="04A0" w:firstRow="1" w:lastRow="0" w:firstColumn="1" w:lastColumn="0" w:noHBand="0" w:noVBand="1"/>
      </w:tblPr>
      <w:tblGrid>
        <w:gridCol w:w="1900"/>
        <w:gridCol w:w="3900"/>
        <w:gridCol w:w="3230"/>
      </w:tblGrid>
      <w:tr>
        <w:trPr>
          <w:tblHeader/>
        </w:trPr>
        <w:tc>
          <w:tcPr>
            <w:tcW w:w="19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Task family</w:t>
            </w:r>
          </w:p>
        </w:tc>
        <w:tc>
          <w:tcPr>
            <w:tcW w:w="39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Representative operations</w:t>
            </w:r>
          </w:p>
        </w:tc>
        <w:tc>
          <w:tcPr>
            <w:tcW w:w="3230" w:type="dxa"/>
            <w:shd w:val="clear" w:color="auto" w:fill="E8EEF5"/>
            <w:tcMar>
              <w:top w:w="70" w:type="dxa"/>
              <w:left w:w="100" w:type="dxa"/>
              <w:bottom w:w="70" w:type="dxa"/>
              <w:right w:w="100" w:type="dxa"/>
            </w:tcMar>
            <w:vAlign w:val="center"/>
          </w:tcPr>
          <w:p>
            <w:pPr>
              <w:spacing w:after="0"/>
              <w:jc w:val="center"/>
            </w:pPr>
            <w:r>
              <w:rPr>
                <w:rFonts w:eastAsia="Times New Roman"/>
                <w:b/>
                <w:sz w:val="16"/>
              </w:rPr>
              <w:t>Primary failure mode</w:t>
            </w:r>
          </w:p>
        </w:tc>
      </w:tr>
      <w:tr>
        <w:tc>
          <w:tcPr>
            <w:tcW w:w="1900" w:type="dxa"/>
            <w:tcMar>
              <w:top w:w="70" w:type="dxa"/>
              <w:left w:w="100" w:type="dxa"/>
              <w:bottom w:w="70" w:type="dxa"/>
              <w:right w:w="100" w:type="dxa"/>
            </w:tcMar>
            <w:vAlign w:val="center"/>
          </w:tcPr>
          <w:p>
            <w:pPr>
              <w:spacing w:after="0" w:line="240" w:lineRule="auto"/>
              <w:jc w:val="center"/>
            </w:pPr>
            <w:r>
              <w:rPr>
                <w:rFonts w:eastAsia="Times New Roman"/>
                <w:sz w:val="16"/>
              </w:rPr>
              <w:t>Vector and topology</w:t>
            </w:r>
          </w:p>
        </w:tc>
        <w:tc>
          <w:tcPr>
            <w:tcW w:w="3900" w:type="dxa"/>
            <w:tcMar>
              <w:top w:w="70" w:type="dxa"/>
              <w:left w:w="100" w:type="dxa"/>
              <w:bottom w:w="70" w:type="dxa"/>
              <w:right w:w="100" w:type="dxa"/>
            </w:tcMar>
            <w:vAlign w:val="center"/>
          </w:tcPr>
          <w:p>
            <w:pPr>
              <w:spacing w:after="0" w:line="240" w:lineRule="auto"/>
              <w:jc w:val="left"/>
            </w:pPr>
            <w:r>
              <w:rPr>
                <w:rFonts w:eastAsia="Times New Roman"/>
                <w:sz w:val="16"/>
              </w:rPr>
              <w:t>buffer, overlay, spatial join, dissolve, network</w:t>
            </w:r>
          </w:p>
        </w:tc>
        <w:tc>
          <w:tcPr>
            <w:tcW w:w="3230" w:type="dxa"/>
            <w:tcMar>
              <w:top w:w="70" w:type="dxa"/>
              <w:left w:w="100" w:type="dxa"/>
              <w:bottom w:w="70" w:type="dxa"/>
              <w:right w:w="100" w:type="dxa"/>
            </w:tcMar>
            <w:vAlign w:val="center"/>
          </w:tcPr>
          <w:p>
            <w:pPr>
              <w:spacing w:after="0" w:line="240" w:lineRule="auto"/>
              <w:jc w:val="left"/>
            </w:pPr>
            <w:r>
              <w:rPr>
                <w:rFonts w:eastAsia="Times New Roman"/>
                <w:sz w:val="16"/>
              </w:rPr>
              <w:t xml:space="preserve">CRS, units, invalid geometry, </w:t>
            </w:r>
            <w:r>
              <w:rPr>
                <w:rFonts w:eastAsia="Times New Roman"/>
                <w:sz w:val="16"/>
              </w:rPr>
              <w:t>predicate confusion</w:t>
            </w:r>
          </w:p>
        </w:tc>
      </w:tr>
      <w:tr>
        <w:tc>
          <w:tcPr>
            <w:tcW w:w="1900" w:type="dxa"/>
            <w:tcMar>
              <w:top w:w="70" w:type="dxa"/>
              <w:left w:w="100" w:type="dxa"/>
              <w:bottom w:w="70" w:type="dxa"/>
              <w:right w:w="100" w:type="dxa"/>
            </w:tcMar>
            <w:vAlign w:val="center"/>
          </w:tcPr>
          <w:p>
            <w:pPr>
              <w:spacing w:after="0" w:line="240" w:lineRule="auto"/>
              <w:jc w:val="center"/>
            </w:pPr>
            <w:r>
              <w:rPr>
                <w:rFonts w:eastAsia="Times New Roman"/>
                <w:sz w:val="16"/>
              </w:rPr>
              <w:t>Raster and EO</w:t>
            </w:r>
          </w:p>
        </w:tc>
        <w:tc>
          <w:tcPr>
            <w:tcW w:w="3900" w:type="dxa"/>
            <w:tcMar>
              <w:top w:w="70" w:type="dxa"/>
              <w:left w:w="100" w:type="dxa"/>
              <w:bottom w:w="70" w:type="dxa"/>
              <w:right w:w="100" w:type="dxa"/>
            </w:tcMar>
            <w:vAlign w:val="center"/>
          </w:tcPr>
          <w:p>
            <w:pPr>
              <w:spacing w:after="0" w:line="240" w:lineRule="auto"/>
              <w:jc w:val="left"/>
            </w:pPr>
            <w:r>
              <w:rPr>
                <w:rFonts w:eastAsia="Times New Roman"/>
                <w:sz w:val="16"/>
              </w:rPr>
              <w:t>mask, composite, index, resample, zonal statistics</w:t>
            </w:r>
          </w:p>
        </w:tc>
        <w:tc>
          <w:tcPr>
            <w:tcW w:w="3230" w:type="dxa"/>
            <w:tcMar>
              <w:top w:w="70" w:type="dxa"/>
              <w:left w:w="100" w:type="dxa"/>
              <w:bottom w:w="70" w:type="dxa"/>
              <w:right w:w="100" w:type="dxa"/>
            </w:tcMar>
            <w:vAlign w:val="center"/>
          </w:tcPr>
          <w:p>
            <w:pPr>
              <w:spacing w:after="0" w:line="240" w:lineRule="auto"/>
              <w:jc w:val="left"/>
            </w:pPr>
            <w:r>
              <w:rPr>
                <w:rFonts w:eastAsia="Times New Roman"/>
                <w:sz w:val="16"/>
              </w:rPr>
              <w:t>scale, projection, cloud masking, temporal mismatch</w:t>
            </w:r>
          </w:p>
        </w:tc>
      </w:tr>
      <w:tr>
        <w:tc>
          <w:tcPr>
            <w:tcW w:w="1900" w:type="dxa"/>
            <w:tcMar>
              <w:top w:w="70" w:type="dxa"/>
              <w:left w:w="100" w:type="dxa"/>
              <w:bottom w:w="70" w:type="dxa"/>
              <w:right w:w="100" w:type="dxa"/>
            </w:tcMar>
            <w:vAlign w:val="center"/>
          </w:tcPr>
          <w:p>
            <w:pPr>
              <w:spacing w:after="0" w:line="240" w:lineRule="auto"/>
              <w:jc w:val="center"/>
            </w:pPr>
            <w:r>
              <w:rPr>
                <w:rFonts w:eastAsia="Times New Roman"/>
                <w:sz w:val="16"/>
              </w:rPr>
              <w:t>Spatiotemporal</w:t>
            </w:r>
          </w:p>
        </w:tc>
        <w:tc>
          <w:tcPr>
            <w:tcW w:w="3900" w:type="dxa"/>
            <w:tcMar>
              <w:top w:w="70" w:type="dxa"/>
              <w:left w:w="100" w:type="dxa"/>
              <w:bottom w:w="70" w:type="dxa"/>
              <w:right w:w="100" w:type="dxa"/>
            </w:tcMar>
            <w:vAlign w:val="center"/>
          </w:tcPr>
          <w:p>
            <w:pPr>
              <w:spacing w:after="0" w:line="240" w:lineRule="auto"/>
              <w:jc w:val="left"/>
            </w:pPr>
            <w:r>
              <w:rPr>
                <w:rFonts w:eastAsia="Times New Roman"/>
                <w:sz w:val="16"/>
              </w:rPr>
              <w:t>trajectory, lag, event window, change detection</w:t>
            </w:r>
          </w:p>
        </w:tc>
        <w:tc>
          <w:tcPr>
            <w:tcW w:w="3230" w:type="dxa"/>
            <w:tcMar>
              <w:top w:w="70" w:type="dxa"/>
              <w:left w:w="100" w:type="dxa"/>
              <w:bottom w:w="70" w:type="dxa"/>
              <w:right w:w="100" w:type="dxa"/>
            </w:tcMar>
            <w:vAlign w:val="center"/>
          </w:tcPr>
          <w:p>
            <w:pPr>
              <w:spacing w:after="0" w:line="240" w:lineRule="auto"/>
              <w:jc w:val="left"/>
            </w:pPr>
            <w:r>
              <w:rPr>
                <w:rFonts w:eastAsia="Times New Roman"/>
                <w:sz w:val="16"/>
              </w:rPr>
              <w:t>timezone, interval semantics, leakage</w:t>
            </w:r>
          </w:p>
        </w:tc>
      </w:tr>
      <w:tr>
        <w:tc>
          <w:tcPr>
            <w:tcW w:w="1900" w:type="dxa"/>
            <w:tcMar>
              <w:top w:w="70" w:type="dxa"/>
              <w:left w:w="100" w:type="dxa"/>
              <w:bottom w:w="70" w:type="dxa"/>
              <w:right w:w="100" w:type="dxa"/>
            </w:tcMar>
            <w:vAlign w:val="center"/>
          </w:tcPr>
          <w:p>
            <w:pPr>
              <w:spacing w:after="0" w:line="240" w:lineRule="auto"/>
              <w:jc w:val="center"/>
            </w:pPr>
            <w:r>
              <w:rPr>
                <w:rFonts w:eastAsia="Times New Roman"/>
                <w:sz w:val="16"/>
              </w:rPr>
              <w:t xml:space="preserve">Predictive </w:t>
            </w:r>
            <w:r>
              <w:rPr>
                <w:rFonts w:eastAsia="Times New Roman"/>
                <w:sz w:val="16"/>
              </w:rPr>
              <w:t>GeoAI</w:t>
            </w:r>
          </w:p>
        </w:tc>
        <w:tc>
          <w:tcPr>
            <w:tcW w:w="3900" w:type="dxa"/>
            <w:tcMar>
              <w:top w:w="70" w:type="dxa"/>
              <w:left w:w="100" w:type="dxa"/>
              <w:bottom w:w="70" w:type="dxa"/>
              <w:right w:w="100" w:type="dxa"/>
            </w:tcMar>
            <w:vAlign w:val="center"/>
          </w:tcPr>
          <w:p>
            <w:pPr>
              <w:spacing w:after="0" w:line="240" w:lineRule="auto"/>
              <w:jc w:val="left"/>
            </w:pPr>
            <w:r>
              <w:rPr>
                <w:rFonts w:eastAsia="Times New Roman"/>
                <w:sz w:val="16"/>
              </w:rPr>
              <w:t>features, split, train, calibrate, forecast, explain</w:t>
            </w:r>
          </w:p>
        </w:tc>
        <w:tc>
          <w:tcPr>
            <w:tcW w:w="3230" w:type="dxa"/>
            <w:tcMar>
              <w:top w:w="70" w:type="dxa"/>
              <w:left w:w="100" w:type="dxa"/>
              <w:bottom w:w="70" w:type="dxa"/>
              <w:right w:w="100" w:type="dxa"/>
            </w:tcMar>
            <w:vAlign w:val="center"/>
          </w:tcPr>
          <w:p>
            <w:pPr>
              <w:spacing w:after="0" w:line="240" w:lineRule="auto"/>
              <w:jc w:val="left"/>
            </w:pPr>
            <w:r>
              <w:rPr>
                <w:rFonts w:eastAsia="Times New Roman"/>
                <w:sz w:val="16"/>
              </w:rPr>
              <w:t>target leakage, biased validation, uncertainty</w:t>
            </w:r>
          </w:p>
        </w:tc>
      </w:tr>
      <w:tr>
        <w:tc>
          <w:tcPr>
            <w:tcW w:w="1900" w:type="dxa"/>
            <w:tcMar>
              <w:top w:w="70" w:type="dxa"/>
              <w:left w:w="100" w:type="dxa"/>
              <w:bottom w:w="70" w:type="dxa"/>
              <w:right w:w="100" w:type="dxa"/>
            </w:tcMar>
            <w:vAlign w:val="center"/>
          </w:tcPr>
          <w:p>
            <w:pPr>
              <w:spacing w:after="0" w:line="240" w:lineRule="auto"/>
              <w:jc w:val="center"/>
            </w:pPr>
            <w:r>
              <w:rPr>
                <w:rFonts w:eastAsia="Times New Roman"/>
                <w:sz w:val="16"/>
              </w:rPr>
              <w:t>Streaming edge-IoT</w:t>
            </w:r>
          </w:p>
        </w:tc>
        <w:tc>
          <w:tcPr>
            <w:tcW w:w="3900" w:type="dxa"/>
            <w:tcMar>
              <w:top w:w="70" w:type="dxa"/>
              <w:left w:w="100" w:type="dxa"/>
              <w:bottom w:w="70" w:type="dxa"/>
              <w:right w:w="100" w:type="dxa"/>
            </w:tcMar>
            <w:vAlign w:val="center"/>
          </w:tcPr>
          <w:p>
            <w:pPr>
              <w:spacing w:after="0" w:line="240" w:lineRule="auto"/>
              <w:jc w:val="left"/>
            </w:pPr>
            <w:r>
              <w:rPr>
                <w:rFonts w:eastAsia="Times New Roman"/>
                <w:sz w:val="16"/>
              </w:rPr>
              <w:t>MQTT ingest, calibration, quality control, spatial fusion</w:t>
            </w:r>
          </w:p>
        </w:tc>
        <w:tc>
          <w:tcPr>
            <w:tcW w:w="3230" w:type="dxa"/>
            <w:tcMar>
              <w:top w:w="70" w:type="dxa"/>
              <w:left w:w="100" w:type="dxa"/>
              <w:bottom w:w="70" w:type="dxa"/>
              <w:right w:w="100" w:type="dxa"/>
            </w:tcMar>
            <w:vAlign w:val="center"/>
          </w:tcPr>
          <w:p>
            <w:pPr>
              <w:spacing w:after="0" w:line="240" w:lineRule="auto"/>
              <w:jc w:val="left"/>
            </w:pPr>
            <w:r>
              <w:rPr>
                <w:rFonts w:eastAsia="Times New Roman"/>
                <w:sz w:val="16"/>
              </w:rPr>
              <w:t>clock drift, units, sensor relocation, dropout</w:t>
            </w:r>
          </w:p>
        </w:tc>
      </w:tr>
      <w:tr>
        <w:tc>
          <w:tcPr>
            <w:tcW w:w="1900" w:type="dxa"/>
            <w:tcMar>
              <w:top w:w="70" w:type="dxa"/>
              <w:left w:w="100" w:type="dxa"/>
              <w:bottom w:w="70" w:type="dxa"/>
              <w:right w:w="100" w:type="dxa"/>
            </w:tcMar>
            <w:vAlign w:val="center"/>
          </w:tcPr>
          <w:p>
            <w:pPr>
              <w:spacing w:after="0" w:line="240" w:lineRule="auto"/>
              <w:jc w:val="center"/>
            </w:pPr>
            <w:r>
              <w:rPr>
                <w:rFonts w:eastAsia="Times New Roman"/>
                <w:sz w:val="16"/>
              </w:rPr>
              <w:t>Robustness</w:t>
            </w:r>
          </w:p>
        </w:tc>
        <w:tc>
          <w:tcPr>
            <w:tcW w:w="3900" w:type="dxa"/>
            <w:tcMar>
              <w:top w:w="70" w:type="dxa"/>
              <w:left w:w="100" w:type="dxa"/>
              <w:bottom w:w="70" w:type="dxa"/>
              <w:right w:w="100" w:type="dxa"/>
            </w:tcMar>
            <w:vAlign w:val="center"/>
          </w:tcPr>
          <w:p>
            <w:pPr>
              <w:spacing w:after="0" w:line="240" w:lineRule="auto"/>
              <w:jc w:val="left"/>
            </w:pPr>
            <w:r>
              <w:rPr>
                <w:rFonts w:eastAsia="Times New Roman"/>
                <w:sz w:val="16"/>
              </w:rPr>
              <w:t xml:space="preserve">ambiguity, </w:t>
            </w:r>
            <w:r>
              <w:rPr>
                <w:rFonts w:eastAsia="Times New Roman"/>
                <w:sz w:val="16"/>
              </w:rPr>
              <w:t>impossible request, missing data, policy conflict</w:t>
            </w:r>
          </w:p>
        </w:tc>
        <w:tc>
          <w:tcPr>
            <w:tcW w:w="3230" w:type="dxa"/>
            <w:tcMar>
              <w:top w:w="70" w:type="dxa"/>
              <w:left w:w="100" w:type="dxa"/>
              <w:bottom w:w="70" w:type="dxa"/>
              <w:right w:w="100" w:type="dxa"/>
            </w:tcMar>
            <w:vAlign w:val="center"/>
          </w:tcPr>
          <w:p>
            <w:pPr>
              <w:spacing w:after="0" w:line="240" w:lineRule="auto"/>
              <w:jc w:val="left"/>
            </w:pPr>
            <w:r>
              <w:rPr>
                <w:rFonts w:eastAsia="Times New Roman"/>
                <w:sz w:val="16"/>
              </w:rPr>
              <w:t>unsafe guessing or fabricated completion</w:t>
            </w:r>
          </w:p>
        </w:tc>
      </w:tr>
    </w:tbl>
    <w:p>
      <w:pPr>
        <w:spacing w:after="40"/>
      </w:pPr>
    </w:p>
    <w:p>
      <w:pPr>
        <w:pStyle w:val="Heading2"/>
        <w:rPr>
          <w:color w:val="auto"/>
        </w:rPr>
      </w:pPr>
      <w:r>
        <w:rPr>
          <w:color w:val="auto"/>
        </w:rPr>
        <w:t>5.2 Leakage-resistant splits and perturbations</w:t>
      </w:r>
    </w:p>
    <w:p>
      <w:r>
        <w:t>Random prompt splits are insufficient because templates, place names, and code idioms can leak across partitions. Ge</w:t>
      </w:r>
      <w:r>
        <w:t xml:space="preserve">oNL2Workflow uses four held-out regimes: geographic holdout, in which regions in the test set are absent from training; operator-composition holdout, in which known operations occur in novel combinations; temporal holdout, in which later data versions are </w:t>
      </w:r>
      <w:r>
        <w:t>used only for testing; and domain holdout, in which an application such as coastal flooding is evaluated after training on other hazards. Robustness variants perturb CRS metadata, units, schema names, incomplete temporal ranges, unavailable data, and confl</w:t>
      </w:r>
      <w:r>
        <w:t>icting instructions.</w:t>
      </w:r>
    </w:p>
    <w:p>
      <w:r>
        <w:t>Ambiguous tasks are scored correct only if the system asks an information-bearing clarification or selects a documented default. Trap tasks are scored correct when the system identifies that the request cannot be satisfied with the aut</w:t>
      </w:r>
      <w:r>
        <w:t>horized data and tools. These cases prevent completion rate from becoming a proxy for quality.</w:t>
      </w:r>
    </w:p>
    <w:p>
      <w:pPr>
        <w:pStyle w:val="Heading1"/>
        <w:rPr>
          <w:color w:val="auto"/>
        </w:rPr>
      </w:pPr>
      <w:r>
        <w:rPr>
          <w:color w:val="auto"/>
        </w:rPr>
        <w:t>6 Experimental Protocol</w:t>
      </w:r>
    </w:p>
    <w:p>
      <w:pPr>
        <w:pStyle w:val="Heading2"/>
        <w:rPr>
          <w:color w:val="auto"/>
        </w:rPr>
      </w:pPr>
      <w:r>
        <w:rPr>
          <w:color w:val="auto"/>
        </w:rPr>
        <w:t>6.1 Systems and ablations</w:t>
      </w:r>
    </w:p>
    <w:p>
      <w:r>
        <w:t>All model identifiers, weights, inference parameters, prompts, retrieval indexes, and tool versions will be fro</w:t>
      </w:r>
      <w:r>
        <w:t>zen before the final evaluation. At least two open-weight model families and one strong hosted model will be tested under identical tool permissions. The following systems isolate the contribution of each architectural component.</w:t>
      </w:r>
    </w:p>
    <w:p>
      <w:pPr>
        <w:pStyle w:val="ListBullet"/>
      </w:pPr>
      <w:r>
        <w:t>B0 - direct natural-langua</w:t>
      </w:r>
      <w:r>
        <w:t>ge-to-code generation without retrieval or tools.</w:t>
      </w:r>
    </w:p>
    <w:p>
      <w:pPr>
        <w:pStyle w:val="ListBullet"/>
      </w:pPr>
      <w:r>
        <w:t>B1 - retrieval-augmented code generation using GIS documentation.</w:t>
      </w:r>
    </w:p>
    <w:p>
      <w:pPr>
        <w:pStyle w:val="ListBullet"/>
      </w:pPr>
      <w:r>
        <w:t>B2 - unconstrained tool-calling agent with runtime feedback.</w:t>
      </w:r>
    </w:p>
    <w:p>
      <w:pPr>
        <w:pStyle w:val="ListBullet"/>
      </w:pPr>
      <w:r>
        <w:t>B3 - GeoPlan-IR without the spatial knowledge graph.</w:t>
      </w:r>
    </w:p>
    <w:p>
      <w:pPr>
        <w:pStyle w:val="ListBullet"/>
      </w:pPr>
      <w:r>
        <w:t xml:space="preserve">B4 - GeoPlan-IR plus </w:t>
      </w:r>
      <w:r>
        <w:t>knowledge-graph grounding but without verification.</w:t>
      </w:r>
    </w:p>
    <w:p>
      <w:pPr>
        <w:pStyle w:val="ListBullet"/>
      </w:pPr>
      <w:r>
        <w:t>P - full GeoPlan with grounding, static checks, sandbox execution, result verification, and bounded repair.</w:t>
      </w:r>
    </w:p>
    <w:p>
      <w:r>
        <w:t>Ablations remove CRS checks, temporal checks, provenance, predictive leakage rules, or result in</w:t>
      </w:r>
      <w:r>
        <w:t>variants one at a time. This design tests whether the framework improves scientific validity rather than merely adding orchestration overhead. Each stochastic configuration is repeated with prespecified seeds; tasks are executed in fresh containers to prev</w:t>
      </w:r>
      <w:r>
        <w:t>ent state leakage.</w:t>
      </w:r>
    </w:p>
    <w:p>
      <w:r>
        <w:br w:type="page"/>
      </w:r>
    </w:p>
    <w:p>
      <w:pPr>
        <w:pStyle w:val="Heading2"/>
        <w:rPr>
          <w:color w:val="auto"/>
        </w:rPr>
      </w:pPr>
      <w:r>
        <w:rPr>
          <w:color w:val="auto"/>
        </w:rPr>
        <w:lastRenderedPageBreak/>
        <w:t>6.2 Metrics</w:t>
      </w:r>
    </w:p>
    <w:p>
      <w:pPr>
        <w:pStyle w:val="Caption"/>
        <w:keepNext/>
        <w:jc w:val="center"/>
        <w:rPr>
          <w:color w:val="auto"/>
        </w:rPr>
      </w:pPr>
      <w:r>
        <w:rPr>
          <w:rFonts w:eastAsia="Times New Roman"/>
          <w:color w:val="auto"/>
        </w:rPr>
        <w:t>Table 4. Evaluation dimensions and operational definitions.</w:t>
      </w:r>
    </w:p>
    <w:tbl>
      <w:tblPr>
        <w:tblStyle w:val="TableGrid"/>
        <w:tblW w:w="9030" w:type="dxa"/>
        <w:tblInd w:w="100" w:type="dxa"/>
        <w:tblBorders>
          <w:top w:val="single" w:sz="4" w:space="0" w:color="9AA7B2"/>
          <w:left w:val="single" w:sz="4" w:space="0" w:color="9AA7B2"/>
          <w:bottom w:val="single" w:sz="4" w:space="0" w:color="9AA7B2"/>
          <w:right w:val="single" w:sz="4" w:space="0" w:color="9AA7B2"/>
          <w:insideH w:val="single" w:sz="4" w:space="0" w:color="9AA7B2"/>
          <w:insideV w:val="single" w:sz="4" w:space="0" w:color="9AA7B2"/>
        </w:tblBorders>
        <w:tblLayout w:type="fixed"/>
        <w:tblLook w:val="04A0" w:firstRow="1" w:lastRow="0" w:firstColumn="1" w:lastColumn="0" w:noHBand="0" w:noVBand="1"/>
      </w:tblPr>
      <w:tblGrid>
        <w:gridCol w:w="1500"/>
        <w:gridCol w:w="2200"/>
        <w:gridCol w:w="5330"/>
      </w:tblGrid>
      <w:tr>
        <w:trPr>
          <w:tblHeader/>
        </w:trPr>
        <w:tc>
          <w:tcPr>
            <w:tcW w:w="15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Dimension</w:t>
            </w:r>
          </w:p>
        </w:tc>
        <w:tc>
          <w:tcPr>
            <w:tcW w:w="22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Metric</w:t>
            </w:r>
          </w:p>
        </w:tc>
        <w:tc>
          <w:tcPr>
            <w:tcW w:w="5330" w:type="dxa"/>
            <w:shd w:val="clear" w:color="auto" w:fill="E8EEF5"/>
            <w:tcMar>
              <w:top w:w="70" w:type="dxa"/>
              <w:left w:w="100" w:type="dxa"/>
              <w:bottom w:w="70" w:type="dxa"/>
              <w:right w:w="100" w:type="dxa"/>
            </w:tcMar>
            <w:vAlign w:val="center"/>
          </w:tcPr>
          <w:p>
            <w:pPr>
              <w:spacing w:after="0"/>
              <w:jc w:val="center"/>
            </w:pPr>
            <w:r>
              <w:rPr>
                <w:rFonts w:eastAsia="Times New Roman"/>
                <w:b/>
                <w:sz w:val="16"/>
              </w:rPr>
              <w:t>Operational definition</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Semantic</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Intent-slot F1</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Match of target, geography, time, constraint, output and decision purpose</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Plan</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Node/edge/parameter F1</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Graph match over acceptable gold workflows after canonicalization</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Typing</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Contract validity rate</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Plans passing CRS, unit, time, schema and model preconditions</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Execution</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Clean-run success</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 xml:space="preserve">Completion in a fresh sandbox without manual </w:t>
            </w:r>
            <w:r>
              <w:rPr>
                <w:rFonts w:eastAsia="Times New Roman"/>
                <w:sz w:val="16"/>
              </w:rPr>
              <w:t>code repair</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Result</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Spatial result agreement</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Geometry/raster/statistical equivalence within task-specific tolerance</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Robustness</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Appropriate response rate</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Clarify, abstain or recover under ambiguity, traps and perturbations</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Safety</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Unsafe execution rate</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Unauthorized data access, destructive command or unbounded resource request</w:t>
            </w:r>
          </w:p>
        </w:tc>
      </w:tr>
      <w:tr>
        <w:tc>
          <w:tcPr>
            <w:tcW w:w="1500" w:type="dxa"/>
            <w:tcMar>
              <w:top w:w="70" w:type="dxa"/>
              <w:left w:w="100" w:type="dxa"/>
              <w:bottom w:w="70" w:type="dxa"/>
              <w:right w:w="100" w:type="dxa"/>
            </w:tcMar>
            <w:vAlign w:val="center"/>
          </w:tcPr>
          <w:p>
            <w:pPr>
              <w:spacing w:after="0" w:line="240" w:lineRule="auto"/>
              <w:jc w:val="center"/>
            </w:pPr>
            <w:r>
              <w:rPr>
                <w:rFonts w:eastAsia="Times New Roman"/>
                <w:sz w:val="16"/>
              </w:rPr>
              <w:t>Efficiency</w:t>
            </w:r>
          </w:p>
        </w:tc>
        <w:tc>
          <w:tcPr>
            <w:tcW w:w="2200" w:type="dxa"/>
            <w:tcMar>
              <w:top w:w="70" w:type="dxa"/>
              <w:left w:w="100" w:type="dxa"/>
              <w:bottom w:w="70" w:type="dxa"/>
              <w:right w:w="100" w:type="dxa"/>
            </w:tcMar>
            <w:vAlign w:val="center"/>
          </w:tcPr>
          <w:p>
            <w:pPr>
              <w:spacing w:after="0" w:line="240" w:lineRule="auto"/>
              <w:jc w:val="left"/>
            </w:pPr>
            <w:r>
              <w:rPr>
                <w:rFonts w:eastAsia="Times New Roman"/>
                <w:sz w:val="16"/>
              </w:rPr>
              <w:t>Latency, tokens, CPU/GPU-hours</w:t>
            </w:r>
          </w:p>
        </w:tc>
        <w:tc>
          <w:tcPr>
            <w:tcW w:w="5330" w:type="dxa"/>
            <w:tcMar>
              <w:top w:w="70" w:type="dxa"/>
              <w:left w:w="100" w:type="dxa"/>
              <w:bottom w:w="70" w:type="dxa"/>
              <w:right w:w="100" w:type="dxa"/>
            </w:tcMar>
            <w:vAlign w:val="center"/>
          </w:tcPr>
          <w:p>
            <w:pPr>
              <w:spacing w:after="0" w:line="240" w:lineRule="auto"/>
              <w:jc w:val="left"/>
            </w:pPr>
            <w:r>
              <w:rPr>
                <w:rFonts w:eastAsia="Times New Roman"/>
                <w:sz w:val="16"/>
              </w:rPr>
              <w:t>Median and tail resource consumption per valid task</w:t>
            </w:r>
          </w:p>
        </w:tc>
      </w:tr>
    </w:tbl>
    <w:p>
      <w:pPr>
        <w:spacing w:after="40"/>
      </w:pPr>
    </w:p>
    <w:p>
      <w:r>
        <w:t xml:space="preserve">The primary endpoint is end-to-end valid workflow generation: a task counts as </w:t>
      </w:r>
      <w:r>
        <w:t>successful only when semantic fidelity, contract validity, clean execution, and result agreement all pass. The prespecified target is at least 0.85 on held-out tasks with a two-sided 95% Wilson confidence interval. Secondary endpoints include each componen</w:t>
      </w:r>
      <w:r>
        <w:t>t metric, calibration error for predictive outputs, human correction time, and cost per valid task. The unsafe execution target is below 0.05, but any high-severity event is reported separately and cannot be averaged away.</w:t>
      </w:r>
    </w:p>
    <w:p>
      <w:pPr>
        <w:pStyle w:val="Heading2"/>
        <w:rPr>
          <w:color w:val="auto"/>
        </w:rPr>
      </w:pPr>
      <w:r>
        <w:rPr>
          <w:color w:val="auto"/>
        </w:rPr>
        <w:t>6.3 Statistical analysis and huma</w:t>
      </w:r>
      <w:r>
        <w:rPr>
          <w:color w:val="auto"/>
        </w:rPr>
        <w:t>n evaluation</w:t>
      </w:r>
    </w:p>
    <w:p>
      <w:r>
        <w:t>Paired system comparisons use task-level McNemar tests for binary success and paired bootstrap confidence intervals for continuous scores. Holm correction controls family-wise error across planned comparisons. Mixed-effects logistic regression</w:t>
      </w:r>
      <w:r>
        <w:t xml:space="preserve"> estimates the effects of architecture, model family, task depth, modality, and holdout regime while treating task as a random effect. Human experts evaluate a stratified blind sample for semantic adequacy, scientific defensibility, trace usefulness, and c</w:t>
      </w:r>
      <w:r>
        <w:t>orrection effort. Inter-rater agreement is reported with Krippendorff's alpha or an appropriate weighted coefficient.</w:t>
      </w:r>
    </w:p>
    <w:p>
      <w:r>
        <w:t>LLM-as-judge ratings, if used, are secondary and calibrated against experts; they never replace execution tests or spatial result comparis</w:t>
      </w:r>
      <w:r>
        <w:t>on. Error analysis assigns failures to interpretation, data discovery, planning, parameterization, code, execution environment, verification, or explanation. Reporting the distribution of failure types is necessary to distinguish model limits from infrastr</w:t>
      </w:r>
      <w:r>
        <w:t>ucture defects.</w:t>
      </w:r>
    </w:p>
    <w:p>
      <w:pPr>
        <w:pStyle w:val="Heading1"/>
        <w:rPr>
          <w:color w:val="auto"/>
        </w:rPr>
      </w:pPr>
      <w:r>
        <w:rPr>
          <w:color w:val="auto"/>
        </w:rPr>
        <w:t>7 Predictive Case Studies</w:t>
      </w:r>
    </w:p>
    <w:p>
      <w:pPr>
        <w:pStyle w:val="Heading2"/>
        <w:rPr>
          <w:color w:val="auto"/>
        </w:rPr>
      </w:pPr>
      <w:r>
        <w:rPr>
          <w:color w:val="auto"/>
        </w:rPr>
        <w:t>7.1 Compound-flood susceptibility under SSP2-4.5</w:t>
      </w:r>
    </w:p>
    <w:p>
      <w:r>
        <w:t xml:space="preserve">The first case study begins with the request: 'Identify coastal urban corridors with high compound-flood susceptibility in 2050 under SSP2-4.5, explain the dominant </w:t>
      </w:r>
      <w:r>
        <w:t>drivers, and produce an uncertainty-aware priority map.' The framework must clarify the study boundary, forecast window, definition of corridor, acceptable resolution, and decision use. Candidate data include Sentinel-1 flood observations, Sentinel-2 or La</w:t>
      </w:r>
      <w:r>
        <w:t>ndsat land cover, a digital elevation model, drainage and river networks, rainfall and reanalysis variables, tide or water-level records, urban exposure layers, and downscaled ScenarioMIP variables [20-23].</w:t>
      </w:r>
    </w:p>
    <w:p>
      <w:r>
        <w:t>A network of ESP32 edge nodes can contribute geor</w:t>
      </w:r>
      <w:r>
        <w:t xml:space="preserve">eferenced water level, rainfall, soil moisture, and local pressure. Each message includes sensor identifier, coordinates or station version, event timestamp, unit, calibration metadata, sequence number, and quality flags. Edge preprocessing performs range </w:t>
      </w:r>
      <w:r>
        <w:t>checks, timestamp normalization, simple filtering, and store-and-forward delivery. GeoPlan does not assume that sensor streams are ground truth: it creates explicit quality-control and spatial-fusion nodes and preserves raw-to-derived lineage.</w:t>
      </w:r>
    </w:p>
    <w:p>
      <w:r>
        <w:t>The gold pla</w:t>
      </w:r>
      <w:r>
        <w:t>n uses spatially blocked and temporally forward validation. Candidate predictive models may include gradient-boosted trees and spatiotemporal neural networks, but selection is based on a registered protocol rather than LLM preference. Evaluation reports di</w:t>
      </w:r>
      <w:r>
        <w:t>scrimination, calibration, spatial transfer, uncertainty coverage, and agreement of priority zones with an expert pipeline. Physical plausibility checks require susceptibility to respond consistently to water-level and rainfall perturbations within the mod</w:t>
      </w:r>
      <w:r>
        <w:t>el's stated domain.</w:t>
      </w:r>
    </w:p>
    <w:p>
      <w:pPr>
        <w:pStyle w:val="Heading2"/>
        <w:rPr>
          <w:color w:val="auto"/>
        </w:rPr>
      </w:pPr>
      <w:r>
        <w:rPr>
          <w:color w:val="auto"/>
        </w:rPr>
        <w:lastRenderedPageBreak/>
        <w:t>7.2 Land-use change prediction</w:t>
      </w:r>
    </w:p>
    <w:p>
      <w:r>
        <w:t>The second case study asks the system to predict land-use transitions and identify development pressure near transport corridors while respecting protected areas. Multitemporal Sentinel-2 or Landsat compos</w:t>
      </w:r>
      <w:r>
        <w:t>ites, existing land-cover products, road networks, planning zones, terrain, and settlement indicators are discovered through catalog constraints. The plan must distinguish land cover from land use, define the transition interval, harmonize legends, mask cl</w:t>
      </w:r>
      <w:r>
        <w:t>ouds, specify spatial resolution, and prevent the use of post-outcome covariates.</w:t>
      </w:r>
    </w:p>
    <w:p>
      <w:r>
        <w:t>Reference workflows include a transparent baseline and a stronger predictive model evaluated with geographic holdouts. Result agreement is measured for transition probabiliti</w:t>
      </w:r>
      <w:r>
        <w:t xml:space="preserve">es, class-specific area, hotspot overlap, and ranking of pressure zones. Because a policy map can influence real decisions, GeoPlan must expose protected-area exclusions, uncertain classifications, and the sensitivity of results to alternative development </w:t>
      </w:r>
      <w:r>
        <w:t>assumptions.</w:t>
      </w:r>
    </w:p>
    <w:p>
      <w:pPr>
        <w:pStyle w:val="Caption"/>
        <w:keepNext/>
        <w:jc w:val="center"/>
        <w:rPr>
          <w:color w:val="auto"/>
        </w:rPr>
      </w:pPr>
      <w:r>
        <w:rPr>
          <w:rFonts w:eastAsia="Times New Roman"/>
          <w:color w:val="auto"/>
        </w:rPr>
        <w:t>Table 5. Case-study outputs and verification emphasis.</w:t>
      </w:r>
    </w:p>
    <w:tbl>
      <w:tblPr>
        <w:tblStyle w:val="TableGrid"/>
        <w:tblW w:w="9030" w:type="dxa"/>
        <w:tblInd w:w="100" w:type="dxa"/>
        <w:tblBorders>
          <w:top w:val="single" w:sz="4" w:space="0" w:color="9AA7B2"/>
          <w:left w:val="single" w:sz="4" w:space="0" w:color="9AA7B2"/>
          <w:bottom w:val="single" w:sz="4" w:space="0" w:color="9AA7B2"/>
          <w:right w:val="single" w:sz="4" w:space="0" w:color="9AA7B2"/>
          <w:insideH w:val="single" w:sz="4" w:space="0" w:color="9AA7B2"/>
          <w:insideV w:val="single" w:sz="4" w:space="0" w:color="9AA7B2"/>
        </w:tblBorders>
        <w:tblLayout w:type="fixed"/>
        <w:tblLook w:val="04A0" w:firstRow="1" w:lastRow="0" w:firstColumn="1" w:lastColumn="0" w:noHBand="0" w:noVBand="1"/>
      </w:tblPr>
      <w:tblGrid>
        <w:gridCol w:w="1800"/>
        <w:gridCol w:w="3550"/>
        <w:gridCol w:w="3680"/>
      </w:tblGrid>
      <w:tr>
        <w:trPr>
          <w:tblHeader/>
        </w:trPr>
        <w:tc>
          <w:tcPr>
            <w:tcW w:w="1800" w:type="dxa"/>
            <w:shd w:val="clear" w:color="auto" w:fill="E8EEF5"/>
            <w:tcMar>
              <w:top w:w="70" w:type="dxa"/>
              <w:left w:w="100" w:type="dxa"/>
              <w:bottom w:w="70" w:type="dxa"/>
              <w:right w:w="100" w:type="dxa"/>
            </w:tcMar>
            <w:vAlign w:val="center"/>
          </w:tcPr>
          <w:p>
            <w:pPr>
              <w:spacing w:after="0"/>
              <w:jc w:val="center"/>
            </w:pPr>
            <w:r>
              <w:rPr>
                <w:rFonts w:eastAsia="Times New Roman"/>
                <w:b/>
                <w:sz w:val="16"/>
              </w:rPr>
              <w:t>Case</w:t>
            </w:r>
          </w:p>
        </w:tc>
        <w:tc>
          <w:tcPr>
            <w:tcW w:w="3550" w:type="dxa"/>
            <w:shd w:val="clear" w:color="auto" w:fill="E8EEF5"/>
            <w:tcMar>
              <w:top w:w="70" w:type="dxa"/>
              <w:left w:w="100" w:type="dxa"/>
              <w:bottom w:w="70" w:type="dxa"/>
              <w:right w:w="100" w:type="dxa"/>
            </w:tcMar>
            <w:vAlign w:val="center"/>
          </w:tcPr>
          <w:p>
            <w:pPr>
              <w:spacing w:after="0"/>
              <w:jc w:val="center"/>
            </w:pPr>
            <w:r>
              <w:rPr>
                <w:rFonts w:eastAsia="Times New Roman"/>
                <w:b/>
                <w:sz w:val="16"/>
              </w:rPr>
              <w:t>Required outputs</w:t>
            </w:r>
          </w:p>
        </w:tc>
        <w:tc>
          <w:tcPr>
            <w:tcW w:w="3680" w:type="dxa"/>
            <w:shd w:val="clear" w:color="auto" w:fill="E8EEF5"/>
            <w:tcMar>
              <w:top w:w="70" w:type="dxa"/>
              <w:left w:w="100" w:type="dxa"/>
              <w:bottom w:w="70" w:type="dxa"/>
              <w:right w:w="100" w:type="dxa"/>
            </w:tcMar>
            <w:vAlign w:val="center"/>
          </w:tcPr>
          <w:p>
            <w:pPr>
              <w:spacing w:after="0"/>
              <w:jc w:val="center"/>
            </w:pPr>
            <w:r>
              <w:rPr>
                <w:rFonts w:eastAsia="Times New Roman"/>
                <w:b/>
                <w:sz w:val="16"/>
              </w:rPr>
              <w:t>Critical verification</w:t>
            </w:r>
          </w:p>
        </w:tc>
      </w:tr>
      <w:tr>
        <w:tc>
          <w:tcPr>
            <w:tcW w:w="1800" w:type="dxa"/>
            <w:tcMar>
              <w:top w:w="70" w:type="dxa"/>
              <w:left w:w="100" w:type="dxa"/>
              <w:bottom w:w="70" w:type="dxa"/>
              <w:right w:w="100" w:type="dxa"/>
            </w:tcMar>
            <w:vAlign w:val="center"/>
          </w:tcPr>
          <w:p>
            <w:pPr>
              <w:spacing w:after="0" w:line="240" w:lineRule="auto"/>
              <w:jc w:val="center"/>
            </w:pPr>
            <w:r>
              <w:rPr>
                <w:rFonts w:eastAsia="Times New Roman"/>
                <w:sz w:val="16"/>
              </w:rPr>
              <w:t>Compound flooding</w:t>
            </w:r>
          </w:p>
        </w:tc>
        <w:tc>
          <w:tcPr>
            <w:tcW w:w="3550" w:type="dxa"/>
            <w:tcMar>
              <w:top w:w="70" w:type="dxa"/>
              <w:left w:w="100" w:type="dxa"/>
              <w:bottom w:w="70" w:type="dxa"/>
              <w:right w:w="100" w:type="dxa"/>
            </w:tcMar>
            <w:vAlign w:val="center"/>
          </w:tcPr>
          <w:p>
            <w:pPr>
              <w:spacing w:after="0" w:line="240" w:lineRule="auto"/>
              <w:jc w:val="left"/>
            </w:pPr>
            <w:r>
              <w:rPr>
                <w:rFonts w:eastAsia="Times New Roman"/>
                <w:sz w:val="16"/>
              </w:rPr>
              <w:t>susceptibility surface, drivers, uncertainty, priority corridors</w:t>
            </w:r>
          </w:p>
        </w:tc>
        <w:tc>
          <w:tcPr>
            <w:tcW w:w="3680" w:type="dxa"/>
            <w:tcMar>
              <w:top w:w="70" w:type="dxa"/>
              <w:left w:w="100" w:type="dxa"/>
              <w:bottom w:w="70" w:type="dxa"/>
              <w:right w:w="100" w:type="dxa"/>
            </w:tcMar>
            <w:vAlign w:val="center"/>
          </w:tcPr>
          <w:p>
            <w:pPr>
              <w:spacing w:after="0" w:line="240" w:lineRule="auto"/>
              <w:jc w:val="left"/>
            </w:pPr>
            <w:r>
              <w:rPr>
                <w:rFonts w:eastAsia="Times New Roman"/>
                <w:sz w:val="16"/>
              </w:rPr>
              <w:t xml:space="preserve">time/CRS alignment, sensor QC, leakage, calibration, </w:t>
            </w:r>
            <w:r>
              <w:rPr>
                <w:rFonts w:eastAsia="Times New Roman"/>
                <w:sz w:val="16"/>
              </w:rPr>
              <w:t>physical plausibility</w:t>
            </w:r>
          </w:p>
        </w:tc>
      </w:tr>
      <w:tr>
        <w:tc>
          <w:tcPr>
            <w:tcW w:w="1800" w:type="dxa"/>
            <w:tcMar>
              <w:top w:w="70" w:type="dxa"/>
              <w:left w:w="100" w:type="dxa"/>
              <w:bottom w:w="70" w:type="dxa"/>
              <w:right w:w="100" w:type="dxa"/>
            </w:tcMar>
            <w:vAlign w:val="center"/>
          </w:tcPr>
          <w:p>
            <w:pPr>
              <w:spacing w:after="0" w:line="240" w:lineRule="auto"/>
              <w:jc w:val="center"/>
            </w:pPr>
            <w:r>
              <w:rPr>
                <w:rFonts w:eastAsia="Times New Roman"/>
                <w:sz w:val="16"/>
              </w:rPr>
              <w:t>Land-use change</w:t>
            </w:r>
          </w:p>
        </w:tc>
        <w:tc>
          <w:tcPr>
            <w:tcW w:w="3550" w:type="dxa"/>
            <w:tcMar>
              <w:top w:w="70" w:type="dxa"/>
              <w:left w:w="100" w:type="dxa"/>
              <w:bottom w:w="70" w:type="dxa"/>
              <w:right w:w="100" w:type="dxa"/>
            </w:tcMar>
            <w:vAlign w:val="center"/>
          </w:tcPr>
          <w:p>
            <w:pPr>
              <w:spacing w:after="0" w:line="240" w:lineRule="auto"/>
              <w:jc w:val="left"/>
            </w:pPr>
            <w:r>
              <w:rPr>
                <w:rFonts w:eastAsia="Times New Roman"/>
                <w:sz w:val="16"/>
              </w:rPr>
              <w:t>transition probabilities, hotspots, scenario map, explanations</w:t>
            </w:r>
          </w:p>
        </w:tc>
        <w:tc>
          <w:tcPr>
            <w:tcW w:w="3680" w:type="dxa"/>
            <w:tcMar>
              <w:top w:w="70" w:type="dxa"/>
              <w:left w:w="100" w:type="dxa"/>
              <w:bottom w:w="70" w:type="dxa"/>
              <w:right w:w="100" w:type="dxa"/>
            </w:tcMar>
            <w:vAlign w:val="center"/>
          </w:tcPr>
          <w:p>
            <w:pPr>
              <w:spacing w:after="0" w:line="240" w:lineRule="auto"/>
              <w:jc w:val="left"/>
            </w:pPr>
            <w:r>
              <w:rPr>
                <w:rFonts w:eastAsia="Times New Roman"/>
                <w:sz w:val="16"/>
              </w:rPr>
              <w:t>legend harmonization, geographic holdout, protected-area policy, uncertainty</w:t>
            </w:r>
          </w:p>
        </w:tc>
      </w:tr>
    </w:tbl>
    <w:p>
      <w:pPr>
        <w:spacing w:after="40"/>
      </w:pPr>
    </w:p>
    <w:p>
      <w:pPr>
        <w:pStyle w:val="Heading1"/>
        <w:rPr>
          <w:color w:val="auto"/>
        </w:rPr>
      </w:pPr>
      <w:r>
        <w:rPr>
          <w:color w:val="auto"/>
        </w:rPr>
        <w:t>8 Discussion</w:t>
      </w:r>
    </w:p>
    <w:p>
      <w:pPr>
        <w:pStyle w:val="Heading2"/>
        <w:rPr>
          <w:color w:val="auto"/>
        </w:rPr>
      </w:pPr>
      <w:r>
        <w:rPr>
          <w:color w:val="auto"/>
        </w:rPr>
        <w:t xml:space="preserve">8.1 Why a typed compiler is more defensible than </w:t>
      </w:r>
      <w:r>
        <w:rPr>
          <w:color w:val="auto"/>
        </w:rPr>
        <w:t>prompt-to-code</w:t>
      </w:r>
    </w:p>
    <w:p>
      <w:r>
        <w:t>The scientific value of GeoPlan lies less in generating code than in making assumptions inspectable. Natural language is deliberately tolerant of vagueness, while spatial computation is not. A typed intermediate representation provides a neg</w:t>
      </w:r>
      <w:r>
        <w:t>otiation layer between the two: it preserves the accessibility of conversational interaction but requires machine-checkable commitments before an operation becomes executable. This approach also reduces dependence on a particular model or GIS platform. New</w:t>
      </w:r>
      <w:r>
        <w:t xml:space="preserve"> LLMs can be compared on plan generation, while new executors can be certified against the same operator contracts.</w:t>
      </w:r>
    </w:p>
    <w:p>
      <w:r>
        <w:t>The framework also reframes spatial reasoning. LLMs are useful for mapping goals to concepts, decomposing tasks, recognizing missing informa</w:t>
      </w:r>
      <w:r>
        <w:t>tion, retrieving procedures, and explaining outcomes. Exact geometry, raster algebra, optimization, and statistical estimation remain the responsibility of tested computational engines. This division of labor is consistent with evidence that LLM topologica</w:t>
      </w:r>
      <w:r>
        <w:t>l reasoning is imperfect [11] and avoids a category error in which linguistic confidence is mistaken for numerical validity.</w:t>
      </w:r>
    </w:p>
    <w:p>
      <w:pPr>
        <w:pStyle w:val="Heading2"/>
        <w:rPr>
          <w:color w:val="auto"/>
        </w:rPr>
      </w:pPr>
      <w:r>
        <w:rPr>
          <w:color w:val="auto"/>
        </w:rPr>
        <w:t>8.2 Human-centered automation and trust</w:t>
      </w:r>
    </w:p>
    <w:p>
      <w:r>
        <w:t>Democratization should not mean removing experts from consequential decisions. GeoPlan supp</w:t>
      </w:r>
      <w:r>
        <w:t>orts graded autonomy. Low-risk exploratory tasks may execute automatically after all checks pass. Medium-risk tasks require approval of assumptions and datasets. High-risk outputs, such as public flood warnings or regulatory zoning recommendations, require</w:t>
      </w:r>
      <w:r>
        <w:t xml:space="preserve"> expert review of the plan, uncertainty, and provenance. Trust is therefore attached to evidence and control points, not to anthropomorphic confidence.</w:t>
      </w:r>
    </w:p>
    <w:p>
      <w:r>
        <w:t>Natural-language accessibility can broaden interdisciplinary participation, particularly when hydrologis</w:t>
      </w:r>
      <w:r>
        <w:t>ts, planners, local authorities, and sensor engineers need to collaborate. However, accessible interfaces may also conceal data gaps and uneven geographic representation. The benchmark therefore includes low-resource geographies, incomplete metadata, multi</w:t>
      </w:r>
      <w:r>
        <w:t>lingual place references, and infrastructure constraints. Performance must be disaggregated by region and task type rather than reported as a single global average.</w:t>
      </w:r>
    </w:p>
    <w:p>
      <w:pPr>
        <w:pStyle w:val="Heading2"/>
        <w:rPr>
          <w:color w:val="auto"/>
        </w:rPr>
      </w:pPr>
      <w:r>
        <w:rPr>
          <w:color w:val="auto"/>
        </w:rPr>
        <w:t>8.3 Reproducibility, security, and sustainability</w:t>
      </w:r>
    </w:p>
    <w:p>
      <w:r>
        <w:t xml:space="preserve">Reproducibility requires more than </w:t>
      </w:r>
      <w:r>
        <w:t>publishing prompts. The complete execution bundle must identify data versions, spatial extents, model artifacts, library versions, random seeds, and verification outcomes. Security requires least-privilege execution, credential isolation, parameterized dat</w:t>
      </w:r>
      <w:r>
        <w:t>abase access, package allowlists, and protection against prompt injection embedded in metadata or documents. Sustainability is measured through cost and energy proxies so that marginal accuracy gains can be assessed against computational expense. Open-weig</w:t>
      </w:r>
      <w:r>
        <w:t>ht models and local execution can reduce dependence on external services, but they do not remove the need for versioning or governance.</w:t>
      </w:r>
    </w:p>
    <w:p>
      <w:pPr>
        <w:pStyle w:val="Heading1"/>
        <w:rPr>
          <w:color w:val="auto"/>
        </w:rPr>
      </w:pPr>
      <w:r>
        <w:rPr>
          <w:color w:val="auto"/>
        </w:rPr>
        <w:lastRenderedPageBreak/>
        <w:t>9 Limitations and Threats to Validity</w:t>
      </w:r>
    </w:p>
    <w:p>
      <w:r>
        <w:t xml:space="preserve">This manuscript specifies a framework and evaluation protocol; it does not report </w:t>
      </w:r>
      <w:r>
        <w:t xml:space="preserve">completed experiments. The 85% threshold is a prespecified target and must not be cited as achieved. A mature full-paper claim requires the benchmark release, executable prototype, baselines, ablations, confidence intervals, and reproducibility artifacts. </w:t>
      </w:r>
      <w:r>
        <w:t>Until those elements exist, the work is best classified as a framework, methods, or work-in-progress contribution.</w:t>
      </w:r>
    </w:p>
    <w:p>
      <w:r>
        <w:t xml:space="preserve">Construct validity is threatened by incomplete gold workflows and legitimate analytical alternatives. We mitigate this through multiple gold </w:t>
      </w:r>
      <w:r>
        <w:t>graphs, invariant-based result tests, and expert adjudication. External validity is limited if tasks, languages, or regions are narrow; geographic and domain holdouts address but cannot eliminate this concern. Internal validity may be affected by model upd</w:t>
      </w:r>
      <w:r>
        <w:t>ates, stochastic inference, tool-version changes, and contaminated benchmarks. Frozen artifacts, repeated trials, and temporal splits are therefore mandatory.</w:t>
      </w:r>
    </w:p>
    <w:p>
      <w:r>
        <w:t>Knowledge graphs can encode outdated or contested categories, and formal validation can create fa</w:t>
      </w:r>
      <w:r>
        <w:t xml:space="preserve">lse assurance when rules are incomplete. The system must record ontology and rule versions and allow domain experts to override them with justification. Predictive case studies also face non-stationarity under climate and land-use change. Scenario outputs </w:t>
      </w:r>
      <w:r>
        <w:t>are conditional estimates, not forecasts with guaranteed realization, and their uncertainty must be communicated accordingly.</w:t>
      </w:r>
    </w:p>
    <w:p>
      <w:pPr>
        <w:pStyle w:val="Heading1"/>
        <w:rPr>
          <w:color w:val="auto"/>
        </w:rPr>
      </w:pPr>
      <w:r>
        <w:rPr>
          <w:color w:val="auto"/>
        </w:rPr>
        <w:t>10 Conclusion</w:t>
      </w:r>
    </w:p>
    <w:p>
      <w:r>
        <w:t>GeoPlan bridges natural-language inquiry and predictive geocomputation through a typed, verifiable contract. Its cen</w:t>
      </w:r>
      <w:r>
        <w:t xml:space="preserve">tral premise is deliberately conservative: an LLM should translate intent, organize evidence, and compile a workflow, but exact spatial computation and predictive estimation should remain with deterministic, testable engines. GeoPlan-IR exposes coordinate </w:t>
      </w:r>
      <w:r>
        <w:t>systems, units, time, scale, data lineage, model assumptions, uncertainty, and acceptance constraints before execution. Layered verification and human escalation convert these declarations into enforceable controls.</w:t>
      </w:r>
    </w:p>
    <w:p>
      <w:r>
        <w:t xml:space="preserve">The proposed benchmark and case studies </w:t>
      </w:r>
      <w:r>
        <w:t>create a path from an attractive concept to falsifiable evidence. The next step is implementation and preregistered evaluation against direct code generation, retrieval-augmented generation, and unconstrained agents. A successful result would not be a chat</w:t>
      </w:r>
      <w:r>
        <w:t>bot that produces convincing maps; it would be a system that consistently produces reproducible workflows, detects when it should not act, and supplies experts with the evidence needed to approve or reject its conclusions.</w:t>
      </w:r>
    </w:p>
    <w:p>
      <w:pPr>
        <w:pStyle w:val="Heading1"/>
        <w:rPr>
          <w:color w:val="auto"/>
        </w:rPr>
      </w:pPr>
      <w:r>
        <w:rPr>
          <w:color w:val="auto"/>
        </w:rPr>
        <w:t>Declarations</w:t>
      </w:r>
    </w:p>
    <w:p>
      <w:r>
        <w:rPr>
          <w:rFonts w:eastAsia="Times New Roman"/>
          <w:b/>
        </w:rPr>
        <w:t>Data and code availa</w:t>
      </w:r>
      <w:r>
        <w:rPr>
          <w:rFonts w:eastAsia="Times New Roman"/>
          <w:b/>
        </w:rPr>
        <w:t xml:space="preserve">bility. </w:t>
      </w:r>
      <w:r>
        <w:rPr>
          <w:rFonts w:eastAsia="Times New Roman"/>
        </w:rPr>
        <w:t>The benchmark, schemas, reference workflows, and prototype are planned for public release with persistent identifiers after empirical validation. No new empirical dataset is claimed in this framework manuscript.</w:t>
      </w:r>
    </w:p>
    <w:p>
      <w:r>
        <w:rPr>
          <w:rFonts w:eastAsia="Times New Roman"/>
          <w:b/>
        </w:rPr>
        <w:t xml:space="preserve">Competing interests. </w:t>
      </w:r>
      <w:r>
        <w:rPr>
          <w:rFonts w:eastAsia="Times New Roman"/>
        </w:rPr>
        <w:t>The author decl</w:t>
      </w:r>
      <w:r>
        <w:rPr>
          <w:rFonts w:eastAsia="Times New Roman"/>
        </w:rPr>
        <w:t>ares no competing interests.</w:t>
      </w:r>
    </w:p>
    <w:p>
      <w:r>
        <w:rPr>
          <w:rFonts w:eastAsia="Times New Roman"/>
          <w:b/>
        </w:rPr>
        <w:t xml:space="preserve">Use of generative AI. </w:t>
      </w:r>
      <w:r>
        <w:rPr>
          <w:rFonts w:eastAsia="Times New Roman"/>
        </w:rPr>
        <w:t>Generative AI assisted language editing and document preparation. The author remains responsible for the research design, factual verification, experiments, code, data, and final manuscript.</w:t>
      </w:r>
    </w:p>
    <w:p>
      <w:pPr>
        <w:pStyle w:val="Heading1"/>
        <w:rPr>
          <w:color w:val="auto"/>
        </w:rPr>
      </w:pPr>
      <w:r>
        <w:rPr>
          <w:color w:val="auto"/>
        </w:rPr>
        <w:t>References</w:t>
      </w:r>
    </w:p>
    <w:p>
      <w:pPr>
        <w:pStyle w:val="ListNumber"/>
        <w:spacing w:after="40"/>
        <w:ind w:hanging="255"/>
      </w:pPr>
      <w:r>
        <w:rPr>
          <w:rFonts w:eastAsia="Times New Roman"/>
          <w:sz w:val="17"/>
        </w:rPr>
        <w:t>Goo</w:t>
      </w:r>
      <w:r>
        <w:rPr>
          <w:rFonts w:eastAsia="Times New Roman"/>
          <w:sz w:val="17"/>
        </w:rPr>
        <w:t>dchild, M.F.: Geographical information science. International Journal of Geographical Information Systems 6(1), 31-45 (1992). https://doi.org/10.1080/02693799208901893</w:t>
      </w:r>
    </w:p>
    <w:p>
      <w:pPr>
        <w:pStyle w:val="ListNumber"/>
        <w:spacing w:after="40"/>
        <w:ind w:hanging="255"/>
      </w:pPr>
      <w:r>
        <w:rPr>
          <w:rFonts w:eastAsia="Times New Roman"/>
          <w:sz w:val="17"/>
        </w:rPr>
        <w:t>Miller, H.J., Goodchild, M.F.: Data-driven geography. GeoJournal 80, 449-461 (2015). htt</w:t>
      </w:r>
      <w:r>
        <w:rPr>
          <w:rFonts w:eastAsia="Times New Roman"/>
          <w:sz w:val="17"/>
        </w:rPr>
        <w:t>ps://doi.org/10.1007/s10708-014-9602-6</w:t>
      </w:r>
    </w:p>
    <w:p>
      <w:pPr>
        <w:pStyle w:val="ListNumber"/>
        <w:spacing w:after="40"/>
        <w:ind w:hanging="255"/>
      </w:pPr>
      <w:r>
        <w:rPr>
          <w:rFonts w:eastAsia="Times New Roman"/>
          <w:sz w:val="17"/>
        </w:rPr>
        <w:t>Li, Z., Ning, H.: Autonomous GIS: the next-generation AI-powered GIS. International Journal of Digital Earth 16(2), 4668-4686 (2023). https://doi.org/10.1080/17538947.2023.2278895</w:t>
      </w:r>
    </w:p>
    <w:p>
      <w:pPr>
        <w:pStyle w:val="ListNumber"/>
        <w:spacing w:after="40"/>
        <w:ind w:hanging="255"/>
      </w:pPr>
      <w:r>
        <w:rPr>
          <w:rFonts w:eastAsia="Times New Roman"/>
          <w:sz w:val="17"/>
        </w:rPr>
        <w:t>Zhang, Y., Wei, C., Wu, S., He, Z., Y</w:t>
      </w:r>
      <w:r>
        <w:rPr>
          <w:rFonts w:eastAsia="Times New Roman"/>
          <w:sz w:val="17"/>
        </w:rPr>
        <w:t>u, W.: GeoGPT: Understanding and processing geospatial tasks through an autonomous GPT. arXiv:2307.07930 (2023).</w:t>
      </w:r>
    </w:p>
    <w:p>
      <w:pPr>
        <w:pStyle w:val="ListNumber"/>
        <w:spacing w:after="40"/>
        <w:ind w:hanging="255"/>
      </w:pPr>
      <w:r>
        <w:rPr>
          <w:rFonts w:eastAsia="Times New Roman"/>
          <w:sz w:val="17"/>
        </w:rPr>
        <w:t>Akinboyewa, T., Li, Z., Ning, H., Lessani, M.N.: GIS Copilot: Towards an autonomous GIS agent for spatial analysis. arXiv:2411.03205 (2024).</w:t>
      </w:r>
    </w:p>
    <w:p>
      <w:pPr>
        <w:pStyle w:val="ListNumber"/>
        <w:spacing w:after="40"/>
        <w:ind w:hanging="255"/>
      </w:pPr>
      <w:r>
        <w:rPr>
          <w:rFonts w:eastAsia="Times New Roman"/>
          <w:sz w:val="17"/>
        </w:rPr>
        <w:t>Ma</w:t>
      </w:r>
      <w:r>
        <w:rPr>
          <w:rFonts w:eastAsia="Times New Roman"/>
          <w:sz w:val="17"/>
        </w:rPr>
        <w:t>nsourian, A., Oucheikh, R.: Bridging natural language and GIS: a multi-agent framework for LLM-driven autonomous geospatial analysis. International Journal of Digital Earth 19(1), 2633849 (2026). https://doi.org/10.1080/17538947.2026.2633849</w:t>
      </w:r>
    </w:p>
    <w:p>
      <w:pPr>
        <w:pStyle w:val="ListNumber"/>
        <w:spacing w:after="40"/>
        <w:ind w:hanging="255"/>
      </w:pPr>
      <w:r>
        <w:rPr>
          <w:rFonts w:eastAsia="Times New Roman"/>
          <w:sz w:val="17"/>
        </w:rPr>
        <w:t>Zhang, Q., Gao</w:t>
      </w:r>
      <w:r>
        <w:rPr>
          <w:rFonts w:eastAsia="Times New Roman"/>
          <w:sz w:val="17"/>
        </w:rPr>
        <w:t>, S., Wei, C., Zhao, Y., Nie, Y., Chen, Z., Chen, S., Su, Y., Sun, H.: GeoAnalystBench: A GeoAI benchmark for assessing large language models for spatial analysis workflow and code generation. Transactions in GIS 29(7), e70135 (2025). https://doi.org/10.11</w:t>
      </w:r>
      <w:r>
        <w:rPr>
          <w:rFonts w:eastAsia="Times New Roman"/>
          <w:sz w:val="17"/>
        </w:rPr>
        <w:t>11/tgis.70135</w:t>
      </w:r>
    </w:p>
    <w:p>
      <w:pPr>
        <w:pStyle w:val="ListNumber"/>
        <w:spacing w:after="40"/>
        <w:ind w:hanging="255"/>
      </w:pPr>
      <w:r>
        <w:rPr>
          <w:rFonts w:eastAsia="Times New Roman"/>
          <w:sz w:val="17"/>
        </w:rPr>
        <w:lastRenderedPageBreak/>
        <w:t>Iyer, M., Kirana, A.P., de By, R.A., Farnaghi, M.: Bench4GeoCode: A benchmark for natural language to geospatial code generation. 1st International Workshop on Geography According to Foundation Models (2026). https://doi.org/10.5281/zenodo.20</w:t>
      </w:r>
      <w:r>
        <w:rPr>
          <w:rFonts w:eastAsia="Times New Roman"/>
          <w:sz w:val="17"/>
        </w:rPr>
        <w:t>645018</w:t>
      </w:r>
    </w:p>
    <w:p>
      <w:pPr>
        <w:pStyle w:val="ListNumber"/>
        <w:spacing w:after="40"/>
        <w:ind w:hanging="255"/>
      </w:pPr>
      <w:r>
        <w:rPr>
          <w:rFonts w:eastAsia="Times New Roman"/>
          <w:sz w:val="17"/>
        </w:rPr>
        <w:t>Li, Z., et al.: A research agenda towards autonomous GIS. arXiv:2503.23633 (2025).</w:t>
      </w:r>
    </w:p>
    <w:p>
      <w:pPr>
        <w:pStyle w:val="ListNumber"/>
        <w:spacing w:after="40"/>
        <w:ind w:hanging="255"/>
      </w:pPr>
      <w:r>
        <w:rPr>
          <w:rFonts w:eastAsia="Times New Roman"/>
          <w:sz w:val="17"/>
        </w:rPr>
        <w:t>Han, J., Lee, J., Shim, Y., Kim, J., Lee, J.-J.: GISclaw: An open-source LLM-powered agent system for full-stack geospatial analysis. arXiv:2603.26845 (2026).</w:t>
      </w:r>
    </w:p>
    <w:p>
      <w:pPr>
        <w:pStyle w:val="ListNumber"/>
        <w:spacing w:after="40"/>
        <w:ind w:hanging="255"/>
      </w:pPr>
      <w:r>
        <w:rPr>
          <w:rFonts w:eastAsia="Times New Roman"/>
          <w:sz w:val="17"/>
        </w:rPr>
        <w:t>Ji, Y.,</w:t>
      </w:r>
      <w:r>
        <w:rPr>
          <w:rFonts w:eastAsia="Times New Roman"/>
          <w:sz w:val="17"/>
        </w:rPr>
        <w:t xml:space="preserve"> Gao, S., Nie, Y., Majic, I., Janowicz, K.: Foundation models for geospatial reasoning: Assessing the capabilities of large language models in understanding geometries and topological spatial relations. arXiv:2505.17136 (2025).</w:t>
      </w:r>
    </w:p>
    <w:p>
      <w:pPr>
        <w:pStyle w:val="ListNumber"/>
        <w:spacing w:after="40"/>
        <w:ind w:hanging="255"/>
      </w:pPr>
      <w:r>
        <w:rPr>
          <w:rFonts w:eastAsia="Times New Roman"/>
          <w:sz w:val="17"/>
        </w:rPr>
        <w:t xml:space="preserve">Open Geospatial Consortium: </w:t>
      </w:r>
      <w:r>
        <w:rPr>
          <w:rFonts w:eastAsia="Times New Roman"/>
          <w:sz w:val="17"/>
        </w:rPr>
        <w:t>OGC GeoSPARQL 1.1 Standard, OGC 22-047r1 (2024). https://docs.ogc.org/is/22-047r1/22-047r1.html</w:t>
      </w:r>
    </w:p>
    <w:p>
      <w:pPr>
        <w:pStyle w:val="ListNumber"/>
        <w:spacing w:after="40"/>
        <w:ind w:hanging="255"/>
      </w:pPr>
      <w:r>
        <w:rPr>
          <w:rFonts w:eastAsia="Times New Roman"/>
          <w:sz w:val="17"/>
        </w:rPr>
        <w:t>Car, N.J., Homburg, T.: GeoSPARQL 1.1: Motivations, details and applications of the decadal update to the most important geospatial LOD standard. ISPRS Internat</w:t>
      </w:r>
      <w:r>
        <w:rPr>
          <w:rFonts w:eastAsia="Times New Roman"/>
          <w:sz w:val="17"/>
        </w:rPr>
        <w:t>ional Journal of Geo-Information 11(2), 117 (2022). https://doi.org/10.3390/ijgi11020117</w:t>
      </w:r>
    </w:p>
    <w:p>
      <w:pPr>
        <w:pStyle w:val="ListNumber"/>
        <w:spacing w:after="40"/>
        <w:ind w:hanging="255"/>
      </w:pPr>
      <w:r>
        <w:rPr>
          <w:rFonts w:eastAsia="Times New Roman"/>
          <w:sz w:val="17"/>
        </w:rPr>
        <w:t>SpatioTemporal Asset Catalog: STAC Specification (2026). https://stacspec.org/</w:t>
      </w:r>
    </w:p>
    <w:p>
      <w:pPr>
        <w:pStyle w:val="ListNumber"/>
        <w:spacing w:after="40"/>
        <w:ind w:hanging="255"/>
      </w:pPr>
      <w:r>
        <w:rPr>
          <w:rFonts w:eastAsia="Times New Roman"/>
          <w:sz w:val="17"/>
        </w:rPr>
        <w:t>Lebo, T., Sahoo, S., McGuinness, D.: PROV-O: The PROV Ontology. W3C Recommendation (2013</w:t>
      </w:r>
      <w:r>
        <w:rPr>
          <w:rFonts w:eastAsia="Times New Roman"/>
          <w:sz w:val="17"/>
        </w:rPr>
        <w:t>). https://www.w3.org/TR/prov-o/</w:t>
      </w:r>
    </w:p>
    <w:p>
      <w:pPr>
        <w:pStyle w:val="ListNumber"/>
        <w:spacing w:after="40"/>
        <w:ind w:hanging="255"/>
      </w:pPr>
      <w:r>
        <w:rPr>
          <w:rFonts w:eastAsia="Times New Roman"/>
          <w:sz w:val="17"/>
        </w:rPr>
        <w:t>Knublauch, H., Kontokostas, D.: Shapes Constraint Language (SHACL). W3C Recommendation (2017). https://www.w3.org/TR/shacl/</w:t>
      </w:r>
    </w:p>
    <w:p>
      <w:pPr>
        <w:pStyle w:val="ListNumber"/>
        <w:spacing w:after="40"/>
        <w:ind w:hanging="255"/>
      </w:pPr>
      <w:r>
        <w:rPr>
          <w:rFonts w:eastAsia="Times New Roman"/>
          <w:sz w:val="17"/>
        </w:rPr>
        <w:t xml:space="preserve">Yao, S., Zhao, J., Yu, D., Du, N., Shafran, I., Narasimhan, K., Cao, Y.: ReAct: Synergizing </w:t>
      </w:r>
      <w:r>
        <w:rPr>
          <w:rFonts w:eastAsia="Times New Roman"/>
          <w:sz w:val="17"/>
        </w:rPr>
        <w:t>reasoning and acting in language models. International Conference on Learning Representations (2023). https://openreview.net/forum?id=WE_vluYUL-X</w:t>
      </w:r>
    </w:p>
    <w:p>
      <w:pPr>
        <w:pStyle w:val="ListNumber"/>
        <w:spacing w:after="40"/>
        <w:ind w:hanging="255"/>
      </w:pPr>
      <w:r>
        <w:rPr>
          <w:rFonts w:eastAsia="Times New Roman"/>
          <w:sz w:val="17"/>
        </w:rPr>
        <w:t>Gorelick, N., Hancher, M., Dixon, M., Ilyushchenko, S., Thau, D., Moore, R.: Google Earth Engine: Planetary-sc</w:t>
      </w:r>
      <w:r>
        <w:rPr>
          <w:rFonts w:eastAsia="Times New Roman"/>
          <w:sz w:val="17"/>
        </w:rPr>
        <w:t>ale geospatial analysis for everyone. Remote Sensing of Environment 202, 18-27 (2017). https://doi.org/10.1016/j.rse.2017.06.031</w:t>
      </w:r>
    </w:p>
    <w:p>
      <w:pPr>
        <w:pStyle w:val="ListNumber"/>
        <w:spacing w:after="40"/>
        <w:ind w:hanging="255"/>
      </w:pPr>
      <w:r>
        <w:rPr>
          <w:rFonts w:eastAsia="Times New Roman"/>
          <w:sz w:val="17"/>
        </w:rPr>
        <w:t xml:space="preserve">Hoyer, S., Hamman, J.J.: xarray: N-D labeled arrays and datasets in Python. Journal of Open Research Software 5, 10 (2017). </w:t>
      </w:r>
      <w:r>
        <w:rPr>
          <w:rFonts w:eastAsia="Times New Roman"/>
          <w:sz w:val="17"/>
        </w:rPr>
        <w:t>https://doi.org/10.5334/jors.148</w:t>
      </w:r>
    </w:p>
    <w:p>
      <w:pPr>
        <w:pStyle w:val="ListNumber"/>
        <w:spacing w:after="40"/>
        <w:ind w:hanging="255"/>
      </w:pPr>
      <w:r>
        <w:rPr>
          <w:rFonts w:eastAsia="Times New Roman"/>
          <w:sz w:val="17"/>
        </w:rPr>
        <w:t>O'Neill, B.C., et al.: The Scenario Model Intercomparison Project (ScenarioMIP) for CMIP6. Geoscientific Model Development 9, 3461-3482 (2016). https://doi.org/10.5194/gmd-9-3461-2016</w:t>
      </w:r>
    </w:p>
    <w:p>
      <w:pPr>
        <w:pStyle w:val="ListNumber"/>
        <w:spacing w:after="40"/>
        <w:ind w:hanging="255"/>
      </w:pPr>
      <w:r>
        <w:rPr>
          <w:rFonts w:eastAsia="Times New Roman"/>
          <w:sz w:val="17"/>
        </w:rPr>
        <w:t>Tebaldi, C., et al.: Climate model proj</w:t>
      </w:r>
      <w:r>
        <w:rPr>
          <w:rFonts w:eastAsia="Times New Roman"/>
          <w:sz w:val="17"/>
        </w:rPr>
        <w:t>ections from the Scenario Model Intercomparison Project (ScenarioMIP) of CMIP6. Earth System Dynamics 12, 253-293 (2021). https://doi.org/10.5194/esd-12-253-2021</w:t>
      </w:r>
    </w:p>
    <w:p>
      <w:pPr>
        <w:pStyle w:val="ListNumber"/>
        <w:spacing w:after="40"/>
        <w:ind w:hanging="255"/>
      </w:pPr>
      <w:r>
        <w:rPr>
          <w:rFonts w:eastAsia="Times New Roman"/>
          <w:sz w:val="17"/>
        </w:rPr>
        <w:t>Green, J., et al.: A comprehensive review of compound flooding in coastal-estuarine regions. N</w:t>
      </w:r>
      <w:r>
        <w:rPr>
          <w:rFonts w:eastAsia="Times New Roman"/>
          <w:sz w:val="17"/>
        </w:rPr>
        <w:t>atural Hazards and Earth System Sciences 25, 747-816 (2025). https://doi.org/10.5194/nhess-25-747-2025</w:t>
      </w:r>
    </w:p>
    <w:p>
      <w:pPr>
        <w:pStyle w:val="ListNumber"/>
        <w:spacing w:after="40"/>
        <w:ind w:hanging="255"/>
      </w:pPr>
      <w:r>
        <w:rPr>
          <w:rFonts w:eastAsia="Times New Roman"/>
          <w:sz w:val="17"/>
        </w:rPr>
        <w:t>Meta AI: The Llama 3 Herd of Models. arXiv:2407.21783 (2024).</w:t>
      </w:r>
    </w:p>
    <w:p>
      <w:pPr>
        <w:pStyle w:val="ListNumber"/>
        <w:spacing w:after="40"/>
        <w:ind w:hanging="255"/>
      </w:pPr>
      <w:r>
        <w:rPr>
          <w:rFonts w:eastAsia="Times New Roman"/>
          <w:sz w:val="17"/>
        </w:rPr>
        <w:t>Jiang, A.Q., et al.: Mistral 7B. arXiv:2310.06825 (2023).</w:t>
      </w:r>
    </w:p>
    <w:sectPr>
      <w:footerReference w:type="default" r:id="rId9"/>
      <w:pgSz w:w="11906" w:h="16838"/>
      <w:pgMar w:top="1219" w:right="141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jc w:val="right"/>
    </w:pPr>
    <w:r>
      <w:rPr>
        <w:rFonts w:eastAsia="Times New Roman"/>
        <w:color w:val="666666"/>
        <w:sz w:val="16"/>
      </w:rPr>
      <w:fldChar w:fldCharType="begin"/>
    </w:r>
    <w:r>
      <w:rPr>
        <w:rFonts w:eastAsia="Times New Roman"/>
        <w:color w:val="666666"/>
        <w:sz w:val="16"/>
      </w:rPr>
      <w:instrText xml:space="preserve"> PAGE </w:instrText>
    </w:r>
    <w:r>
      <w:rPr>
        <w:rFonts w:eastAsia="Times New Roman"/>
        <w:color w:val="666666"/>
        <w:sz w:val="16"/>
      </w:rPr>
      <w:fldChar w:fldCharType="separate"/>
    </w:r>
    <w:r>
      <w:rPr>
        <w:rFonts w:eastAsia="Times New Roman"/>
        <w:noProof/>
        <w:color w:val="666666"/>
        <w:sz w:val="16"/>
      </w:rPr>
      <w:t>1</w:t>
    </w:r>
    <w:r>
      <w:rPr>
        <w:rFonts w:eastAsia="Times New Roman"/>
        <w:color w:val="666666"/>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73E09"/>
    <w:rsid w:val="009872C0"/>
    <w:rsid w:val="00AA1D8D"/>
    <w:rsid w:val="00B47730"/>
    <w:rsid w:val="00CB0664"/>
    <w:rsid w:val="00E24C73"/>
    <w:rsid w:val="00FB6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24FCA"/>
  <w14:defaultImageDpi w14:val="300"/>
  <w15:docId w15:val="{D5A84BE8-47AE-4414-B504-1443D4F6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369" w:hanging="19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ind w:left="369"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pPr>
    <w:rPr>
      <w:b/>
      <w:bCs/>
      <w:i/>
      <w:color w:val="33333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FDB68-7CAD-4719-A0C3-E140AAE0B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5752</Words>
  <Characters>32792</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From Natural Language to Verifiable GeoWorkflows</vt:lpstr>
    </vt:vector>
  </TitlesOfParts>
  <Manager/>
  <Company/>
  <LinksUpToDate>false</LinksUpToDate>
  <CharactersWithSpaces>38468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Natural Language to Verifiable GeoWorkflows</dc:title>
  <dc:subject>LLM orchestration for predictive geodata science</dc:subject>
  <dc:creator/>
  <cp:keywords>GeoAI; large language models; spatial reasoning; geocomputation; IoT</cp:keywords>
  <dc:description>generated by python-docx</dc:description>
  <cp:lastModifiedBy/>
  <cp:revision>2</cp:revision>
  <dcterms:created xsi:type="dcterms:W3CDTF">2026-08-03T03:33:00Z</dcterms:created>
  <dcterms:modified xsi:type="dcterms:W3CDTF">2026-08-03T03:33:00Z</dcterms:modified>
  <cp:category/>
</cp:coreProperties>
</file>