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EEBC34" w14:textId="77777777" w:rsidR="009B526F" w:rsidRDefault="009B526F" w:rsidP="009B526F">
      <w:pPr>
        <w:pStyle w:val="p1"/>
      </w:pPr>
      <w:r>
        <w:rPr>
          <w:rFonts w:ascii="PingFang TC" w:eastAsia="PingFang TC" w:hAnsi="PingFang TC" w:cs="PingFang TC" w:hint="eastAsia"/>
          <w:b/>
          <w:bCs/>
        </w:rPr>
        <w:t>全球资产配置：穿越周期的科学之道</w:t>
      </w:r>
    </w:p>
    <w:p w14:paraId="6EB7075B" w14:textId="77777777" w:rsidR="009B526F" w:rsidRDefault="009B526F" w:rsidP="009B526F">
      <w:pPr>
        <w:pStyle w:val="p2"/>
      </w:pPr>
    </w:p>
    <w:p w14:paraId="7EA2209F" w14:textId="77777777" w:rsidR="009B526F" w:rsidRDefault="009B526F" w:rsidP="009B526F">
      <w:pPr>
        <w:pStyle w:val="p3"/>
      </w:pPr>
      <w:r>
        <w:rPr>
          <w:rFonts w:ascii="PingFang TC" w:eastAsia="PingFang TC" w:hAnsi="PingFang TC" w:cs="PingFang TC" w:hint="eastAsia"/>
        </w:rPr>
        <w:t>在复</w:t>
      </w:r>
      <w:r>
        <w:rPr>
          <w:rFonts w:ascii="SimSun" w:eastAsia="SimSun" w:hAnsi="SimSun" w:cs="SimSun" w:hint="eastAsia"/>
        </w:rPr>
        <w:t>杂</w:t>
      </w:r>
      <w:r>
        <w:rPr>
          <w:rFonts w:ascii="PingFang TC" w:eastAsia="PingFang TC" w:hAnsi="PingFang TC" w:cs="PingFang TC" w:hint="eastAsia"/>
        </w:rPr>
        <w:t>多变的全球市场中，投资者往往面临诸多不可控的外部风险，比如经济周期的起伏、汇率的波动，以及地缘政治的不确定性。这些风险像是隐藏在市场中的暗流，稍不留神，就可能让投资组合遭遇</w:t>
      </w:r>
      <w:r>
        <w:t>“</w:t>
      </w:r>
      <w:r>
        <w:rPr>
          <w:rFonts w:ascii="PingFang TC" w:eastAsia="PingFang TC" w:hAnsi="PingFang TC" w:cs="PingFang TC" w:hint="eastAsia"/>
        </w:rPr>
        <w:t>风暴</w:t>
      </w:r>
      <w:r>
        <w:t>”</w:t>
      </w:r>
      <w:r>
        <w:rPr>
          <w:rFonts w:ascii="PingFang TC" w:eastAsia="PingFang TC" w:hAnsi="PingFang TC" w:cs="PingFang TC" w:hint="eastAsia"/>
        </w:rPr>
        <w:t>。</w:t>
      </w:r>
    </w:p>
    <w:p w14:paraId="2CCA69A0" w14:textId="77777777" w:rsidR="009B526F" w:rsidRDefault="009B526F" w:rsidP="009B526F">
      <w:pPr>
        <w:pStyle w:val="p2"/>
      </w:pPr>
    </w:p>
    <w:p w14:paraId="6C42EE52" w14:textId="77777777" w:rsidR="009B526F" w:rsidRDefault="009B526F" w:rsidP="009B526F">
      <w:pPr>
        <w:pStyle w:val="p3"/>
      </w:pPr>
      <w:r>
        <w:rPr>
          <w:rFonts w:ascii="PingFang TC" w:eastAsia="PingFang TC" w:hAnsi="PingFang TC" w:cs="PingFang TC" w:hint="eastAsia"/>
        </w:rPr>
        <w:t>如何应对这些不确定性，实现资产的</w:t>
      </w:r>
      <w:r>
        <w:rPr>
          <w:rFonts w:ascii="SimSun" w:eastAsia="SimSun" w:hAnsi="SimSun" w:cs="SimSun" w:hint="eastAsia"/>
        </w:rPr>
        <w:t>稳</w:t>
      </w:r>
      <w:r>
        <w:rPr>
          <w:rFonts w:ascii="PingFang TC" w:eastAsia="PingFang TC" w:hAnsi="PingFang TC" w:cs="PingFang TC" w:hint="eastAsia"/>
        </w:rPr>
        <w:t>健增长？</w:t>
      </w:r>
      <w:r>
        <w:rPr>
          <w:rFonts w:ascii="PingFang TC" w:eastAsia="PingFang TC" w:hAnsi="PingFang TC" w:cs="PingFang TC" w:hint="eastAsia"/>
          <w:b/>
          <w:bCs/>
        </w:rPr>
        <w:t>全球资产配置</w:t>
      </w:r>
      <w:r>
        <w:rPr>
          <w:rFonts w:ascii="PingFang TC" w:eastAsia="PingFang TC" w:hAnsi="PingFang TC" w:cs="PingFang TC" w:hint="eastAsia"/>
        </w:rPr>
        <w:t>提供了一个科学而有效的解决方案。它的核心在于，通过分散投资，不仅可以降低单一市场或资产的风险，还能够对冲经济周期、汇率波动和地缘政治等风险，为投资者的财富增长保驾护航。</w:t>
      </w:r>
    </w:p>
    <w:p w14:paraId="5EBDBFC4" w14:textId="77777777" w:rsidR="009B526F" w:rsidRDefault="009B526F" w:rsidP="009B526F">
      <w:pPr>
        <w:pStyle w:val="p4"/>
      </w:pPr>
    </w:p>
    <w:p w14:paraId="3072A556" w14:textId="77777777" w:rsidR="009B526F" w:rsidRDefault="009B526F" w:rsidP="009B526F">
      <w:pPr>
        <w:pStyle w:val="p1"/>
      </w:pPr>
      <w:r>
        <w:rPr>
          <w:rFonts w:ascii="PingFang TC" w:eastAsia="PingFang TC" w:hAnsi="PingFang TC" w:cs="PingFang TC" w:hint="eastAsia"/>
          <w:b/>
          <w:bCs/>
        </w:rPr>
        <w:t>资产配置的原理</w:t>
      </w:r>
    </w:p>
    <w:p w14:paraId="393D93A2" w14:textId="77777777" w:rsidR="009B526F" w:rsidRDefault="009B526F" w:rsidP="009B526F">
      <w:pPr>
        <w:pStyle w:val="p2"/>
      </w:pPr>
    </w:p>
    <w:p w14:paraId="0A557AF5" w14:textId="77777777" w:rsidR="009B526F" w:rsidRDefault="009B526F" w:rsidP="009B526F">
      <w:pPr>
        <w:pStyle w:val="p3"/>
      </w:pPr>
      <w:r>
        <w:rPr>
          <w:rFonts w:ascii="PingFang TC" w:eastAsia="PingFang TC" w:hAnsi="PingFang TC" w:cs="PingFang TC" w:hint="eastAsia"/>
        </w:rPr>
        <w:t>资产配置之所以能够帮助投资者对冲风险，源于它依托了一些核心投资理论，比如</w:t>
      </w:r>
      <w:r>
        <w:rPr>
          <w:rFonts w:ascii="PingFang TC" w:eastAsia="PingFang TC" w:hAnsi="PingFang TC" w:cs="PingFang TC" w:hint="eastAsia"/>
          <w:b/>
          <w:bCs/>
        </w:rPr>
        <w:t>现代投资组合理论（</w:t>
      </w:r>
      <w:r>
        <w:rPr>
          <w:b/>
          <w:bCs/>
        </w:rPr>
        <w:t>MPT</w:t>
      </w:r>
      <w:r>
        <w:rPr>
          <w:rFonts w:ascii="PingFang TC" w:eastAsia="PingFang TC" w:hAnsi="PingFang TC" w:cs="PingFang TC" w:hint="eastAsia"/>
          <w:b/>
          <w:bCs/>
        </w:rPr>
        <w:t>）和有效前沿理论</w:t>
      </w:r>
      <w:r>
        <w:rPr>
          <w:rFonts w:ascii="PingFang TC" w:eastAsia="PingFang TC" w:hAnsi="PingFang TC" w:cs="PingFang TC" w:hint="eastAsia"/>
        </w:rPr>
        <w:t>。这些理论的共同逻辑是：通过在不同资产类别和市场间合理分散投资，可以优化风险与收益的关系，实现收益最大化与风险最小化的平衡。</w:t>
      </w:r>
    </w:p>
    <w:p w14:paraId="0C5AB8F6" w14:textId="77777777" w:rsidR="009B526F" w:rsidRDefault="009B526F" w:rsidP="009B526F">
      <w:pPr>
        <w:pStyle w:val="p2"/>
      </w:pPr>
    </w:p>
    <w:p w14:paraId="0F767270" w14:textId="77777777" w:rsidR="009B526F" w:rsidRDefault="009B526F" w:rsidP="009B526F">
      <w:pPr>
        <w:pStyle w:val="p5"/>
      </w:pPr>
      <w:r>
        <w:rPr>
          <w:b/>
          <w:bCs/>
        </w:rPr>
        <w:t xml:space="preserve">1. </w:t>
      </w:r>
      <w:r>
        <w:rPr>
          <w:rFonts w:ascii="PingFang TC" w:eastAsia="PingFang TC" w:hAnsi="PingFang TC" w:cs="PingFang TC" w:hint="eastAsia"/>
          <w:b/>
          <w:bCs/>
        </w:rPr>
        <w:t>对冲经济周期的异步性</w:t>
      </w:r>
    </w:p>
    <w:p w14:paraId="4E10E796" w14:textId="77777777" w:rsidR="009B526F" w:rsidRDefault="009B526F" w:rsidP="009B526F">
      <w:pPr>
        <w:pStyle w:val="p2"/>
      </w:pPr>
    </w:p>
    <w:p w14:paraId="79914878" w14:textId="77777777" w:rsidR="009B526F" w:rsidRDefault="009B526F" w:rsidP="009B526F">
      <w:pPr>
        <w:pStyle w:val="p3"/>
        <w:rPr>
          <w:rFonts w:ascii="PingFang TC" w:eastAsia="PingFang TC" w:hAnsi="PingFang TC" w:cs="PingFang TC"/>
        </w:rPr>
      </w:pPr>
      <w:r>
        <w:rPr>
          <w:rFonts w:ascii="PingFang TC" w:eastAsia="PingFang TC" w:hAnsi="PingFang TC" w:cs="PingFang TC" w:hint="eastAsia"/>
        </w:rPr>
        <w:t>经济周期的变化往往因地而异，不同经济体的增长驱动因素、产业结构和政策环境存在差异，这种周期的异步性为全球资产配置创造了</w:t>
      </w:r>
      <w:r>
        <w:t>“</w:t>
      </w:r>
      <w:r>
        <w:rPr>
          <w:rFonts w:ascii="PingFang TC" w:eastAsia="PingFang TC" w:hAnsi="PingFang TC" w:cs="PingFang TC" w:hint="eastAsia"/>
        </w:rPr>
        <w:t>互补</w:t>
      </w:r>
      <w:r>
        <w:t>”</w:t>
      </w:r>
      <w:r>
        <w:rPr>
          <w:rFonts w:ascii="PingFang TC" w:eastAsia="PingFang TC" w:hAnsi="PingFang TC" w:cs="PingFang TC" w:hint="eastAsia"/>
        </w:rPr>
        <w:t>效应。例如，当某些经济体处于增长阶段时，另一些经济体可能正处于调整阶段。通过跨市场配置，投资者可以降低单一市场的经济周期波动对资产组合的影响。</w:t>
      </w:r>
    </w:p>
    <w:p w14:paraId="69849A4D" w14:textId="2BB47116" w:rsidR="000F5812" w:rsidRDefault="000F5812" w:rsidP="009B526F">
      <w:pPr>
        <w:pStyle w:val="p3"/>
      </w:pPr>
      <w:r w:rsidRPr="000F5812">
        <w:rPr>
          <w:noProof/>
        </w:rPr>
        <w:lastRenderedPageBreak/>
        <w:drawing>
          <wp:inline distT="0" distB="0" distL="0" distR="0" wp14:anchorId="44632FD6" wp14:editId="12C2DAD6">
            <wp:extent cx="5943600" cy="3750945"/>
            <wp:effectExtent l="0" t="0" r="0" b="0"/>
            <wp:docPr id="182313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31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21C6" w14:textId="30B30005" w:rsidR="009B526F" w:rsidRDefault="000F5812" w:rsidP="009B526F">
      <w:pPr>
        <w:pStyle w:val="p2"/>
      </w:pPr>
      <w:r>
        <w:rPr>
          <w:rFonts w:ascii="PingFang TC" w:eastAsia="PingFang TC" w:hAnsi="PingFang TC" w:cs="PingFang TC" w:hint="eastAsia"/>
        </w:rPr>
        <w:t>来自：JP Morgan</w:t>
      </w:r>
    </w:p>
    <w:p w14:paraId="568E5CC1" w14:textId="77777777" w:rsidR="000F5812" w:rsidRDefault="000F5812" w:rsidP="009B526F">
      <w:pPr>
        <w:pStyle w:val="p5"/>
        <w:rPr>
          <w:b/>
          <w:bCs/>
        </w:rPr>
      </w:pPr>
    </w:p>
    <w:p w14:paraId="7B9A7E45" w14:textId="5E149469" w:rsidR="009B526F" w:rsidRDefault="009B526F" w:rsidP="009B526F">
      <w:pPr>
        <w:pStyle w:val="p5"/>
      </w:pPr>
      <w:r>
        <w:rPr>
          <w:b/>
          <w:bCs/>
        </w:rPr>
        <w:t xml:space="preserve">2. </w:t>
      </w:r>
      <w:r>
        <w:rPr>
          <w:rFonts w:ascii="PingFang TC" w:eastAsia="PingFang TC" w:hAnsi="PingFang TC" w:cs="PingFang TC" w:hint="eastAsia"/>
          <w:b/>
          <w:bCs/>
        </w:rPr>
        <w:t>应对汇率波动与资产价格变化</w:t>
      </w:r>
    </w:p>
    <w:p w14:paraId="70EB18FF" w14:textId="77777777" w:rsidR="009B526F" w:rsidRDefault="009B526F" w:rsidP="009B526F">
      <w:pPr>
        <w:pStyle w:val="p2"/>
      </w:pPr>
    </w:p>
    <w:p w14:paraId="062AD91D" w14:textId="77777777" w:rsidR="009B526F" w:rsidRDefault="009B526F" w:rsidP="009B526F">
      <w:pPr>
        <w:pStyle w:val="p3"/>
      </w:pPr>
      <w:r>
        <w:rPr>
          <w:rFonts w:ascii="PingFang TC" w:eastAsia="PingFang TC" w:hAnsi="PingFang TC" w:cs="PingFang TC" w:hint="eastAsia"/>
        </w:rPr>
        <w:t>汇率波动是全球投资中不可忽视的因素。对于以本币计价的资产，汇率贬值会直接侵蚀投资者的实际财富。而通过持有其他货币计价的资产，投资者可以形成天然的对冲机制。例如，当一种货币贬值时，另一种货币计价的资产价值可能会上升，从而抵消部分损失。</w:t>
      </w:r>
    </w:p>
    <w:p w14:paraId="34D7E55C" w14:textId="207265FF" w:rsidR="009B526F" w:rsidRDefault="000F5812" w:rsidP="00B15A80">
      <w:pPr>
        <w:pStyle w:val="p2"/>
        <w:jc w:val="center"/>
      </w:pPr>
      <w:r w:rsidRPr="000F5812">
        <w:rPr>
          <w:noProof/>
        </w:rPr>
        <w:lastRenderedPageBreak/>
        <w:drawing>
          <wp:inline distT="0" distB="0" distL="0" distR="0" wp14:anchorId="5FBFB928" wp14:editId="74CBA55E">
            <wp:extent cx="2890158" cy="3765679"/>
            <wp:effectExtent l="0" t="0" r="5715" b="0"/>
            <wp:docPr id="369023050" name="Picture 4" descr="A newspaper with currency notes and a few different currency note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7B07A88A-ABFA-91A8-FA3C-E978D190A1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newspaper with currency notes and a few different currency note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7B07A88A-ABFA-91A8-FA3C-E978D190A1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4155" cy="377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A80" w:rsidRPr="00B15A80">
        <w:rPr>
          <w:noProof/>
        </w:rPr>
        <w:drawing>
          <wp:inline distT="0" distB="0" distL="0" distR="0" wp14:anchorId="455E3324" wp14:editId="6D521236">
            <wp:extent cx="3092941" cy="1685652"/>
            <wp:effectExtent l="0" t="0" r="0" b="3810"/>
            <wp:docPr id="6" name="Picture 5" descr="A diagram with text and symbol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334E1EE7-F84C-2B83-00C6-F1683DEBC8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diagram with text and symbol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334E1EE7-F84C-2B83-00C6-F1683DEBC8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1294" cy="170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BA42" w14:textId="77777777" w:rsidR="009B526F" w:rsidRDefault="009B526F" w:rsidP="009B526F">
      <w:pPr>
        <w:pStyle w:val="p3"/>
      </w:pPr>
      <w:r>
        <w:rPr>
          <w:rFonts w:ascii="PingFang TC" w:eastAsia="PingFang TC" w:hAnsi="PingFang TC" w:cs="PingFang TC" w:hint="eastAsia"/>
        </w:rPr>
        <w:t>此外，不同市场的资产价格波动特性也不尽相同。例如，部分市场可能更依赖科技和消费驱动，波动较小；另一些市场可能更依赖外部需求或政策驱动，短期内波动较大。通过组合投资，这些特性可以互相平衡，降低单一资产类别的价格风险。</w:t>
      </w:r>
    </w:p>
    <w:p w14:paraId="20A46CE4" w14:textId="77777777" w:rsidR="009B526F" w:rsidRDefault="009B526F" w:rsidP="009B526F">
      <w:pPr>
        <w:pStyle w:val="p2"/>
      </w:pPr>
    </w:p>
    <w:p w14:paraId="5EF2246B" w14:textId="77777777" w:rsidR="009B526F" w:rsidRDefault="009B526F" w:rsidP="009B526F">
      <w:pPr>
        <w:pStyle w:val="p5"/>
      </w:pPr>
      <w:r>
        <w:rPr>
          <w:b/>
          <w:bCs/>
        </w:rPr>
        <w:t xml:space="preserve">3. </w:t>
      </w:r>
      <w:r>
        <w:rPr>
          <w:rFonts w:ascii="PingFang TC" w:eastAsia="PingFang TC" w:hAnsi="PingFang TC" w:cs="PingFang TC" w:hint="eastAsia"/>
          <w:b/>
          <w:bCs/>
        </w:rPr>
        <w:t>分散地缘政治风险</w:t>
      </w:r>
    </w:p>
    <w:p w14:paraId="0A6C028D" w14:textId="77777777" w:rsidR="009B526F" w:rsidRDefault="009B526F" w:rsidP="009B526F">
      <w:pPr>
        <w:pStyle w:val="p2"/>
      </w:pPr>
    </w:p>
    <w:p w14:paraId="6CAAA15A" w14:textId="77777777" w:rsidR="009B526F" w:rsidRDefault="009B526F" w:rsidP="009B526F">
      <w:pPr>
        <w:pStyle w:val="p3"/>
      </w:pPr>
      <w:r>
        <w:rPr>
          <w:rFonts w:ascii="PingFang TC" w:eastAsia="PingFang TC" w:hAnsi="PingFang TC" w:cs="PingFang TC" w:hint="eastAsia"/>
        </w:rPr>
        <w:t>地缘政治风险往往具有区域性特点，某一地区的冲突、政策变化或贸易争端，可能对该区域的资产造成负面影响。但全球资产配置可以通过跨区域分散投资，将风险局限于局部，从而保障投资组合的整体</w:t>
      </w:r>
      <w:r>
        <w:rPr>
          <w:rFonts w:ascii="SimSun" w:eastAsia="SimSun" w:hAnsi="SimSun" w:cs="SimSun" w:hint="eastAsia"/>
        </w:rPr>
        <w:t>稳</w:t>
      </w:r>
      <w:r>
        <w:rPr>
          <w:rFonts w:ascii="PingFang TC" w:eastAsia="PingFang TC" w:hAnsi="PingFang TC" w:cs="PingFang TC" w:hint="eastAsia"/>
        </w:rPr>
        <w:t>定性。</w:t>
      </w:r>
    </w:p>
    <w:p w14:paraId="68FCFA7F" w14:textId="14A6513C" w:rsidR="009B526F" w:rsidRDefault="000F5812" w:rsidP="009B526F">
      <w:pPr>
        <w:pStyle w:val="p2"/>
      </w:pPr>
      <w:r w:rsidRPr="000F5812">
        <w:rPr>
          <w:noProof/>
        </w:rPr>
        <w:lastRenderedPageBreak/>
        <w:drawing>
          <wp:inline distT="0" distB="0" distL="0" distR="0" wp14:anchorId="4B87326E" wp14:editId="1CA67251">
            <wp:extent cx="4068122" cy="4989250"/>
            <wp:effectExtent l="0" t="0" r="0" b="1905"/>
            <wp:docPr id="386887566" name="图片 2" descr="图表, 文本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08C664BF-0CEB-22C6-9BFF-A1E1D0AA59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图表, 文本&#10;&#10;描述已自动生成">
                      <a:extLst>
                        <a:ext uri="{FF2B5EF4-FFF2-40B4-BE49-F238E27FC236}">
                          <a16:creationId xmlns:a16="http://schemas.microsoft.com/office/drawing/2014/main" id="{08C664BF-0CEB-22C6-9BFF-A1E1D0AA59F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068122" cy="49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BD44" w14:textId="77777777" w:rsidR="009B526F" w:rsidRDefault="009B526F" w:rsidP="009B526F">
      <w:pPr>
        <w:pStyle w:val="p3"/>
      </w:pPr>
      <w:r>
        <w:rPr>
          <w:rFonts w:ascii="PingFang TC" w:eastAsia="PingFang TC" w:hAnsi="PingFang TC" w:cs="PingFang TC" w:hint="eastAsia"/>
        </w:rPr>
        <w:t>举个例子，当某个地区受到特定政治事件的影响时，另一个地区的资产可能完全不受影响，甚至受益于避险资金流入。这种分散化的投资策略，能够为投资组合提供更多的抗风险能力。</w:t>
      </w:r>
    </w:p>
    <w:p w14:paraId="6BC3BF74" w14:textId="77777777" w:rsidR="009B526F" w:rsidRDefault="009B526F" w:rsidP="009B526F">
      <w:pPr>
        <w:pStyle w:val="p4"/>
      </w:pPr>
    </w:p>
    <w:p w14:paraId="4F94B89B" w14:textId="77777777" w:rsidR="009B526F" w:rsidRDefault="009B526F" w:rsidP="009B526F">
      <w:pPr>
        <w:pStyle w:val="p1"/>
        <w:rPr>
          <w:rFonts w:ascii="PingFang TC" w:eastAsia="PingFang TC" w:hAnsi="PingFang TC" w:cs="PingFang TC"/>
          <w:b/>
          <w:bCs/>
        </w:rPr>
      </w:pPr>
      <w:r>
        <w:rPr>
          <w:rFonts w:ascii="PingFang TC" w:eastAsia="PingFang TC" w:hAnsi="PingFang TC" w:cs="PingFang TC" w:hint="eastAsia"/>
          <w:b/>
          <w:bCs/>
        </w:rPr>
        <w:t>案例分析：</w:t>
      </w:r>
      <w:r>
        <w:rPr>
          <w:b/>
          <w:bCs/>
        </w:rPr>
        <w:t xml:space="preserve">50% </w:t>
      </w:r>
      <w:r>
        <w:rPr>
          <w:rFonts w:ascii="PingFang TC" w:eastAsia="PingFang TC" w:hAnsi="PingFang TC" w:cs="PingFang TC" w:hint="eastAsia"/>
          <w:b/>
          <w:bCs/>
        </w:rPr>
        <w:t>标普</w:t>
      </w:r>
      <w:r>
        <w:rPr>
          <w:b/>
          <w:bCs/>
        </w:rPr>
        <w:t>500 + 50% MCHI</w:t>
      </w:r>
      <w:r>
        <w:rPr>
          <w:rFonts w:ascii="PingFang TC" w:eastAsia="PingFang TC" w:hAnsi="PingFang TC" w:cs="PingFang TC" w:hint="eastAsia"/>
          <w:b/>
          <w:bCs/>
        </w:rPr>
        <w:t>中国指数组合（</w:t>
      </w:r>
      <w:r>
        <w:rPr>
          <w:b/>
          <w:bCs/>
        </w:rPr>
        <w:t>2015-2024</w:t>
      </w:r>
      <w:r>
        <w:rPr>
          <w:rFonts w:ascii="PingFang TC" w:eastAsia="PingFang TC" w:hAnsi="PingFang TC" w:cs="PingFang TC" w:hint="eastAsia"/>
          <w:b/>
          <w:bCs/>
        </w:rPr>
        <w:t>年）</w:t>
      </w:r>
    </w:p>
    <w:p w14:paraId="11926EEE" w14:textId="77777777" w:rsidR="00B15A80" w:rsidRDefault="00B15A80" w:rsidP="009B526F">
      <w:pPr>
        <w:pStyle w:val="p1"/>
        <w:rPr>
          <w:rFonts w:ascii="PingFang TC" w:eastAsia="PingFang TC" w:hAnsi="PingFang TC" w:cs="PingFang TC"/>
          <w:b/>
          <w:bCs/>
        </w:rPr>
      </w:pPr>
    </w:p>
    <w:p w14:paraId="14E3F48F" w14:textId="0829D95C" w:rsidR="00B15A80" w:rsidRDefault="009B526F" w:rsidP="009B526F">
      <w:pPr>
        <w:pStyle w:val="p3"/>
        <w:rPr>
          <w:rFonts w:ascii="PingFang TC" w:eastAsia="PingFang TC" w:hAnsi="PingFang TC" w:cs="PingFang TC"/>
        </w:rPr>
      </w:pPr>
      <w:r>
        <w:rPr>
          <w:rFonts w:ascii="PingFang TC" w:eastAsia="PingFang TC" w:hAnsi="PingFang TC" w:cs="PingFang TC" w:hint="eastAsia"/>
        </w:rPr>
        <w:t>为了更清晰地说明资产配置的作用，我们以</w:t>
      </w:r>
      <w:r>
        <w:t>2015</w:t>
      </w:r>
      <w:r>
        <w:rPr>
          <w:rFonts w:ascii="PingFang TC" w:eastAsia="PingFang TC" w:hAnsi="PingFang TC" w:cs="PingFang TC" w:hint="eastAsia"/>
        </w:rPr>
        <w:t>年至</w:t>
      </w:r>
      <w:r>
        <w:t>2024</w:t>
      </w:r>
      <w:r>
        <w:rPr>
          <w:rFonts w:ascii="PingFang TC" w:eastAsia="PingFang TC" w:hAnsi="PingFang TC" w:cs="PingFang TC" w:hint="eastAsia"/>
        </w:rPr>
        <w:t>年间的一个组合为例，假设投资者将</w:t>
      </w:r>
      <w:r w:rsidR="00B15A80">
        <w:rPr>
          <w:rFonts w:ascii="PingFang TC" w:eastAsia="PingFang TC" w:hAnsi="PingFang TC" w:cs="PingFang TC" w:hint="eastAsia"/>
        </w:rPr>
        <w:t>100万美金的初始投入，按照</w:t>
      </w:r>
      <w:r>
        <w:t>50%</w:t>
      </w:r>
      <w:r>
        <w:rPr>
          <w:rFonts w:ascii="PingFang TC" w:eastAsia="PingFang TC" w:hAnsi="PingFang TC" w:cs="PingFang TC" w:hint="eastAsia"/>
        </w:rPr>
        <w:t>的资金配置在标普</w:t>
      </w:r>
      <w:r>
        <w:t>500</w:t>
      </w:r>
      <w:r>
        <w:rPr>
          <w:rFonts w:ascii="PingFang TC" w:eastAsia="PingFang TC" w:hAnsi="PingFang TC" w:cs="PingFang TC" w:hint="eastAsia"/>
        </w:rPr>
        <w:t>指数，另</w:t>
      </w:r>
      <w:r>
        <w:t>50%</w:t>
      </w:r>
      <w:r>
        <w:rPr>
          <w:rFonts w:ascii="PingFang TC" w:eastAsia="PingFang TC" w:hAnsi="PingFang TC" w:cs="PingFang TC" w:hint="eastAsia"/>
        </w:rPr>
        <w:t>的资金配置在</w:t>
      </w:r>
      <w:r>
        <w:t>MCHI</w:t>
      </w:r>
      <w:r>
        <w:rPr>
          <w:rFonts w:ascii="PingFang TC" w:eastAsia="PingFang TC" w:hAnsi="PingFang TC" w:cs="PingFang TC" w:hint="eastAsia"/>
        </w:rPr>
        <w:t>中国指数</w:t>
      </w:r>
      <w:r w:rsidR="00B15A80">
        <w:rPr>
          <w:rFonts w:ascii="PingFang TC" w:eastAsia="PingFang TC" w:hAnsi="PingFang TC" w:cs="PingFang TC" w:hint="eastAsia"/>
        </w:rPr>
        <w:t>的方式进行配置：</w:t>
      </w:r>
    </w:p>
    <w:p w14:paraId="5476630A" w14:textId="77777777" w:rsidR="00B15A80" w:rsidRDefault="00B15A80" w:rsidP="009B526F">
      <w:pPr>
        <w:pStyle w:val="p3"/>
        <w:rPr>
          <w:rFonts w:ascii="PingFang TC" w:eastAsia="PingFang TC" w:hAnsi="PingFang TC" w:cs="PingFang TC"/>
          <w:b/>
          <w:bCs/>
        </w:rPr>
      </w:pPr>
    </w:p>
    <w:p w14:paraId="4519372E" w14:textId="1068F015" w:rsidR="00B15A80" w:rsidRDefault="00B15A80" w:rsidP="00B15A80">
      <w:pPr>
        <w:pStyle w:val="p3"/>
        <w:jc w:val="center"/>
      </w:pPr>
      <w:r w:rsidRPr="00B15A80">
        <w:rPr>
          <w:rFonts w:ascii="PingFang TC" w:eastAsia="PingFang TC" w:hAnsi="PingFang TC" w:cs="PingFang TC"/>
          <w:b/>
          <w:bCs/>
          <w:noProof/>
        </w:rPr>
        <w:lastRenderedPageBreak/>
        <w:drawing>
          <wp:inline distT="0" distB="0" distL="0" distR="0" wp14:anchorId="461A3135" wp14:editId="6712FBDE">
            <wp:extent cx="1559379" cy="1651202"/>
            <wp:effectExtent l="0" t="0" r="3175" b="0"/>
            <wp:docPr id="5" name="Picture 4" descr="A blue and green circle with white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6F77084-7CCB-D389-5775-E34F427EDF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blue and green circle with white text&#10;&#10;Description automatically generated">
                      <a:extLst>
                        <a:ext uri="{FF2B5EF4-FFF2-40B4-BE49-F238E27FC236}">
                          <a16:creationId xmlns:a16="http://schemas.microsoft.com/office/drawing/2014/main" id="{A6F77084-7CCB-D389-5775-E34F427EDF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7409" r="1" b="736"/>
                    <a:stretch/>
                  </pic:blipFill>
                  <pic:spPr>
                    <a:xfrm>
                      <a:off x="0" y="0"/>
                      <a:ext cx="1575416" cy="166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5A80">
        <w:rPr>
          <w:noProof/>
        </w:rPr>
        <w:drawing>
          <wp:inline distT="0" distB="0" distL="0" distR="0" wp14:anchorId="24CF1EB0" wp14:editId="4B769465">
            <wp:extent cx="3380014" cy="1672673"/>
            <wp:effectExtent l="0" t="0" r="0" b="3810"/>
            <wp:docPr id="1685224452" name="Picture 1" descr="A screenshot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24452" name="Picture 1" descr="A screenshot of a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3817" cy="167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FDBE" w14:textId="77777777" w:rsidR="009B526F" w:rsidRDefault="009B526F" w:rsidP="009B526F">
      <w:pPr>
        <w:pStyle w:val="p2"/>
      </w:pPr>
    </w:p>
    <w:p w14:paraId="018C3A25" w14:textId="39952513" w:rsidR="009B526F" w:rsidRDefault="009B526F" w:rsidP="009B526F">
      <w:pPr>
        <w:pStyle w:val="p4"/>
      </w:pPr>
    </w:p>
    <w:p w14:paraId="7B9F4A3F" w14:textId="77777777" w:rsidR="009B526F" w:rsidRDefault="009B526F" w:rsidP="009B526F">
      <w:pPr>
        <w:pStyle w:val="p6"/>
      </w:pPr>
      <w:r>
        <w:rPr>
          <w:rStyle w:val="apple-tab-span"/>
          <w:rFonts w:eastAsiaTheme="majorEastAsia"/>
        </w:rPr>
        <w:tab/>
      </w:r>
      <w:r>
        <w:t>1.</w:t>
      </w:r>
      <w:r>
        <w:rPr>
          <w:rStyle w:val="apple-tab-span"/>
          <w:rFonts w:eastAsiaTheme="majorEastAsia"/>
        </w:rPr>
        <w:tab/>
      </w:r>
      <w:r>
        <w:rPr>
          <w:rFonts w:ascii="PingFang TC" w:eastAsia="PingFang TC" w:hAnsi="PingFang TC" w:cs="PingFang TC" w:hint="eastAsia"/>
          <w:b/>
          <w:bCs/>
        </w:rPr>
        <w:t>收益更</w:t>
      </w:r>
      <w:r>
        <w:rPr>
          <w:rFonts w:ascii="SimSun" w:eastAsia="SimSun" w:hAnsi="SimSun" w:cs="SimSun" w:hint="eastAsia"/>
          <w:b/>
          <w:bCs/>
        </w:rPr>
        <w:t>稳</w:t>
      </w:r>
      <w:r>
        <w:rPr>
          <w:rFonts w:ascii="PingFang TC" w:eastAsia="PingFang TC" w:hAnsi="PingFang TC" w:cs="PingFang TC" w:hint="eastAsia"/>
          <w:b/>
          <w:bCs/>
        </w:rPr>
        <w:t>健：</w:t>
      </w:r>
    </w:p>
    <w:p w14:paraId="79ABB8A9" w14:textId="77777777" w:rsidR="00B15A80" w:rsidRDefault="00B15A80" w:rsidP="009B526F">
      <w:pPr>
        <w:pStyle w:val="p3"/>
        <w:rPr>
          <w:rFonts w:ascii="PingFang TC" w:eastAsia="PingFang TC" w:hAnsi="PingFang TC" w:cs="PingFang TC"/>
        </w:rPr>
      </w:pPr>
      <w:r>
        <w:rPr>
          <w:rFonts w:ascii="PingFang TC" w:eastAsia="PingFang TC" w:hAnsi="PingFang TC" w:cs="PingFang TC" w:hint="eastAsia"/>
        </w:rPr>
        <w:t>这个1:1配置的简单全球组合的资产价值从初始的</w:t>
      </w:r>
      <w:r>
        <w:t>100</w:t>
      </w:r>
      <w:r>
        <w:rPr>
          <w:rFonts w:ascii="PingFang TC" w:eastAsia="PingFang TC" w:hAnsi="PingFang TC" w:cs="PingFang TC" w:hint="eastAsia"/>
        </w:rPr>
        <w:t>万美元增长到</w:t>
      </w:r>
      <w:r>
        <w:t>175</w:t>
      </w:r>
      <w:r>
        <w:rPr>
          <w:rFonts w:ascii="PingFang TC" w:eastAsia="PingFang TC" w:hAnsi="PingFang TC" w:cs="PingFang TC" w:hint="eastAsia"/>
        </w:rPr>
        <w:t>万美元，累计收益达到75%，年化收益率为</w:t>
      </w:r>
      <w:r>
        <w:t>5.88%</w:t>
      </w:r>
      <w:r>
        <w:rPr>
          <w:rFonts w:ascii="PingFang TC" w:eastAsia="PingFang TC" w:hAnsi="PingFang TC" w:cs="PingFang TC" w:hint="eastAsia"/>
        </w:rPr>
        <w:t>。反之，仅仅投资在单一中国市场的MCHI中国指数最终价值仅为</w:t>
      </w:r>
      <w:r>
        <w:t>98</w:t>
      </w:r>
      <w:r>
        <w:rPr>
          <w:rFonts w:ascii="PingFang TC" w:eastAsia="PingFang TC" w:hAnsi="PingFang TC" w:cs="PingFang TC" w:hint="eastAsia"/>
        </w:rPr>
        <w:t>万美元，年化收益是负的</w:t>
      </w:r>
      <w:r w:rsidR="009B526F">
        <w:t>0.20%</w:t>
      </w:r>
      <w:r w:rsidR="009B526F">
        <w:rPr>
          <w:rFonts w:ascii="PingFang TC" w:eastAsia="PingFang TC" w:hAnsi="PingFang TC" w:cs="PingFang TC" w:hint="eastAsia"/>
        </w:rPr>
        <w:t>。</w:t>
      </w:r>
    </w:p>
    <w:p w14:paraId="3C5E5D2A" w14:textId="77777777" w:rsidR="00B15A80" w:rsidRDefault="00B15A80" w:rsidP="009B526F">
      <w:pPr>
        <w:pStyle w:val="p3"/>
        <w:rPr>
          <w:rFonts w:ascii="PingFang TC" w:eastAsia="PingFang TC" w:hAnsi="PingFang TC" w:cs="PingFang TC"/>
        </w:rPr>
      </w:pPr>
    </w:p>
    <w:p w14:paraId="28F0448E" w14:textId="4067CC5F" w:rsidR="009B526F" w:rsidRDefault="00B15A80" w:rsidP="009B526F">
      <w:pPr>
        <w:pStyle w:val="p3"/>
        <w:rPr>
          <w:rFonts w:ascii="PingFang TC" w:eastAsia="PingFang TC" w:hAnsi="PingFang TC" w:cs="PingFang TC"/>
        </w:rPr>
      </w:pPr>
      <w:r>
        <w:rPr>
          <w:rFonts w:ascii="PingFang TC" w:eastAsia="PingFang TC" w:hAnsi="PingFang TC" w:cs="PingFang TC" w:hint="eastAsia"/>
        </w:rPr>
        <w:t>从这个组合来看，两个不同市场的搭配显然实现了</w:t>
      </w:r>
      <w:r w:rsidR="009B526F">
        <w:rPr>
          <w:rFonts w:ascii="PingFang TC" w:eastAsia="PingFang TC" w:hAnsi="PingFang TC" w:cs="PingFang TC" w:hint="eastAsia"/>
        </w:rPr>
        <w:t>不同市场</w:t>
      </w:r>
      <w:r>
        <w:rPr>
          <w:rFonts w:ascii="PingFang TC" w:eastAsia="PingFang TC" w:hAnsi="PingFang TC" w:cs="PingFang TC" w:hint="eastAsia"/>
        </w:rPr>
        <w:t>的风险对冲</w:t>
      </w:r>
      <w:r w:rsidR="009B526F">
        <w:rPr>
          <w:rFonts w:ascii="PingFang TC" w:eastAsia="PingFang TC" w:hAnsi="PingFang TC" w:cs="PingFang TC" w:hint="eastAsia"/>
        </w:rPr>
        <w:t>，为投资者创造更</w:t>
      </w:r>
      <w:r w:rsidR="009B526F">
        <w:rPr>
          <w:rFonts w:ascii="SimSun" w:eastAsia="SimSun" w:hAnsi="SimSun" w:cs="SimSun" w:hint="eastAsia"/>
        </w:rPr>
        <w:t>稳</w:t>
      </w:r>
      <w:r w:rsidR="009B526F">
        <w:rPr>
          <w:rFonts w:ascii="PingFang TC" w:eastAsia="PingFang TC" w:hAnsi="PingFang TC" w:cs="PingFang TC" w:hint="eastAsia"/>
        </w:rPr>
        <w:t>定的长期回报。</w:t>
      </w:r>
    </w:p>
    <w:p w14:paraId="31CC775A" w14:textId="7D378E6C" w:rsidR="00B15A80" w:rsidRDefault="00B15A80" w:rsidP="00B15A80">
      <w:pPr>
        <w:pStyle w:val="p3"/>
        <w:jc w:val="center"/>
      </w:pPr>
      <w:r w:rsidRPr="00B15A80">
        <w:rPr>
          <w:noProof/>
        </w:rPr>
        <w:drawing>
          <wp:inline distT="0" distB="0" distL="0" distR="0" wp14:anchorId="575FBA92" wp14:editId="0E855E1D">
            <wp:extent cx="3971037" cy="2392549"/>
            <wp:effectExtent l="0" t="0" r="4445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AC69FB4-CE37-D8D0-000B-D44B3044AC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EAC69FB4-CE37-D8D0-000B-D44B3044AC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1037" cy="23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CF95" w14:textId="77777777" w:rsidR="009B526F" w:rsidRDefault="009B526F" w:rsidP="009B526F">
      <w:pPr>
        <w:pStyle w:val="p6"/>
      </w:pPr>
      <w:r>
        <w:rPr>
          <w:rStyle w:val="apple-tab-span"/>
          <w:rFonts w:eastAsiaTheme="majorEastAsia"/>
        </w:rPr>
        <w:tab/>
      </w:r>
      <w:r>
        <w:t>2.</w:t>
      </w:r>
      <w:r>
        <w:rPr>
          <w:rStyle w:val="apple-tab-span"/>
          <w:rFonts w:eastAsiaTheme="majorEastAsia"/>
        </w:rPr>
        <w:tab/>
      </w:r>
      <w:r>
        <w:rPr>
          <w:rFonts w:ascii="PingFang TC" w:eastAsia="PingFang TC" w:hAnsi="PingFang TC" w:cs="PingFang TC" w:hint="eastAsia"/>
          <w:b/>
          <w:bCs/>
        </w:rPr>
        <w:t>风险显著降低：</w:t>
      </w:r>
    </w:p>
    <w:p w14:paraId="4962525B" w14:textId="3C912C9C" w:rsidR="009B526F" w:rsidRDefault="00B15A80" w:rsidP="009B526F">
      <w:pPr>
        <w:pStyle w:val="p3"/>
        <w:rPr>
          <w:rFonts w:ascii="PingFang TC" w:eastAsia="PingFang TC" w:hAnsi="PingFang TC" w:cs="PingFang TC"/>
        </w:rPr>
      </w:pPr>
      <w:r>
        <w:rPr>
          <w:rFonts w:ascii="PingFang TC" w:eastAsia="PingFang TC" w:hAnsi="PingFang TC" w:cs="PingFang TC" w:hint="eastAsia"/>
        </w:rPr>
        <w:t>从资产增长曲线来看，</w:t>
      </w:r>
      <w:r>
        <w:t>MCHI</w:t>
      </w:r>
      <w:r>
        <w:rPr>
          <w:rFonts w:ascii="PingFang TC" w:eastAsia="PingFang TC" w:hAnsi="PingFang TC" w:cs="PingFang TC" w:hint="eastAsia"/>
        </w:rPr>
        <w:t>中国指数的波动性显著高于样本组合（蓝线）。单一市场的波动使其资产价值在</w:t>
      </w:r>
      <w:r>
        <w:t>2021</w:t>
      </w:r>
      <w:r>
        <w:rPr>
          <w:rFonts w:ascii="PingFang TC" w:eastAsia="PingFang TC" w:hAnsi="PingFang TC" w:cs="PingFang TC" w:hint="eastAsia"/>
        </w:rPr>
        <w:t>年至</w:t>
      </w:r>
      <w:r>
        <w:t>2023</w:t>
      </w:r>
      <w:r>
        <w:rPr>
          <w:rFonts w:ascii="PingFang TC" w:eastAsia="PingFang TC" w:hAnsi="PingFang TC" w:cs="PingFang TC" w:hint="eastAsia"/>
        </w:rPr>
        <w:t>年间出现显著回撤，而样本组合通过跨市场配置，实现了较为平</w:t>
      </w:r>
      <w:r>
        <w:rPr>
          <w:rFonts w:ascii="SimSun" w:eastAsia="SimSun" w:hAnsi="SimSun" w:cs="SimSun" w:hint="eastAsia"/>
        </w:rPr>
        <w:t>稳</w:t>
      </w:r>
      <w:r>
        <w:rPr>
          <w:rFonts w:ascii="PingFang TC" w:eastAsia="PingFang TC" w:hAnsi="PingFang TC" w:cs="PingFang TC" w:hint="eastAsia"/>
        </w:rPr>
        <w:t>的增长路径</w:t>
      </w:r>
      <w:r w:rsidR="009B526F">
        <w:rPr>
          <w:rFonts w:ascii="PingFang TC" w:eastAsia="PingFang TC" w:hAnsi="PingFang TC" w:cs="PingFang TC" w:hint="eastAsia"/>
        </w:rPr>
        <w:t>样本组合的最大回撤仅为</w:t>
      </w:r>
      <w:r w:rsidR="009B526F">
        <w:t>-34.75%</w:t>
      </w:r>
      <w:r w:rsidR="009B526F">
        <w:rPr>
          <w:rFonts w:ascii="PingFang TC" w:eastAsia="PingFang TC" w:hAnsi="PingFang TC" w:cs="PingFang TC" w:hint="eastAsia"/>
        </w:rPr>
        <w:t>，而单一市场的最大回撤高达</w:t>
      </w:r>
      <w:r w:rsidR="009B526F">
        <w:t>-59.35%</w:t>
      </w:r>
      <w:r w:rsidR="009B526F">
        <w:rPr>
          <w:rFonts w:ascii="PingFang TC" w:eastAsia="PingFang TC" w:hAnsi="PingFang TC" w:cs="PingFang TC" w:hint="eastAsia"/>
        </w:rPr>
        <w:t>。通过分散化投资，组合显著降低了市场波动对资产的冲击。</w:t>
      </w:r>
    </w:p>
    <w:p w14:paraId="6EAC42E5" w14:textId="77777777" w:rsidR="00B15A80" w:rsidRDefault="00B15A80" w:rsidP="00B15A80">
      <w:pPr>
        <w:pStyle w:val="p3"/>
        <w:jc w:val="center"/>
      </w:pPr>
      <w:r w:rsidRPr="00B15A80">
        <w:rPr>
          <w:noProof/>
        </w:rPr>
        <w:lastRenderedPageBreak/>
        <w:drawing>
          <wp:inline distT="0" distB="0" distL="0" distR="0" wp14:anchorId="66EE1F7B" wp14:editId="583AA812">
            <wp:extent cx="4523075" cy="2171075"/>
            <wp:effectExtent l="0" t="0" r="0" b="63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5B1DEFE-B740-965C-D354-72C06447E2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35B1DEFE-B740-965C-D354-72C06447E2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3075" cy="217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1EEA" w14:textId="5FC39EB4" w:rsidR="009B526F" w:rsidRDefault="009B526F" w:rsidP="00B15A80">
      <w:pPr>
        <w:pStyle w:val="p3"/>
        <w:jc w:val="center"/>
      </w:pPr>
      <w:r>
        <w:rPr>
          <w:rFonts w:ascii="PingFang TC" w:eastAsia="PingFang TC" w:hAnsi="PingFang TC" w:cs="PingFang TC" w:hint="eastAsia"/>
        </w:rPr>
        <w:t>样本组合的夏普比率为</w:t>
      </w:r>
      <w:r>
        <w:t>0.42</w:t>
      </w:r>
      <w:r>
        <w:rPr>
          <w:rFonts w:ascii="PingFang TC" w:eastAsia="PingFang TC" w:hAnsi="PingFang TC" w:cs="PingFang TC" w:hint="eastAsia"/>
        </w:rPr>
        <w:t>，而</w:t>
      </w:r>
      <w:r>
        <w:t>MCHI</w:t>
      </w:r>
      <w:r>
        <w:rPr>
          <w:rFonts w:ascii="PingFang TC" w:eastAsia="PingFang TC" w:hAnsi="PingFang TC" w:cs="PingFang TC" w:hint="eastAsia"/>
        </w:rPr>
        <w:t>中国指数仅为</w:t>
      </w:r>
      <w:r>
        <w:t>0.11</w:t>
      </w:r>
      <w:r>
        <w:rPr>
          <w:rFonts w:ascii="PingFang TC" w:eastAsia="PingFang TC" w:hAnsi="PingFang TC" w:cs="PingFang TC" w:hint="eastAsia"/>
        </w:rPr>
        <w:t>，表明全球资产配置在收益和风险的平衡上更具效率。</w:t>
      </w:r>
    </w:p>
    <w:p w14:paraId="2A21C8E8" w14:textId="77777777" w:rsidR="009B526F" w:rsidRDefault="009B526F" w:rsidP="009B526F">
      <w:pPr>
        <w:pStyle w:val="p2"/>
      </w:pPr>
    </w:p>
    <w:p w14:paraId="636C5A48" w14:textId="647B8172" w:rsidR="00B15A80" w:rsidRDefault="00B15A80" w:rsidP="009B526F">
      <w:pPr>
        <w:pStyle w:val="p2"/>
        <w:rPr>
          <w:rFonts w:ascii="PingFang TC" w:eastAsia="PingFang TC" w:hAnsi="PingFang TC" w:cs="PingFang TC"/>
        </w:rPr>
      </w:pPr>
      <w:r>
        <w:rPr>
          <w:rFonts w:hint="eastAsia"/>
        </w:rPr>
        <w:t xml:space="preserve">3. </w:t>
      </w:r>
      <w:r>
        <w:rPr>
          <w:rFonts w:ascii="PingFang TC" w:eastAsia="PingFang TC" w:hAnsi="PingFang TC" w:cs="PingFang TC" w:hint="eastAsia"/>
        </w:rPr>
        <w:t>汇率的变化给予了组合投资者额外的收益</w:t>
      </w:r>
    </w:p>
    <w:p w14:paraId="3E290BC9" w14:textId="77777777" w:rsidR="00B15A80" w:rsidRDefault="00B15A80" w:rsidP="009B526F">
      <w:pPr>
        <w:pStyle w:val="p2"/>
        <w:rPr>
          <w:rFonts w:ascii="PingFang TC" w:eastAsia="PingFang TC" w:hAnsi="PingFang TC" w:cs="PingFang TC"/>
        </w:rPr>
      </w:pPr>
    </w:p>
    <w:p w14:paraId="430569A8" w14:textId="398C45FF" w:rsidR="00B15A80" w:rsidRDefault="00B15A80" w:rsidP="009B526F">
      <w:pPr>
        <w:pStyle w:val="p2"/>
      </w:pPr>
      <w:r>
        <w:rPr>
          <w:rFonts w:ascii="PingFang TC" w:eastAsia="PingFang TC" w:hAnsi="PingFang TC" w:cs="PingFang TC" w:hint="eastAsia"/>
        </w:rPr>
        <w:t>如果我们以内地投资者的角度，将组合</w:t>
      </w:r>
      <w:r w:rsidR="00E204DE">
        <w:rPr>
          <w:rFonts w:ascii="PingFang TC" w:eastAsia="PingFang TC" w:hAnsi="PingFang TC" w:cs="PingFang TC" w:hint="eastAsia"/>
        </w:rPr>
        <w:t>价格按照人民币换算。2015年人民币汇率为6.22，100万美金对应的人民币为622万，而最新的人民币汇率为7.2，组合净值175.42美元换算成人民币为1263万。人民币计价的组合资产累计收益为103%，年化收益提升至7.41%。</w:t>
      </w:r>
    </w:p>
    <w:p w14:paraId="4750E3D8" w14:textId="77777777" w:rsidR="009B526F" w:rsidRDefault="009B526F" w:rsidP="009B526F">
      <w:pPr>
        <w:pStyle w:val="p2"/>
      </w:pPr>
    </w:p>
    <w:p w14:paraId="0541A26D" w14:textId="425EE925" w:rsidR="009B526F" w:rsidRDefault="009B526F" w:rsidP="009B526F">
      <w:pPr>
        <w:pStyle w:val="p3"/>
        <w:rPr>
          <w:rFonts w:ascii="PingFang TC" w:eastAsia="PingFang TC" w:hAnsi="PingFang TC" w:cs="PingFang TC"/>
        </w:rPr>
      </w:pPr>
    </w:p>
    <w:tbl>
      <w:tblPr>
        <w:tblW w:w="100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37"/>
        <w:gridCol w:w="1159"/>
        <w:gridCol w:w="2494"/>
        <w:gridCol w:w="919"/>
        <w:gridCol w:w="1059"/>
        <w:gridCol w:w="2932"/>
      </w:tblGrid>
      <w:tr w:rsidR="00B15A80" w:rsidRPr="00B15A80" w14:paraId="31DA24A9" w14:textId="77777777" w:rsidTr="00B15A80">
        <w:trPr>
          <w:trHeight w:val="474"/>
        </w:trPr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6EB100" w14:textId="77777777" w:rsidR="00B15A80" w:rsidRPr="00B15A80" w:rsidRDefault="00B15A80" w:rsidP="00B15A80">
            <w:pPr>
              <w:pStyle w:val="p3"/>
            </w:pPr>
          </w:p>
        </w:tc>
        <w:tc>
          <w:tcPr>
            <w:tcW w:w="11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893993" w14:textId="77777777" w:rsidR="00B15A80" w:rsidRPr="00B15A80" w:rsidRDefault="00B15A80" w:rsidP="00B15A80">
            <w:pPr>
              <w:pStyle w:val="p3"/>
            </w:pPr>
            <w:r w:rsidRPr="00B15A80">
              <w:rPr>
                <w:rFonts w:ascii="PingFang TC" w:eastAsia="PingFang TC" w:hAnsi="PingFang TC" w:cs="PingFang TC" w:hint="eastAsia"/>
                <w:b/>
                <w:bCs/>
              </w:rPr>
              <w:t>美元</w:t>
            </w:r>
          </w:p>
        </w:tc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727772" w14:textId="77777777" w:rsidR="00B15A80" w:rsidRPr="00B15A80" w:rsidRDefault="00B15A80" w:rsidP="00B15A80">
            <w:pPr>
              <w:pStyle w:val="p3"/>
            </w:pPr>
            <w:r w:rsidRPr="00B15A80">
              <w:rPr>
                <w:rFonts w:ascii="PingFang TC" w:eastAsia="PingFang TC" w:hAnsi="PingFang TC" w:cs="PingFang TC" w:hint="eastAsia"/>
                <w:b/>
                <w:bCs/>
              </w:rPr>
              <w:t>收益（美元计价）</w:t>
            </w:r>
          </w:p>
        </w:tc>
        <w:tc>
          <w:tcPr>
            <w:tcW w:w="9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5D2F59" w14:textId="77777777" w:rsidR="00B15A80" w:rsidRPr="00B15A80" w:rsidRDefault="00B15A80" w:rsidP="00B15A80">
            <w:pPr>
              <w:pStyle w:val="p3"/>
            </w:pPr>
            <w:r w:rsidRPr="00B15A80">
              <w:rPr>
                <w:rFonts w:ascii="PingFang TC" w:eastAsia="PingFang TC" w:hAnsi="PingFang TC" w:cs="PingFang TC" w:hint="eastAsia"/>
                <w:b/>
                <w:bCs/>
              </w:rPr>
              <w:t>汇率</w:t>
            </w:r>
          </w:p>
        </w:tc>
        <w:tc>
          <w:tcPr>
            <w:tcW w:w="10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EE487D" w14:textId="77777777" w:rsidR="00B15A80" w:rsidRPr="00B15A80" w:rsidRDefault="00B15A80" w:rsidP="00B15A80">
            <w:pPr>
              <w:pStyle w:val="p3"/>
            </w:pPr>
            <w:r w:rsidRPr="00B15A80">
              <w:rPr>
                <w:rFonts w:ascii="PingFang TC" w:eastAsia="PingFang TC" w:hAnsi="PingFang TC" w:cs="PingFang TC" w:hint="eastAsia"/>
                <w:b/>
                <w:bCs/>
              </w:rPr>
              <w:t>人民币</w:t>
            </w:r>
          </w:p>
        </w:tc>
        <w:tc>
          <w:tcPr>
            <w:tcW w:w="29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5FD77A" w14:textId="77777777" w:rsidR="00B15A80" w:rsidRPr="00B15A80" w:rsidRDefault="00B15A80" w:rsidP="00B15A80">
            <w:pPr>
              <w:pStyle w:val="p3"/>
            </w:pPr>
            <w:r w:rsidRPr="00B15A80">
              <w:rPr>
                <w:rFonts w:ascii="PingFang TC" w:eastAsia="PingFang TC" w:hAnsi="PingFang TC" w:cs="PingFang TC" w:hint="eastAsia"/>
                <w:b/>
                <w:bCs/>
              </w:rPr>
              <w:t>收益（人民币计价）</w:t>
            </w:r>
          </w:p>
        </w:tc>
      </w:tr>
      <w:tr w:rsidR="00B15A80" w:rsidRPr="00B15A80" w14:paraId="4F1C7CF4" w14:textId="77777777" w:rsidTr="00B15A80">
        <w:trPr>
          <w:trHeight w:val="474"/>
        </w:trPr>
        <w:tc>
          <w:tcPr>
            <w:tcW w:w="14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BD29DC" w14:textId="77777777" w:rsidR="00B15A80" w:rsidRPr="00B15A80" w:rsidRDefault="00B15A80" w:rsidP="00B15A80">
            <w:pPr>
              <w:pStyle w:val="p3"/>
            </w:pPr>
            <w:r w:rsidRPr="00B15A80">
              <w:rPr>
                <w:rFonts w:ascii="PingFang TC" w:eastAsia="PingFang TC" w:hAnsi="PingFang TC" w:cs="PingFang TC" w:hint="eastAsia"/>
              </w:rPr>
              <w:t>初始投入</w:t>
            </w:r>
          </w:p>
        </w:tc>
        <w:tc>
          <w:tcPr>
            <w:tcW w:w="11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FBABD3" w14:textId="77777777" w:rsidR="00B15A80" w:rsidRPr="00B15A80" w:rsidRDefault="00B15A80" w:rsidP="00B15A80">
            <w:pPr>
              <w:pStyle w:val="p3"/>
            </w:pPr>
            <w:r w:rsidRPr="00B15A80">
              <w:t>100</w:t>
            </w:r>
          </w:p>
        </w:tc>
        <w:tc>
          <w:tcPr>
            <w:tcW w:w="25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FB7B64" w14:textId="780F6307" w:rsidR="00B15A80" w:rsidRPr="00B15A80" w:rsidRDefault="00B15A80" w:rsidP="00B15A80">
            <w:pPr>
              <w:pStyle w:val="p3"/>
            </w:pPr>
            <w:r w:rsidRPr="00B15A80">
              <w:t>75.42%</w:t>
            </w:r>
            <w:r w:rsidRPr="00B15A80">
              <w:rPr>
                <w:rFonts w:ascii="PingFang TC" w:eastAsia="PingFang TC" w:hAnsi="PingFang TC" w:cs="PingFang TC" w:hint="eastAsia"/>
              </w:rPr>
              <w:t>（累计）</w:t>
            </w:r>
          </w:p>
        </w:tc>
        <w:tc>
          <w:tcPr>
            <w:tcW w:w="9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B99EF0" w14:textId="77777777" w:rsidR="00B15A80" w:rsidRPr="00B15A80" w:rsidRDefault="00B15A80" w:rsidP="00B15A80">
            <w:pPr>
              <w:pStyle w:val="p3"/>
            </w:pPr>
            <w:r w:rsidRPr="00B15A80">
              <w:t>6.22</w:t>
            </w:r>
          </w:p>
        </w:tc>
        <w:tc>
          <w:tcPr>
            <w:tcW w:w="10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1367E1" w14:textId="77777777" w:rsidR="00B15A80" w:rsidRPr="00B15A80" w:rsidRDefault="00B15A80" w:rsidP="00B15A80">
            <w:pPr>
              <w:pStyle w:val="p3"/>
            </w:pPr>
            <w:r w:rsidRPr="00B15A80">
              <w:t>622</w:t>
            </w:r>
          </w:p>
        </w:tc>
        <w:tc>
          <w:tcPr>
            <w:tcW w:w="29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1E1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8504F9" w14:textId="7ED36F30" w:rsidR="00B15A80" w:rsidRPr="00B15A80" w:rsidRDefault="00E204DE" w:rsidP="00B15A80">
            <w:pPr>
              <w:pStyle w:val="p3"/>
            </w:pPr>
            <w:r>
              <w:rPr>
                <w:rFonts w:hint="eastAsia"/>
              </w:rPr>
              <w:t>1</w:t>
            </w:r>
            <w:r w:rsidR="00B15A80" w:rsidRPr="00B15A80">
              <w:t>03%</w:t>
            </w:r>
            <w:r w:rsidR="00B15A80" w:rsidRPr="00B15A80">
              <w:rPr>
                <w:rFonts w:ascii="PingFang TC" w:eastAsia="PingFang TC" w:hAnsi="PingFang TC" w:cs="PingFang TC" w:hint="eastAsia"/>
              </w:rPr>
              <w:t>（累计）</w:t>
            </w:r>
          </w:p>
        </w:tc>
      </w:tr>
      <w:tr w:rsidR="00B15A80" w:rsidRPr="00B15A80" w14:paraId="072F5711" w14:textId="77777777" w:rsidTr="00B15A80">
        <w:trPr>
          <w:trHeight w:val="474"/>
        </w:trPr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F274D6" w14:textId="77777777" w:rsidR="00B15A80" w:rsidRPr="00B15A80" w:rsidRDefault="00B15A80" w:rsidP="00B15A80">
            <w:pPr>
              <w:pStyle w:val="p3"/>
            </w:pPr>
            <w:r w:rsidRPr="00B15A80">
              <w:rPr>
                <w:rFonts w:ascii="PingFang TC" w:eastAsia="PingFang TC" w:hAnsi="PingFang TC" w:cs="PingFang TC" w:hint="eastAsia"/>
              </w:rPr>
              <w:t>当下</w:t>
            </w:r>
          </w:p>
        </w:tc>
        <w:tc>
          <w:tcPr>
            <w:tcW w:w="1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78E133" w14:textId="77777777" w:rsidR="00B15A80" w:rsidRPr="00B15A80" w:rsidRDefault="00B15A80" w:rsidP="00B15A80">
            <w:pPr>
              <w:pStyle w:val="p3"/>
            </w:pPr>
            <w:r w:rsidRPr="00B15A80">
              <w:t>175.42</w:t>
            </w:r>
          </w:p>
        </w:tc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6448DB" w14:textId="77777777" w:rsidR="00B15A80" w:rsidRPr="00B15A80" w:rsidRDefault="00B15A80" w:rsidP="00B15A80">
            <w:pPr>
              <w:pStyle w:val="p3"/>
            </w:pPr>
            <w:r w:rsidRPr="00B15A80">
              <w:t>5.88%</w:t>
            </w:r>
            <w:r w:rsidRPr="00B15A80">
              <w:rPr>
                <w:rFonts w:ascii="PingFang TC" w:eastAsia="PingFang TC" w:hAnsi="PingFang TC" w:cs="PingFang TC" w:hint="eastAsia"/>
              </w:rPr>
              <w:t>（年化）</w:t>
            </w:r>
          </w:p>
        </w:tc>
        <w:tc>
          <w:tcPr>
            <w:tcW w:w="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4BBF9E" w14:textId="77777777" w:rsidR="00B15A80" w:rsidRPr="00B15A80" w:rsidRDefault="00B15A80" w:rsidP="00B15A80">
            <w:pPr>
              <w:pStyle w:val="p3"/>
            </w:pPr>
            <w:r w:rsidRPr="00B15A80">
              <w:t>7.20</w:t>
            </w:r>
          </w:p>
        </w:tc>
        <w:tc>
          <w:tcPr>
            <w:tcW w:w="1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02E3DF" w14:textId="77777777" w:rsidR="00B15A80" w:rsidRPr="00B15A80" w:rsidRDefault="00B15A80" w:rsidP="00B15A80">
            <w:pPr>
              <w:pStyle w:val="p3"/>
            </w:pPr>
            <w:r w:rsidRPr="00B15A80">
              <w:t>1263</w:t>
            </w:r>
          </w:p>
        </w:tc>
        <w:tc>
          <w:tcPr>
            <w:tcW w:w="2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ECA2D2" w14:textId="77777777" w:rsidR="00B15A80" w:rsidRPr="00B15A80" w:rsidRDefault="00B15A80" w:rsidP="00B15A80">
            <w:pPr>
              <w:pStyle w:val="p3"/>
            </w:pPr>
            <w:r w:rsidRPr="00B15A80">
              <w:t>7.41%</w:t>
            </w:r>
            <w:r w:rsidRPr="00B15A80">
              <w:rPr>
                <w:rFonts w:ascii="PingFang TC" w:eastAsia="PingFang TC" w:hAnsi="PingFang TC" w:cs="PingFang TC" w:hint="eastAsia"/>
              </w:rPr>
              <w:t>（年化）</w:t>
            </w:r>
          </w:p>
        </w:tc>
      </w:tr>
    </w:tbl>
    <w:p w14:paraId="254B1B6A" w14:textId="77777777" w:rsidR="00B15A80" w:rsidRDefault="00B15A80" w:rsidP="009B526F">
      <w:pPr>
        <w:pStyle w:val="p3"/>
      </w:pPr>
    </w:p>
    <w:p w14:paraId="4200D19E" w14:textId="77777777" w:rsidR="009B526F" w:rsidRDefault="009B526F" w:rsidP="009B526F">
      <w:pPr>
        <w:pStyle w:val="p4"/>
      </w:pPr>
    </w:p>
    <w:p w14:paraId="34765FB5" w14:textId="77777777" w:rsidR="009B526F" w:rsidRDefault="009B526F" w:rsidP="009B526F">
      <w:pPr>
        <w:pStyle w:val="p1"/>
      </w:pPr>
      <w:r>
        <w:rPr>
          <w:rFonts w:ascii="PingFang TC" w:eastAsia="PingFang TC" w:hAnsi="PingFang TC" w:cs="PingFang TC" w:hint="eastAsia"/>
          <w:b/>
          <w:bCs/>
        </w:rPr>
        <w:t>如何根据个人需求定制全球资产配置？</w:t>
      </w:r>
    </w:p>
    <w:p w14:paraId="3C427D45" w14:textId="77777777" w:rsidR="009B526F" w:rsidRDefault="009B526F" w:rsidP="009B526F">
      <w:pPr>
        <w:pStyle w:val="p2"/>
      </w:pPr>
    </w:p>
    <w:p w14:paraId="5DCC83BA" w14:textId="77777777" w:rsidR="009B526F" w:rsidRDefault="009B526F" w:rsidP="009B526F">
      <w:pPr>
        <w:pStyle w:val="p3"/>
      </w:pPr>
      <w:r>
        <w:rPr>
          <w:rFonts w:ascii="PingFang TC" w:eastAsia="PingFang TC" w:hAnsi="PingFang TC" w:cs="PingFang TC" w:hint="eastAsia"/>
        </w:rPr>
        <w:t>需要特别强调的是，上述</w:t>
      </w:r>
      <w:r>
        <w:t>50%</w:t>
      </w:r>
      <w:r>
        <w:rPr>
          <w:rFonts w:ascii="PingFang TC" w:eastAsia="PingFang TC" w:hAnsi="PingFang TC" w:cs="PingFang TC" w:hint="eastAsia"/>
        </w:rPr>
        <w:t>的标普</w:t>
      </w:r>
      <w:r>
        <w:t>500</w:t>
      </w:r>
      <w:r>
        <w:rPr>
          <w:rFonts w:ascii="PingFang TC" w:eastAsia="PingFang TC" w:hAnsi="PingFang TC" w:cs="PingFang TC" w:hint="eastAsia"/>
        </w:rPr>
        <w:t>与</w:t>
      </w:r>
      <w:r>
        <w:t>50%</w:t>
      </w:r>
      <w:r>
        <w:rPr>
          <w:rFonts w:ascii="PingFang TC" w:eastAsia="PingFang TC" w:hAnsi="PingFang TC" w:cs="PingFang TC" w:hint="eastAsia"/>
        </w:rPr>
        <w:t>的</w:t>
      </w:r>
      <w:r>
        <w:t>MCHI</w:t>
      </w:r>
      <w:r>
        <w:rPr>
          <w:rFonts w:ascii="PingFang TC" w:eastAsia="PingFang TC" w:hAnsi="PingFang TC" w:cs="PingFang TC" w:hint="eastAsia"/>
        </w:rPr>
        <w:t>中国指数组合仅是一个示例，用于说明资产配置的逻辑，而非每个投资者的</w:t>
      </w:r>
      <w:r>
        <w:t>“</w:t>
      </w:r>
      <w:r>
        <w:rPr>
          <w:rFonts w:ascii="PingFang TC" w:eastAsia="PingFang TC" w:hAnsi="PingFang TC" w:cs="PingFang TC" w:hint="eastAsia"/>
        </w:rPr>
        <w:t>最佳方案</w:t>
      </w:r>
      <w:r>
        <w:t>”</w:t>
      </w:r>
      <w:r>
        <w:rPr>
          <w:rFonts w:ascii="PingFang TC" w:eastAsia="PingFang TC" w:hAnsi="PingFang TC" w:cs="PingFang TC" w:hint="eastAsia"/>
        </w:rPr>
        <w:t>。全球资产配置的设计需要考</w:t>
      </w:r>
      <w:r>
        <w:rPr>
          <w:rFonts w:ascii="SimSun" w:eastAsia="SimSun" w:hAnsi="SimSun" w:cs="SimSun" w:hint="eastAsia"/>
        </w:rPr>
        <w:t>虑</w:t>
      </w:r>
      <w:r>
        <w:rPr>
          <w:rFonts w:ascii="PingFang TC" w:eastAsia="PingFang TC" w:hAnsi="PingFang TC" w:cs="PingFang TC" w:hint="eastAsia"/>
        </w:rPr>
        <w:t>投资者的以下关键因素：</w:t>
      </w:r>
    </w:p>
    <w:p w14:paraId="09E6513D" w14:textId="77777777" w:rsidR="009B526F" w:rsidRDefault="009B526F" w:rsidP="009B526F">
      <w:pPr>
        <w:pStyle w:val="p6"/>
      </w:pPr>
      <w:r>
        <w:rPr>
          <w:rStyle w:val="apple-tab-span"/>
          <w:rFonts w:eastAsiaTheme="majorEastAsia"/>
        </w:rPr>
        <w:tab/>
      </w:r>
      <w:r>
        <w:t>1.</w:t>
      </w:r>
      <w:r>
        <w:rPr>
          <w:rStyle w:val="apple-tab-span"/>
          <w:rFonts w:eastAsiaTheme="majorEastAsia"/>
        </w:rPr>
        <w:tab/>
      </w:r>
      <w:r>
        <w:rPr>
          <w:rFonts w:ascii="PingFang TC" w:eastAsia="PingFang TC" w:hAnsi="PingFang TC" w:cs="PingFang TC" w:hint="eastAsia"/>
          <w:b/>
          <w:bCs/>
        </w:rPr>
        <w:t>风险偏好：</w:t>
      </w:r>
    </w:p>
    <w:p w14:paraId="63C73C64" w14:textId="77777777" w:rsidR="009B526F" w:rsidRDefault="009B526F" w:rsidP="009B526F">
      <w:pPr>
        <w:pStyle w:val="p7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rFonts w:ascii="PingFang TC" w:eastAsia="PingFang TC" w:hAnsi="PingFang TC" w:cs="PingFang TC" w:hint="eastAsia"/>
        </w:rPr>
        <w:t>风险承受能力较低的投资者，适合增加债券类资产的配置，以降低波动性。</w:t>
      </w:r>
    </w:p>
    <w:p w14:paraId="6D64C11C" w14:textId="7019B4FB" w:rsidR="009B526F" w:rsidRDefault="009B526F" w:rsidP="009B526F">
      <w:pPr>
        <w:pStyle w:val="p7"/>
      </w:pPr>
      <w:r>
        <w:rPr>
          <w:rStyle w:val="apple-tab-span"/>
          <w:rFonts w:eastAsiaTheme="majorEastAsia"/>
        </w:rPr>
        <w:lastRenderedPageBreak/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rFonts w:ascii="PingFang TC" w:eastAsia="PingFang TC" w:hAnsi="PingFang TC" w:cs="PingFang TC" w:hint="eastAsia"/>
        </w:rPr>
        <w:t>风险偏好较高的投资者，可以适当提高权益类资产（</w:t>
      </w:r>
      <w:r w:rsidR="00E204DE">
        <w:rPr>
          <w:rFonts w:ascii="PingFang TC" w:eastAsia="PingFang TC" w:hAnsi="PingFang TC" w:cs="PingFang TC" w:hint="eastAsia"/>
        </w:rPr>
        <w:t>包括</w:t>
      </w:r>
      <w:r>
        <w:rPr>
          <w:rFonts w:ascii="PingFang TC" w:eastAsia="PingFang TC" w:hAnsi="PingFang TC" w:cs="PingFang TC" w:hint="eastAsia"/>
        </w:rPr>
        <w:t>新兴市场股票）的比重，获取更高的潜在回报。</w:t>
      </w:r>
    </w:p>
    <w:p w14:paraId="4D5147E2" w14:textId="77777777" w:rsidR="009B526F" w:rsidRDefault="009B526F" w:rsidP="009B526F">
      <w:pPr>
        <w:pStyle w:val="p6"/>
      </w:pPr>
      <w:r>
        <w:rPr>
          <w:rStyle w:val="apple-tab-span"/>
          <w:rFonts w:eastAsiaTheme="majorEastAsia"/>
        </w:rPr>
        <w:tab/>
      </w:r>
      <w:r>
        <w:t>2.</w:t>
      </w:r>
      <w:r>
        <w:rPr>
          <w:rStyle w:val="apple-tab-span"/>
          <w:rFonts w:eastAsiaTheme="majorEastAsia"/>
        </w:rPr>
        <w:tab/>
      </w:r>
      <w:r>
        <w:rPr>
          <w:rFonts w:ascii="PingFang TC" w:eastAsia="PingFang TC" w:hAnsi="PingFang TC" w:cs="PingFang TC" w:hint="eastAsia"/>
          <w:b/>
          <w:bCs/>
        </w:rPr>
        <w:t>投资目标：</w:t>
      </w:r>
    </w:p>
    <w:p w14:paraId="423F748E" w14:textId="77777777" w:rsidR="009B526F" w:rsidRDefault="009B526F" w:rsidP="009B526F">
      <w:pPr>
        <w:pStyle w:val="p7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rFonts w:ascii="PingFang TC" w:eastAsia="PingFang TC" w:hAnsi="PingFang TC" w:cs="PingFang TC" w:hint="eastAsia"/>
        </w:rPr>
        <w:t>如果目标是资本增值，可以增加高增长市场的权重。</w:t>
      </w:r>
    </w:p>
    <w:p w14:paraId="1767420E" w14:textId="77777777" w:rsidR="009B526F" w:rsidRDefault="009B526F" w:rsidP="009B526F">
      <w:pPr>
        <w:pStyle w:val="p7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rFonts w:ascii="PingFang TC" w:eastAsia="PingFang TC" w:hAnsi="PingFang TC" w:cs="PingFang TC" w:hint="eastAsia"/>
        </w:rPr>
        <w:t>如果目标是提供</w:t>
      </w:r>
      <w:r>
        <w:rPr>
          <w:rFonts w:ascii="SimSun" w:eastAsia="SimSun" w:hAnsi="SimSun" w:cs="SimSun" w:hint="eastAsia"/>
        </w:rPr>
        <w:t>稳</w:t>
      </w:r>
      <w:r>
        <w:rPr>
          <w:rFonts w:ascii="PingFang TC" w:eastAsia="PingFang TC" w:hAnsi="PingFang TC" w:cs="PingFang TC" w:hint="eastAsia"/>
        </w:rPr>
        <w:t>定现金流，可以增加分红股票或债券的比重。</w:t>
      </w:r>
    </w:p>
    <w:p w14:paraId="6F5DDE16" w14:textId="77777777" w:rsidR="009B526F" w:rsidRDefault="009B526F" w:rsidP="009B526F">
      <w:pPr>
        <w:pStyle w:val="p6"/>
      </w:pPr>
      <w:r>
        <w:rPr>
          <w:rStyle w:val="apple-tab-span"/>
          <w:rFonts w:eastAsiaTheme="majorEastAsia"/>
        </w:rPr>
        <w:tab/>
      </w:r>
      <w:r>
        <w:t>3.</w:t>
      </w:r>
      <w:r>
        <w:rPr>
          <w:rStyle w:val="apple-tab-span"/>
          <w:rFonts w:eastAsiaTheme="majorEastAsia"/>
        </w:rPr>
        <w:tab/>
      </w:r>
      <w:r>
        <w:rPr>
          <w:rFonts w:ascii="PingFang TC" w:eastAsia="PingFang TC" w:hAnsi="PingFang TC" w:cs="PingFang TC" w:hint="eastAsia"/>
          <w:b/>
          <w:bCs/>
        </w:rPr>
        <w:t>币种需求：</w:t>
      </w:r>
    </w:p>
    <w:p w14:paraId="7F1DEB5F" w14:textId="77777777" w:rsidR="009B526F" w:rsidRDefault="009B526F" w:rsidP="009B526F">
      <w:pPr>
        <w:pStyle w:val="p7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rFonts w:ascii="PingFang TC" w:eastAsia="PingFang TC" w:hAnsi="PingFang TC" w:cs="PingFang TC" w:hint="eastAsia"/>
        </w:rPr>
        <w:t>如果投资者需要以美元计价的收入或支付，则应更倾向于美元资产的配置。</w:t>
      </w:r>
    </w:p>
    <w:p w14:paraId="39DBA59B" w14:textId="77777777" w:rsidR="009B526F" w:rsidRDefault="009B526F" w:rsidP="009B526F">
      <w:pPr>
        <w:pStyle w:val="p7"/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rFonts w:ascii="PingFang TC" w:eastAsia="PingFang TC" w:hAnsi="PingFang TC" w:cs="PingFang TC" w:hint="eastAsia"/>
        </w:rPr>
        <w:t>如果投资者未来支出以人民币为主，则需考</w:t>
      </w:r>
      <w:r>
        <w:rPr>
          <w:rFonts w:ascii="SimSun" w:eastAsia="SimSun" w:hAnsi="SimSun" w:cs="SimSun" w:hint="eastAsia"/>
        </w:rPr>
        <w:t>虑</w:t>
      </w:r>
      <w:r>
        <w:rPr>
          <w:rFonts w:ascii="PingFang TC" w:eastAsia="PingFang TC" w:hAnsi="PingFang TC" w:cs="PingFang TC" w:hint="eastAsia"/>
        </w:rPr>
        <w:t>本币与外币的平衡。</w:t>
      </w:r>
    </w:p>
    <w:p w14:paraId="3A6CFC28" w14:textId="77777777" w:rsidR="009B526F" w:rsidRDefault="009B526F" w:rsidP="009B526F">
      <w:pPr>
        <w:pStyle w:val="p6"/>
      </w:pPr>
      <w:r>
        <w:rPr>
          <w:rStyle w:val="apple-tab-span"/>
          <w:rFonts w:eastAsiaTheme="majorEastAsia"/>
        </w:rPr>
        <w:tab/>
      </w:r>
      <w:r>
        <w:t>4.</w:t>
      </w:r>
      <w:r>
        <w:rPr>
          <w:rStyle w:val="apple-tab-span"/>
          <w:rFonts w:eastAsiaTheme="majorEastAsia"/>
        </w:rPr>
        <w:tab/>
      </w:r>
      <w:r>
        <w:rPr>
          <w:rFonts w:ascii="PingFang TC" w:eastAsia="PingFang TC" w:hAnsi="PingFang TC" w:cs="PingFang TC" w:hint="eastAsia"/>
          <w:b/>
          <w:bCs/>
        </w:rPr>
        <w:t>动态再平衡：</w:t>
      </w:r>
    </w:p>
    <w:p w14:paraId="02126400" w14:textId="77777777" w:rsidR="009B526F" w:rsidRDefault="009B526F" w:rsidP="009B526F">
      <w:pPr>
        <w:pStyle w:val="p3"/>
      </w:pPr>
      <w:r>
        <w:rPr>
          <w:rFonts w:ascii="PingFang TC" w:eastAsia="PingFang TC" w:hAnsi="PingFang TC" w:cs="PingFang TC" w:hint="eastAsia"/>
        </w:rPr>
        <w:t>在资产配置中，由于市场波动，组合权重可能偏离初始设定的比例。定期进行再平衡，可以帮助投资者锁定收益，并保持风险的可控性。</w:t>
      </w:r>
    </w:p>
    <w:p w14:paraId="169302D5" w14:textId="77777777" w:rsidR="009B526F" w:rsidRDefault="009B526F" w:rsidP="009B526F">
      <w:pPr>
        <w:pStyle w:val="p4"/>
      </w:pPr>
    </w:p>
    <w:p w14:paraId="20E06D04" w14:textId="77777777" w:rsidR="009B526F" w:rsidRDefault="009B526F" w:rsidP="009B526F">
      <w:pPr>
        <w:pStyle w:val="p1"/>
      </w:pPr>
      <w:r>
        <w:rPr>
          <w:rFonts w:ascii="PingFang TC" w:eastAsia="PingFang TC" w:hAnsi="PingFang TC" w:cs="PingFang TC" w:hint="eastAsia"/>
          <w:b/>
          <w:bCs/>
        </w:rPr>
        <w:t>结语：全球资产配置是风险管理的核心</w:t>
      </w:r>
    </w:p>
    <w:p w14:paraId="5CC2EF71" w14:textId="77777777" w:rsidR="009B526F" w:rsidRDefault="009B526F" w:rsidP="009B526F">
      <w:pPr>
        <w:pStyle w:val="p2"/>
      </w:pPr>
    </w:p>
    <w:p w14:paraId="3D68BCB5" w14:textId="77777777" w:rsidR="009B526F" w:rsidRDefault="009B526F" w:rsidP="009B526F">
      <w:pPr>
        <w:pStyle w:val="p3"/>
      </w:pPr>
      <w:r>
        <w:rPr>
          <w:rFonts w:ascii="PingFang TC" w:eastAsia="PingFang TC" w:hAnsi="PingFang TC" w:cs="PingFang TC" w:hint="eastAsia"/>
        </w:rPr>
        <w:t>全球资产配置的意义不仅在于提升投资组合的回报，更重要的是通过科学的风险对冲，帮助投资者在经济周期、汇率波动和地缘政治的不确定性中</w:t>
      </w:r>
      <w:r>
        <w:rPr>
          <w:rFonts w:ascii="SimSun" w:eastAsia="SimSun" w:hAnsi="SimSun" w:cs="SimSun" w:hint="eastAsia"/>
        </w:rPr>
        <w:t>稳</w:t>
      </w:r>
      <w:r>
        <w:rPr>
          <w:rFonts w:ascii="PingFang TC" w:eastAsia="PingFang TC" w:hAnsi="PingFang TC" w:cs="PingFang TC" w:hint="eastAsia"/>
        </w:rPr>
        <w:t>健前行。</w:t>
      </w:r>
    </w:p>
    <w:p w14:paraId="761C52DA" w14:textId="77777777" w:rsidR="009B526F" w:rsidRDefault="009B526F" w:rsidP="009B526F">
      <w:pPr>
        <w:pStyle w:val="p2"/>
      </w:pPr>
    </w:p>
    <w:p w14:paraId="37A37300" w14:textId="77777777" w:rsidR="009B526F" w:rsidRDefault="009B526F" w:rsidP="009B526F">
      <w:pPr>
        <w:pStyle w:val="p3"/>
      </w:pPr>
      <w:r>
        <w:rPr>
          <w:rFonts w:ascii="PingFang TC" w:eastAsia="PingFang TC" w:hAnsi="PingFang TC" w:cs="PingFang TC" w:hint="eastAsia"/>
        </w:rPr>
        <w:t>资产配置的本质，是一种关于平衡的艺术。它帮助我们在风险与回报之间找到最优解，让投资组合在穿越周期的过程中，既能规避不可预测的市场风暴，也能抓住全球经济增长的机遇。</w:t>
      </w:r>
    </w:p>
    <w:p w14:paraId="147F9FF1" w14:textId="77777777" w:rsidR="009B526F" w:rsidRDefault="009B526F" w:rsidP="009B526F">
      <w:pPr>
        <w:pStyle w:val="p2"/>
      </w:pPr>
    </w:p>
    <w:p w14:paraId="7F27AB53" w14:textId="77777777" w:rsidR="009B526F" w:rsidRDefault="009B526F" w:rsidP="009B526F">
      <w:pPr>
        <w:pStyle w:val="p3"/>
        <w:rPr>
          <w:rFonts w:ascii="PingFang TC" w:eastAsia="PingFang TC" w:hAnsi="PingFang TC" w:cs="PingFang TC"/>
        </w:rPr>
      </w:pPr>
      <w:r>
        <w:rPr>
          <w:rFonts w:ascii="PingFang TC" w:eastAsia="PingFang TC" w:hAnsi="PingFang TC" w:cs="PingFang TC" w:hint="eastAsia"/>
        </w:rPr>
        <w:t>对于每位投资者而言，全球资产配置既是财富管理的工具，也是实现长期财富增长的关键。</w:t>
      </w:r>
      <w:r>
        <w:rPr>
          <w:rFonts w:ascii="SimSun" w:eastAsia="SimSun" w:hAnsi="SimSun" w:cs="SimSun" w:hint="eastAsia"/>
        </w:rPr>
        <w:t>迈</w:t>
      </w:r>
      <w:r>
        <w:rPr>
          <w:rFonts w:ascii="PingFang TC" w:eastAsia="PingFang TC" w:hAnsi="PingFang TC" w:cs="PingFang TC" w:hint="eastAsia"/>
        </w:rPr>
        <w:t>出第一步，从定制适合自己的全球化投资方案开始，让你的资产真正具备</w:t>
      </w:r>
      <w:r>
        <w:t>“</w:t>
      </w:r>
      <w:r>
        <w:rPr>
          <w:rFonts w:ascii="PingFang TC" w:eastAsia="PingFang TC" w:hAnsi="PingFang TC" w:cs="PingFang TC" w:hint="eastAsia"/>
        </w:rPr>
        <w:t>穿越周期</w:t>
      </w:r>
      <w:r>
        <w:t>”</w:t>
      </w:r>
      <w:r>
        <w:rPr>
          <w:rFonts w:ascii="PingFang TC" w:eastAsia="PingFang TC" w:hAnsi="PingFang TC" w:cs="PingFang TC" w:hint="eastAsia"/>
        </w:rPr>
        <w:t>的能力！</w:t>
      </w:r>
    </w:p>
    <w:p w14:paraId="2A5D8D32" w14:textId="77777777" w:rsidR="00445BB4" w:rsidRDefault="00445BB4" w:rsidP="009B526F">
      <w:pPr>
        <w:pStyle w:val="p3"/>
        <w:rPr>
          <w:rFonts w:ascii="PingFang TC" w:eastAsia="PingFang TC" w:hAnsi="PingFang TC" w:cs="PingFang TC"/>
        </w:rPr>
      </w:pPr>
    </w:p>
    <w:p w14:paraId="72B11EFB" w14:textId="77777777" w:rsidR="00F02CD9" w:rsidRDefault="00F02CD9" w:rsidP="00445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System Font" w:hAnsi="System Font" w:cs="System Font"/>
          <w:b/>
          <w:bCs/>
          <w:color w:val="0E0E0E"/>
          <w:kern w:val="0"/>
          <w:szCs w:val="21"/>
        </w:rPr>
      </w:pPr>
    </w:p>
    <w:p w14:paraId="2E65A85B" w14:textId="77777777" w:rsidR="00F02CD9" w:rsidRDefault="00F02CD9" w:rsidP="00445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System Font" w:hAnsi="System Font" w:cs="System Font"/>
          <w:b/>
          <w:bCs/>
          <w:color w:val="0E0E0E"/>
          <w:kern w:val="0"/>
          <w:szCs w:val="21"/>
        </w:rPr>
      </w:pPr>
    </w:p>
    <w:p w14:paraId="62C07520" w14:textId="0FFE6B43" w:rsidR="00445BB4" w:rsidRPr="00403097" w:rsidRDefault="00445BB4" w:rsidP="00445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System Font" w:hAnsi="System Font" w:cs="System Font"/>
          <w:color w:val="0E0E0E"/>
          <w:kern w:val="0"/>
          <w:sz w:val="20"/>
          <w:szCs w:val="20"/>
        </w:rPr>
      </w:pPr>
      <w:r w:rsidRPr="00403097">
        <w:rPr>
          <w:rFonts w:ascii="System Font" w:hAnsi="System Font" w:cs="System Font"/>
          <w:b/>
          <w:bCs/>
          <w:color w:val="0E0E0E"/>
          <w:kern w:val="0"/>
          <w:szCs w:val="21"/>
        </w:rPr>
        <w:t>免责声明</w:t>
      </w:r>
    </w:p>
    <w:p w14:paraId="7AB8E6EF" w14:textId="0B1ABA0B" w:rsidR="00445BB4" w:rsidRPr="00403097" w:rsidRDefault="00F02CD9" w:rsidP="00445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System Font" w:hAnsi="System Font" w:cs="System Font"/>
          <w:color w:val="0E0E0E"/>
          <w:kern w:val="0"/>
          <w:sz w:val="20"/>
          <w:szCs w:val="20"/>
        </w:rPr>
      </w:pPr>
      <w:r>
        <w:rPr>
          <w:rFonts w:ascii="System Font" w:hAnsi="System Font" w:cs="System Font" w:hint="eastAsia"/>
          <w:color w:val="0E0E0E"/>
          <w:kern w:val="0"/>
          <w:sz w:val="20"/>
          <w:szCs w:val="20"/>
        </w:rPr>
        <w:t>本文</w:t>
      </w:r>
      <w:r w:rsidR="00445BB4" w:rsidRPr="00403097">
        <w:rPr>
          <w:rFonts w:ascii="System Font" w:hAnsi="System Font" w:cs="System Font" w:hint="eastAsia"/>
          <w:color w:val="0E0E0E"/>
          <w:kern w:val="0"/>
          <w:sz w:val="20"/>
          <w:szCs w:val="20"/>
        </w:rPr>
        <w:t>中</w:t>
      </w:r>
      <w:r w:rsidR="00445BB4" w:rsidRPr="00403097">
        <w:rPr>
          <w:rFonts w:ascii="System Font" w:hAnsi="System Font" w:cs="System Font"/>
          <w:color w:val="0E0E0E"/>
          <w:kern w:val="0"/>
          <w:sz w:val="20"/>
          <w:szCs w:val="20"/>
        </w:rPr>
        <w:t>所提及的投资分析、市场信息及演示组合，均仅为团队分享和演示之用，</w:t>
      </w:r>
      <w:r w:rsidR="00445BB4" w:rsidRPr="00403097">
        <w:rPr>
          <w:rFonts w:ascii="System Font" w:hAnsi="System Font" w:cs="System Font"/>
          <w:b/>
          <w:bCs/>
          <w:color w:val="0E0E0E"/>
          <w:kern w:val="0"/>
          <w:sz w:val="20"/>
          <w:szCs w:val="20"/>
        </w:rPr>
        <w:t>不构成任何形式的投资建议</w:t>
      </w:r>
      <w:r w:rsidR="00445BB4" w:rsidRPr="00403097">
        <w:rPr>
          <w:rFonts w:ascii="System Font" w:hAnsi="System Font" w:cs="System Font"/>
          <w:color w:val="0E0E0E"/>
          <w:kern w:val="0"/>
          <w:sz w:val="20"/>
          <w:szCs w:val="20"/>
        </w:rPr>
        <w:t>。</w:t>
      </w:r>
      <w:r>
        <w:rPr>
          <w:rFonts w:ascii="System Font" w:hAnsi="System Font" w:cs="System Font" w:hint="eastAsia"/>
          <w:color w:val="0E0E0E"/>
          <w:kern w:val="0"/>
          <w:sz w:val="20"/>
          <w:szCs w:val="20"/>
        </w:rPr>
        <w:t>文</w:t>
      </w:r>
      <w:r w:rsidR="00445BB4" w:rsidRPr="00403097">
        <w:rPr>
          <w:rFonts w:ascii="System Font" w:hAnsi="System Font" w:cs="System Font"/>
          <w:color w:val="0E0E0E"/>
          <w:kern w:val="0"/>
          <w:sz w:val="20"/>
          <w:szCs w:val="20"/>
        </w:rPr>
        <w:t>中的所有内容和数据仅供参考，投资者应根据自身的财务状况、投资目标和风险承受能力，做出独立的投资判断。建议投资者在做出任何投资决策前，务必咨询</w:t>
      </w:r>
      <w:r w:rsidR="00445BB4">
        <w:rPr>
          <w:rFonts w:ascii="System Font" w:hAnsi="System Font" w:cs="System Font" w:hint="eastAsia"/>
          <w:color w:val="0E0E0E"/>
          <w:kern w:val="0"/>
          <w:sz w:val="20"/>
          <w:szCs w:val="20"/>
        </w:rPr>
        <w:t>持牌</w:t>
      </w:r>
      <w:r w:rsidR="00445BB4" w:rsidRPr="00403097">
        <w:rPr>
          <w:rFonts w:ascii="System Font" w:hAnsi="System Font" w:cs="System Font"/>
          <w:color w:val="0E0E0E"/>
          <w:kern w:val="0"/>
          <w:sz w:val="20"/>
          <w:szCs w:val="20"/>
        </w:rPr>
        <w:t>财务顾问或相关专家。</w:t>
      </w:r>
    </w:p>
    <w:p w14:paraId="22804780" w14:textId="77777777" w:rsidR="00445BB4" w:rsidRPr="00403097" w:rsidRDefault="00445BB4" w:rsidP="00445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System Font" w:hAnsi="System Font" w:cs="System Font"/>
          <w:color w:val="0E0E0E"/>
          <w:kern w:val="0"/>
          <w:sz w:val="20"/>
          <w:szCs w:val="20"/>
        </w:rPr>
      </w:pPr>
    </w:p>
    <w:p w14:paraId="79A55292" w14:textId="6A3DBDC0" w:rsidR="00445BB4" w:rsidRPr="00403097" w:rsidRDefault="00F02CD9" w:rsidP="00445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System Font" w:hAnsi="System Font" w:cs="System Font" w:hint="eastAsia"/>
          <w:color w:val="0E0E0E"/>
          <w:kern w:val="0"/>
          <w:sz w:val="20"/>
          <w:szCs w:val="20"/>
        </w:rPr>
      </w:pPr>
      <w:r>
        <w:rPr>
          <w:rFonts w:ascii="System Font" w:hAnsi="System Font" w:cs="System Font" w:hint="eastAsia"/>
          <w:color w:val="0E0E0E"/>
          <w:kern w:val="0"/>
          <w:sz w:val="20"/>
          <w:szCs w:val="20"/>
        </w:rPr>
        <w:lastRenderedPageBreak/>
        <w:t>本文</w:t>
      </w:r>
      <w:r w:rsidR="00445BB4" w:rsidRPr="00403097">
        <w:rPr>
          <w:rFonts w:ascii="System Font" w:hAnsi="System Font" w:cs="System Font"/>
          <w:color w:val="0E0E0E"/>
          <w:kern w:val="0"/>
          <w:sz w:val="20"/>
          <w:szCs w:val="20"/>
        </w:rPr>
        <w:t>所使用的信息和数据来源于我们认为可靠的公开市场及第三方平台，但我们</w:t>
      </w:r>
      <w:r w:rsidR="00445BB4" w:rsidRPr="00403097">
        <w:rPr>
          <w:rFonts w:ascii="System Font" w:hAnsi="System Font" w:cs="System Font"/>
          <w:b/>
          <w:bCs/>
          <w:color w:val="0E0E0E"/>
          <w:kern w:val="0"/>
          <w:sz w:val="20"/>
          <w:szCs w:val="20"/>
        </w:rPr>
        <w:t>不对其准确性、完整性或及时性作任何保证</w:t>
      </w:r>
      <w:r w:rsidR="00445BB4" w:rsidRPr="00403097">
        <w:rPr>
          <w:rFonts w:ascii="System Font" w:hAnsi="System Font" w:cs="System Font"/>
          <w:color w:val="0E0E0E"/>
          <w:kern w:val="0"/>
          <w:sz w:val="20"/>
          <w:szCs w:val="20"/>
        </w:rPr>
        <w:t>。市场情况可能会随着时间的推移发生变化，因此，文章中的内容可能不再适用或有效。</w:t>
      </w:r>
    </w:p>
    <w:p w14:paraId="565D98F5" w14:textId="77777777" w:rsidR="00445BB4" w:rsidRDefault="00445BB4" w:rsidP="00445BB4">
      <w:pPr>
        <w:rPr>
          <w:rFonts w:ascii="System Font" w:hAnsi="System Font" w:cs="System Font"/>
          <w:color w:val="0E0E0E"/>
          <w:kern w:val="0"/>
          <w:sz w:val="20"/>
          <w:szCs w:val="20"/>
        </w:rPr>
      </w:pPr>
      <w:r w:rsidRPr="00403097">
        <w:rPr>
          <w:rFonts w:ascii="System Font" w:hAnsi="System Font" w:cs="System Font"/>
          <w:color w:val="0E0E0E"/>
          <w:kern w:val="0"/>
          <w:sz w:val="20"/>
          <w:szCs w:val="20"/>
        </w:rPr>
        <w:t>投资涉及市场风险，尤其是在全球经济波动加剧的背景下，投资者可能会面临资本损失。</w:t>
      </w:r>
      <w:r w:rsidRPr="00F76D34">
        <w:rPr>
          <w:rFonts w:ascii="System Font" w:hAnsi="System Font" w:cs="System Font" w:hint="eastAsia"/>
          <w:b/>
          <w:bCs/>
          <w:color w:val="FF0000"/>
          <w:kern w:val="0"/>
          <w:sz w:val="20"/>
          <w:szCs w:val="20"/>
        </w:rPr>
        <w:t>除储蓄分红险最终会由保险公司兜底保本外</w:t>
      </w:r>
      <w:r>
        <w:rPr>
          <w:rFonts w:ascii="System Font" w:hAnsi="System Font" w:cs="System Font" w:hint="eastAsia"/>
          <w:color w:val="0E0E0E"/>
          <w:kern w:val="0"/>
          <w:sz w:val="20"/>
          <w:szCs w:val="20"/>
        </w:rPr>
        <w:t>，其他投资均有波动和资产损失的风险，</w:t>
      </w:r>
      <w:r w:rsidRPr="00403097">
        <w:rPr>
          <w:rFonts w:ascii="System Font" w:hAnsi="System Font" w:cs="System Font"/>
          <w:b/>
          <w:bCs/>
          <w:color w:val="0E0E0E"/>
          <w:kern w:val="0"/>
          <w:sz w:val="20"/>
          <w:szCs w:val="20"/>
        </w:rPr>
        <w:t>客户应自行承担所有投资风险</w:t>
      </w:r>
      <w:r w:rsidRPr="00403097">
        <w:rPr>
          <w:rFonts w:ascii="System Font" w:hAnsi="System Font" w:cs="System Font"/>
          <w:color w:val="0E0E0E"/>
          <w:kern w:val="0"/>
          <w:sz w:val="20"/>
          <w:szCs w:val="20"/>
        </w:rPr>
        <w:t>。我们不对任何因使用本文中所提供的信息而可能导致的损失负责。</w:t>
      </w:r>
    </w:p>
    <w:p w14:paraId="7D7DEB7F" w14:textId="77777777" w:rsidR="00445BB4" w:rsidRDefault="00445BB4" w:rsidP="009B526F">
      <w:pPr>
        <w:pStyle w:val="p3"/>
      </w:pPr>
    </w:p>
    <w:p w14:paraId="0DF03E86" w14:textId="77777777" w:rsidR="00445BB4" w:rsidRDefault="00445BB4" w:rsidP="009B526F">
      <w:pPr>
        <w:pStyle w:val="p3"/>
      </w:pPr>
    </w:p>
    <w:p w14:paraId="717DFB4B" w14:textId="77777777" w:rsidR="00445BB4" w:rsidRDefault="00445BB4" w:rsidP="00445BB4">
      <w:pPr>
        <w:rPr>
          <w:rFonts w:ascii="System Font" w:hAnsi="System Font" w:cs="System Font"/>
          <w:color w:val="0E0E0E"/>
          <w:kern w:val="0"/>
          <w:sz w:val="20"/>
          <w:szCs w:val="20"/>
        </w:rPr>
      </w:pPr>
      <w:r>
        <w:rPr>
          <w:rFonts w:ascii="System Font" w:hAnsi="System Font" w:cs="System Font" w:hint="eastAsia"/>
          <w:color w:val="0E0E0E"/>
          <w:kern w:val="0"/>
          <w:sz w:val="20"/>
          <w:szCs w:val="20"/>
        </w:rPr>
        <w:t>参考文章：</w:t>
      </w:r>
    </w:p>
    <w:p w14:paraId="091E5A3F" w14:textId="77777777" w:rsidR="00445BB4" w:rsidRDefault="00445BB4" w:rsidP="00445BB4">
      <w:pPr>
        <w:rPr>
          <w:rFonts w:ascii="System Font" w:hAnsi="System Font" w:cs="System Font"/>
          <w:color w:val="0E0E0E"/>
          <w:kern w:val="0"/>
          <w:sz w:val="20"/>
          <w:szCs w:val="20"/>
        </w:rPr>
      </w:pPr>
    </w:p>
    <w:p w14:paraId="6C78C8DF" w14:textId="77777777" w:rsidR="00445BB4" w:rsidRDefault="00445BB4" w:rsidP="00445BB4">
      <w:pPr>
        <w:rPr>
          <w:rFonts w:ascii="System Font" w:hAnsi="System Font" w:cs="System Font"/>
          <w:color w:val="0E0E0E"/>
          <w:kern w:val="0"/>
          <w:sz w:val="20"/>
          <w:szCs w:val="20"/>
        </w:rPr>
      </w:pPr>
      <w:hyperlink r:id="rId12" w:anchor="rd" w:history="1">
        <w:r w:rsidRPr="00621667">
          <w:rPr>
            <w:rStyle w:val="Hyperlink"/>
            <w:rFonts w:ascii="System Font" w:hAnsi="System Font" w:cs="System Font"/>
            <w:kern w:val="0"/>
            <w:sz w:val="20"/>
            <w:szCs w:val="20"/>
          </w:rPr>
          <w:t>海外投资系列</w:t>
        </w:r>
        <w:r w:rsidRPr="00621667">
          <w:rPr>
            <w:rStyle w:val="Hyperlink"/>
            <w:rFonts w:ascii="System Font" w:hAnsi="System Font" w:cs="System Font"/>
            <w:kern w:val="0"/>
            <w:sz w:val="20"/>
            <w:szCs w:val="20"/>
          </w:rPr>
          <w:t>1</w:t>
        </w:r>
        <w:r w:rsidRPr="00621667">
          <w:rPr>
            <w:rStyle w:val="Hyperlink"/>
            <w:rFonts w:ascii="System Font" w:hAnsi="System Font" w:cs="System Font"/>
            <w:kern w:val="0"/>
            <w:sz w:val="20"/>
            <w:szCs w:val="20"/>
          </w:rPr>
          <w:t>：什么是投资？探讨投资的底层逻辑与终极目标</w:t>
        </w:r>
      </w:hyperlink>
    </w:p>
    <w:p w14:paraId="70BF16BC" w14:textId="77777777" w:rsidR="00445BB4" w:rsidRDefault="00445BB4" w:rsidP="00445BB4">
      <w:pPr>
        <w:rPr>
          <w:rFonts w:ascii="System Font" w:hAnsi="System Font" w:cs="System Font"/>
          <w:color w:val="0E0E0E"/>
          <w:kern w:val="0"/>
          <w:sz w:val="20"/>
          <w:szCs w:val="20"/>
        </w:rPr>
      </w:pPr>
      <w:hyperlink r:id="rId13" w:anchor="rd" w:history="1">
        <w:r w:rsidRPr="00621667">
          <w:rPr>
            <w:rStyle w:val="Hyperlink"/>
            <w:rFonts w:ascii="System Font" w:hAnsi="System Font" w:cs="System Font"/>
            <w:kern w:val="0"/>
            <w:sz w:val="20"/>
            <w:szCs w:val="20"/>
          </w:rPr>
          <w:t>海外投资系列</w:t>
        </w:r>
        <w:r w:rsidRPr="00621667">
          <w:rPr>
            <w:rStyle w:val="Hyperlink"/>
            <w:rFonts w:ascii="System Font" w:hAnsi="System Font" w:cs="System Font"/>
            <w:kern w:val="0"/>
            <w:sz w:val="20"/>
            <w:szCs w:val="20"/>
          </w:rPr>
          <w:t>2</w:t>
        </w:r>
        <w:r w:rsidRPr="00621667">
          <w:rPr>
            <w:rStyle w:val="Hyperlink"/>
            <w:rFonts w:ascii="System Font" w:hAnsi="System Font" w:cs="System Font"/>
            <w:kern w:val="0"/>
            <w:sz w:val="20"/>
            <w:szCs w:val="20"/>
          </w:rPr>
          <w:t>：如何在波涛汹涌的投资市场中获得长期稳健收益？</w:t>
        </w:r>
      </w:hyperlink>
    </w:p>
    <w:p w14:paraId="6DD81092" w14:textId="77777777" w:rsidR="00445BB4" w:rsidRPr="00621667" w:rsidRDefault="00445BB4" w:rsidP="00445BB4">
      <w:pPr>
        <w:rPr>
          <w:rFonts w:ascii="System Font" w:hAnsi="System Font" w:cs="System Font"/>
          <w:color w:val="0E0E0E"/>
          <w:kern w:val="0"/>
          <w:sz w:val="20"/>
          <w:szCs w:val="20"/>
        </w:rPr>
      </w:pPr>
      <w:r>
        <w:rPr>
          <w:rFonts w:ascii="System Font" w:hAnsi="System Font" w:cs="System Font" w:hint="eastAsia"/>
          <w:color w:val="0E0E0E"/>
          <w:kern w:val="0"/>
          <w:sz w:val="20"/>
          <w:szCs w:val="20"/>
        </w:rPr>
        <w:t>。。。</w:t>
      </w:r>
    </w:p>
    <w:p w14:paraId="1B3A6E6D" w14:textId="77777777" w:rsidR="00445BB4" w:rsidRDefault="00445BB4" w:rsidP="009B526F">
      <w:pPr>
        <w:pStyle w:val="p3"/>
        <w:rPr>
          <w:rFonts w:ascii="PingFang TC" w:eastAsia="PingFang TC" w:hAnsi="PingFang TC" w:cs="PingFang TC"/>
        </w:rPr>
      </w:pPr>
    </w:p>
    <w:p w14:paraId="5AA0A6B8" w14:textId="3E38C4D0" w:rsidR="00445BB4" w:rsidRDefault="00445BB4" w:rsidP="009B526F">
      <w:pPr>
        <w:pStyle w:val="p3"/>
        <w:rPr>
          <w:rFonts w:hint="eastAsia"/>
        </w:rPr>
      </w:pPr>
    </w:p>
    <w:p w14:paraId="5FA37C58" w14:textId="77777777" w:rsidR="009B526F" w:rsidRDefault="009B526F"/>
    <w:sectPr w:rsidR="009B52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26F"/>
    <w:rsid w:val="000F5812"/>
    <w:rsid w:val="001B7AF3"/>
    <w:rsid w:val="00445BB4"/>
    <w:rsid w:val="009B526F"/>
    <w:rsid w:val="00B15A80"/>
    <w:rsid w:val="00E204DE"/>
    <w:rsid w:val="00F0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6002C7"/>
  <w15:chartTrackingRefBased/>
  <w15:docId w15:val="{F82DBAA9-6310-6747-8D44-891DC002C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26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B526F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3"/>
      <w:szCs w:val="23"/>
      <w14:ligatures w14:val="none"/>
    </w:rPr>
  </w:style>
  <w:style w:type="paragraph" w:customStyle="1" w:styleId="p2">
    <w:name w:val="p2"/>
    <w:basedOn w:val="Normal"/>
    <w:rsid w:val="009B526F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3">
    <w:name w:val="p3"/>
    <w:basedOn w:val="Normal"/>
    <w:rsid w:val="009B526F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4">
    <w:name w:val="p4"/>
    <w:basedOn w:val="Normal"/>
    <w:rsid w:val="009B526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9B526F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0"/>
      <w:szCs w:val="20"/>
      <w14:ligatures w14:val="none"/>
    </w:rPr>
  </w:style>
  <w:style w:type="paragraph" w:customStyle="1" w:styleId="p6">
    <w:name w:val="p6"/>
    <w:basedOn w:val="Normal"/>
    <w:rsid w:val="009B526F"/>
    <w:pPr>
      <w:spacing w:before="180" w:after="0" w:line="240" w:lineRule="auto"/>
      <w:ind w:left="315" w:hanging="315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7">
    <w:name w:val="p7"/>
    <w:basedOn w:val="Normal"/>
    <w:rsid w:val="009B526F"/>
    <w:pPr>
      <w:spacing w:before="180" w:after="0" w:line="240" w:lineRule="auto"/>
      <w:ind w:left="495" w:hanging="495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character" w:customStyle="1" w:styleId="apple-tab-span">
    <w:name w:val="apple-tab-span"/>
    <w:basedOn w:val="DefaultParagraphFont"/>
    <w:rsid w:val="009B526F"/>
  </w:style>
  <w:style w:type="character" w:styleId="Hyperlink">
    <w:name w:val="Hyperlink"/>
    <w:basedOn w:val="DefaultParagraphFont"/>
    <w:uiPriority w:val="99"/>
    <w:unhideWhenUsed/>
    <w:rsid w:val="00445BB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mp.weixin.qq.com/s?__biz=MzU1OTg4ODk4NA==&amp;mid=2247484584&amp;idx=1&amp;sn=46fa98fe9c7c2680d353bf38149df0d9&amp;chksm=fc112b9fcb66a289c36dd4313461ea32abbc23c42f369173e6ca011b31bb7645500baf53ef8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hyperlink" Target="https://mp.weixin.qq.com/s?__biz=MzU1OTg4ODk4NA==&amp;mid=2247484583&amp;idx=1&amp;sn=51b56e9a0b2a10fb528d6e78f23f0107&amp;chksm=fc112b90cb66a286538a57de9998ed58a454612a0ce4a562d1e15991c3ecd84012621fe8efc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5</cp:revision>
  <dcterms:created xsi:type="dcterms:W3CDTF">2024-11-21T05:50:00Z</dcterms:created>
  <dcterms:modified xsi:type="dcterms:W3CDTF">2024-11-21T06:13:00Z</dcterms:modified>
</cp:coreProperties>
</file>