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B2B23" w14:textId="3BF9D404" w:rsidR="00BA26E7" w:rsidRDefault="00BA26E7" w:rsidP="00BA26E7">
      <w:pPr>
        <w:pStyle w:val="p1"/>
      </w:pPr>
      <w:r>
        <w:rPr>
          <w:rFonts w:ascii="PingFang TC" w:eastAsia="PingFang TC" w:hAnsi="PingFang TC" w:cs="PingFang TC" w:hint="eastAsia"/>
          <w:b/>
          <w:bCs/>
        </w:rPr>
        <w:t>从中美组合到全球分散：普通人也能执行的资产配置升级法则</w:t>
      </w:r>
    </w:p>
    <w:p w14:paraId="147817E2" w14:textId="77777777" w:rsidR="00BA26E7" w:rsidRDefault="00BA26E7"/>
    <w:p w14:paraId="5D10FA8E" w14:textId="297BAFB1" w:rsidR="003B3272" w:rsidRPr="003B3272" w:rsidRDefault="003B3272" w:rsidP="003B3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在上一篇文章里</w:t>
      </w:r>
      <w:r w:rsidR="00BA26E7">
        <w:rPr>
          <w:rFonts w:ascii="PingFang TC" w:eastAsia="PingFang TC" w:hAnsi="PingFang TC" w:cs="PingFang TC" w:hint="eastAsia"/>
          <w:kern w:val="0"/>
          <w14:ligatures w14:val="none"/>
        </w:rPr>
        <w:t>《全球资产配置：穿越周期的科学之道》</w:t>
      </w: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，我们用一个简单的例子，拆解了</w:t>
      </w:r>
      <w:r w:rsidRPr="003B32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中国</w:t>
      </w:r>
      <w:r w:rsidRPr="003B3272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美国</w:t>
      </w:r>
      <w:r w:rsidRPr="003B32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双市场组合是如何帮助投资者在经济波动中分散风险、平滑资产组合回撤的</w:t>
      </w:r>
      <w:r w:rsidRPr="003B3272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A0CFA3A" w14:textId="613A914E" w:rsidR="003B3272" w:rsidRPr="003B3272" w:rsidRDefault="003B3272" w:rsidP="003B3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对很多人来说，这样的跨市场搭配，已经比单纯把所有筹码压在一个地方更安全、更</w:t>
      </w:r>
      <w:r w:rsidRPr="003B3272">
        <w:rPr>
          <w:rFonts w:ascii="SimSun" w:eastAsia="SimSun" w:hAnsi="SimSun" w:cs="SimSun" w:hint="eastAsia"/>
          <w:kern w:val="0"/>
          <w14:ligatures w14:val="none"/>
        </w:rPr>
        <w:t>稳</w:t>
      </w: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健</w:t>
      </w:r>
      <w:r w:rsidRPr="003B3272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EE84395" w14:textId="77777777" w:rsidR="003B3272" w:rsidRDefault="003B3272" w:rsidP="003B3272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但从更长期的视角来看，全球市场</w:t>
      </w:r>
      <w:r w:rsidRPr="003B3272">
        <w:rPr>
          <w:rFonts w:ascii="SimSun" w:eastAsia="SimSun" w:hAnsi="SimSun" w:cs="SimSun" w:hint="eastAsia"/>
          <w:kern w:val="0"/>
          <w14:ligatures w14:val="none"/>
        </w:rPr>
        <w:t>远</w:t>
      </w: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不止中美两国</w:t>
      </w:r>
      <w:r w:rsidRPr="003B3272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C6E0373" w14:textId="7841FCD6" w:rsidR="00B84C6F" w:rsidRPr="003B3272" w:rsidRDefault="00B84C6F" w:rsidP="003B3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0F5812">
        <w:rPr>
          <w:noProof/>
        </w:rPr>
        <w:drawing>
          <wp:inline distT="0" distB="0" distL="0" distR="0" wp14:anchorId="168D9EB2" wp14:editId="104F2E2D">
            <wp:extent cx="5943600" cy="3750945"/>
            <wp:effectExtent l="0" t="0" r="0" b="0"/>
            <wp:docPr id="1823131998" name="Picture 1" descr="A chart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31998" name="Picture 1" descr="A chart with numbers and lett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B5C6" w14:textId="1EE53DB2" w:rsidR="003B3272" w:rsidRPr="003B3272" w:rsidRDefault="003B3272" w:rsidP="003B3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欧美、日本、亚洲新兴经济体、不同货币区域的汇率变化与政策环境，都在轮流演绎着各自的经济周期与估值波动</w:t>
      </w:r>
      <w:r w:rsidRPr="003B3272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E962F9F" w14:textId="77777777" w:rsidR="003B3272" w:rsidRPr="003B3272" w:rsidRDefault="003B3272" w:rsidP="003B3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当财富积累到一定阶段，仅仅依赖双市场组合，依然可能面临周期重叠、区域风险突发等不可控的</w:t>
      </w:r>
      <w:r w:rsidRPr="003B327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黑天鹅</w:t>
      </w:r>
      <w:r w:rsidRPr="003B327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3B3272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70EBE56" w14:textId="5B7C9FC4" w:rsidR="003B3272" w:rsidRPr="003B3272" w:rsidRDefault="003B3272" w:rsidP="003B3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27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真正让资产组合具备</w:t>
      </w:r>
      <w:r w:rsidRPr="003B32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B327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穿越周期</w:t>
      </w:r>
      <w:r w:rsidRPr="003B32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B327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能力的关键，是把分散的逻辑从两个国家，推广到更多国家和地区，形成跨经济体、跨货币、跨政策环境的</w:t>
      </w:r>
      <w:r w:rsidRPr="003B32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3B327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全球组合</w:t>
      </w:r>
      <w:r w:rsidRPr="003B32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3B3272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1BA8B6CC" w14:textId="49994550" w:rsidR="003B3272" w:rsidRPr="003B3272" w:rsidRDefault="003B3272" w:rsidP="003B3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这篇文章，我们就从全球公司市值加权的组合开始，</w:t>
      </w:r>
      <w:r w:rsidR="009461D5">
        <w:rPr>
          <w:rFonts w:ascii="PingFang TC" w:eastAsia="PingFang TC" w:hAnsi="PingFang TC" w:cs="PingFang TC" w:hint="eastAsia"/>
          <w:kern w:val="0"/>
          <w14:ligatures w14:val="none"/>
        </w:rPr>
        <w:t>我们</w:t>
      </w: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如何</w:t>
      </w:r>
      <w:r w:rsidR="009461D5">
        <w:rPr>
          <w:rFonts w:ascii="PingFang TC" w:eastAsia="PingFang TC" w:hAnsi="PingFang TC" w:cs="PingFang TC" w:hint="eastAsia"/>
          <w:kern w:val="0"/>
          <w14:ligatures w14:val="none"/>
        </w:rPr>
        <w:t>实践</w:t>
      </w: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长期可执行的</w:t>
      </w:r>
      <w:r w:rsidR="009461D5">
        <w:rPr>
          <w:rFonts w:ascii="PingFang TC" w:eastAsia="PingFang TC" w:hAnsi="PingFang TC" w:cs="PingFang TC" w:hint="eastAsia"/>
          <w:kern w:val="0"/>
          <w14:ligatures w14:val="none"/>
        </w:rPr>
        <w:t>全球</w:t>
      </w:r>
      <w:r w:rsidRPr="003B3272">
        <w:rPr>
          <w:rFonts w:ascii="PingFang TC" w:eastAsia="PingFang TC" w:hAnsi="PingFang TC" w:cs="PingFang TC" w:hint="eastAsia"/>
          <w:kern w:val="0"/>
          <w14:ligatures w14:val="none"/>
        </w:rPr>
        <w:t>配置结构</w:t>
      </w:r>
      <w:r w:rsidRPr="003B3272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81C1B6A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从全球分散化的逻辑出发，</w:t>
      </w:r>
      <w:r>
        <w:rPr>
          <w:rStyle w:val="s1"/>
          <w:rFonts w:eastAsiaTheme="majorEastAsia"/>
          <w:b/>
          <w:bCs/>
        </w:rPr>
        <w:t>全球公司市值加权组合</w:t>
      </w:r>
      <w:r>
        <w:rPr>
          <w:rFonts w:ascii="PingFang TC" w:eastAsia="PingFang TC" w:hAnsi="PingFang TC" w:cs="PingFang TC" w:hint="eastAsia"/>
        </w:rPr>
        <w:t>可以说是最接近经济实际全貌的一种配置方式。</w:t>
      </w:r>
    </w:p>
    <w:p w14:paraId="29547E76" w14:textId="77777777" w:rsidR="003C6209" w:rsidRDefault="003C6209" w:rsidP="003C6209">
      <w:pPr>
        <w:pStyle w:val="p1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它不依赖个人的主观判断，而是把全世界上市公司按照市值占比纳入同一个组合，相当于跟随全球经济的发展轨迹自然扩张或收缩。</w:t>
      </w:r>
    </w:p>
    <w:p w14:paraId="053A2D5E" w14:textId="77777777" w:rsidR="009461D5" w:rsidRPr="009461D5" w:rsidRDefault="009461D5" w:rsidP="0094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要在全球范围内做好资产分散，先看那些真正长期跑出来、并被市场反复验证的标杆，永</w:t>
      </w:r>
      <w:r w:rsidRPr="009461D5">
        <w:rPr>
          <w:rFonts w:ascii="SimSun" w:eastAsia="SimSun" w:hAnsi="SimSun" w:cs="SimSun" w:hint="eastAsia"/>
          <w:kern w:val="0"/>
          <w14:ligatures w14:val="none"/>
        </w:rPr>
        <w:t>远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是最</w:t>
      </w:r>
      <w:r w:rsidRPr="009461D5">
        <w:rPr>
          <w:rFonts w:ascii="SimSun" w:eastAsia="SimSun" w:hAnsi="SimSun" w:cs="SimSun" w:hint="eastAsia"/>
          <w:kern w:val="0"/>
          <w14:ligatures w14:val="none"/>
        </w:rPr>
        <w:t>稳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妥的起点</w:t>
      </w:r>
      <w:r w:rsidRPr="009461D5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3EB14B1" w14:textId="2AE69723" w:rsidR="009461D5" w:rsidRPr="009461D5" w:rsidRDefault="009461D5" w:rsidP="0094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OLE_LINK1"/>
      <w:bookmarkStart w:id="1" w:name="OLE_LINK2"/>
      <w:r w:rsidRPr="009461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Vanguard Total World Stock Index</w:t>
      </w:r>
      <w:r w:rsidR="00AF2748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 xml:space="preserve"> </w:t>
      </w:r>
      <w:r w:rsidR="00AF2748" w:rsidRPr="00AF2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Admiral</w:t>
      </w:r>
      <w:bookmarkEnd w:id="0"/>
      <w:bookmarkEnd w:id="1"/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（先锋全球股票指数</w:t>
      </w:r>
      <w:r w:rsidR="00AF2748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VTWAX</w:t>
      </w:r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就是这样一个典型例子</w:t>
      </w:r>
      <w:r w:rsidRPr="009461D5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7839ECD5" w14:textId="09A8574F" w:rsidR="009461D5" w:rsidRPr="00B84C6F" w:rsidRDefault="009461D5" w:rsidP="009461D5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它被称为全球市场上</w:t>
      </w:r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最难被轻易超越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的股票组合之一，因为它几乎把所有可投资的上市公司都纳入其中，涵盖了发达市场与新兴市场、不同规模和行业的企业</w:t>
      </w:r>
      <w:r w:rsidR="00B84C6F">
        <w:rPr>
          <w:rFonts w:ascii="PingFang TC" w:eastAsia="PingFang TC" w:hAnsi="PingFang TC" w:cs="PingFang TC" w:hint="eastAsia"/>
          <w:kern w:val="0"/>
          <w14:ligatures w14:val="none"/>
        </w:rPr>
        <w:t>。</w:t>
      </w:r>
      <w:r w:rsidR="002A65AD">
        <w:rPr>
          <w:rFonts w:ascii="PingFang TC" w:eastAsia="PingFang TC" w:hAnsi="PingFang TC" w:cs="PingFang TC" w:hint="eastAsia"/>
          <w:kern w:val="0"/>
          <w14:ligatures w14:val="none"/>
        </w:rPr>
        <w:t>从2015年该只指数设立以来，取得了年化12%的收益。</w:t>
      </w:r>
    </w:p>
    <w:p w14:paraId="613FA302" w14:textId="77777777" w:rsidR="009461D5" w:rsidRPr="009461D5" w:rsidRDefault="009461D5" w:rsidP="0094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这个指数背后的逻辑非常简单但有效</w:t>
      </w:r>
      <w:r w:rsidRPr="009461D5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615D78B0" w14:textId="77777777" w:rsidR="009461D5" w:rsidRPr="009461D5" w:rsidRDefault="009461D5" w:rsidP="00946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市值加权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：它采用全球市值加权，把每家公司的权重交给市场自己来决定，意味着投资者是在跟随整个市场对每只股票价值的长期判断，避免了过度择时和过度交易</w:t>
      </w:r>
      <w:r w:rsidRPr="009461D5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9EBE688" w14:textId="77777777" w:rsidR="009461D5" w:rsidRPr="009461D5" w:rsidRDefault="009461D5" w:rsidP="00946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lastRenderedPageBreak/>
        <w:t>超广泛分散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：指数包含了超过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 xml:space="preserve"> 9,500 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只股票，单只股票在整个组合中的占比极小。它的前十大持仓只占到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 xml:space="preserve"> 19% 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的比重，而同类全球股票基金往往前十大持仓占比能达到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 xml:space="preserve"> 30% 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以上</w:t>
      </w:r>
      <w:r w:rsidRPr="009461D5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9F7CD24" w14:textId="77777777" w:rsidR="009461D5" w:rsidRPr="009461D5" w:rsidRDefault="009461D5" w:rsidP="00946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区域均衡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：它几乎一比一还原了全球经济的真实面貌，像美国股票约占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 xml:space="preserve"> 65%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，其余部分分布在欧洲、日本、亚洲新兴市场等多个区域，区域之间相互补位</w:t>
      </w:r>
      <w:r w:rsidRPr="009461D5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285C0D5" w14:textId="77777777" w:rsidR="009461D5" w:rsidRPr="009461D5" w:rsidRDefault="009461D5" w:rsidP="009461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低成本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：低费用是这个组合长期表现优于同类的重要原因之一，极低的管理费，让投资者能最大限度保留组合自发产生的长期回报</w:t>
      </w:r>
      <w:r w:rsidRPr="009461D5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04394A8" w14:textId="77777777" w:rsidR="009461D5" w:rsidRPr="009461D5" w:rsidRDefault="009461D5" w:rsidP="0094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3B352" w14:textId="5CE79569" w:rsidR="009461D5" w:rsidRPr="009461D5" w:rsidRDefault="009461D5" w:rsidP="0094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以过去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年（截至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 xml:space="preserve"> 2024 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年底）为例，这只指数型基金的年化回报比同类全球股票组合平均高出约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 xml:space="preserve"> 1.5 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个百分点，其中大部分优势，正是来自几乎不需要过度操作和高昂费用的结构</w:t>
      </w:r>
      <w:r w:rsidRPr="009461D5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C231F77" w14:textId="77777777" w:rsidR="009461D5" w:rsidRDefault="009461D5" w:rsidP="009461D5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b/>
          <w:bCs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对想在全球范围内追求长期</w:t>
      </w:r>
      <w:r w:rsidRPr="009461D5">
        <w:rPr>
          <w:rFonts w:ascii="SimSun" w:eastAsia="SimSun" w:hAnsi="SimSun" w:cs="SimSun" w:hint="eastAsia"/>
          <w:b/>
          <w:bCs/>
          <w:kern w:val="0"/>
          <w14:ligatures w14:val="none"/>
        </w:rPr>
        <w:t>稳</w:t>
      </w:r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健增长的普通投资者来说，这样的组合思路背后最大的启发是</w:t>
      </w:r>
      <w:r w:rsidRPr="009461D5">
        <w:rPr>
          <w:rFonts w:ascii="PingFang TC" w:eastAsia="PingFang TC" w:hAnsi="PingFang TC" w:cs="PingFang TC"/>
          <w:b/>
          <w:bCs/>
          <w:kern w:val="0"/>
          <w14:ligatures w14:val="none"/>
        </w:rPr>
        <w:t>：</w:t>
      </w:r>
    </w:p>
    <w:p w14:paraId="46DDB6D7" w14:textId="49150240" w:rsidR="002A65AD" w:rsidRPr="009461D5" w:rsidRDefault="002A65AD" w:rsidP="002A65AD">
      <w:pPr>
        <w:pStyle w:val="p1"/>
      </w:pPr>
      <w:r>
        <w:rPr>
          <w:rFonts w:ascii="PingFang TC" w:eastAsia="PingFang TC" w:hAnsi="PingFang TC" w:cs="PingFang TC" w:hint="eastAsia"/>
        </w:rPr>
        <w:t>不是去机械复制每一个成分股，而是</w:t>
      </w:r>
      <w:r>
        <w:rPr>
          <w:rStyle w:val="s1"/>
          <w:rFonts w:eastAsiaTheme="majorEastAsia"/>
          <w:b/>
          <w:bCs/>
        </w:rPr>
        <w:t>借鉴它对全球市场的真实还原度和极简执行思路</w:t>
      </w:r>
      <w:r>
        <w:rPr>
          <w:rFonts w:ascii="PingFang TC" w:eastAsia="PingFang TC" w:hAnsi="PingFang TC" w:cs="PingFang TC" w:hint="eastAsia"/>
        </w:rPr>
        <w:t>。</w:t>
      </w:r>
    </w:p>
    <w:p w14:paraId="7A7AE76D" w14:textId="77777777" w:rsidR="009461D5" w:rsidRPr="009461D5" w:rsidRDefault="009461D5" w:rsidP="00946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在真正长期有效的全球资产配置里，</w:t>
      </w:r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分散化不是靠复</w:t>
      </w:r>
      <w:r w:rsidRPr="009461D5">
        <w:rPr>
          <w:rFonts w:ascii="SimSun" w:eastAsia="SimSun" w:hAnsi="SimSun" w:cs="SimSun" w:hint="eastAsia"/>
          <w:b/>
          <w:bCs/>
          <w:kern w:val="0"/>
          <w14:ligatures w14:val="none"/>
        </w:rPr>
        <w:t>杂</w:t>
      </w:r>
      <w:r w:rsidRPr="009461D5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的预测，而是用足够广泛的覆盖和低成本的执行，把不可控的个别波动降到最低</w:t>
      </w:r>
      <w:r w:rsidRPr="009461D5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3A4F92E8" w14:textId="67F97636" w:rsidR="002A65AD" w:rsidRPr="002A65AD" w:rsidRDefault="009461D5" w:rsidP="002A65AD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这也正是我们接下来要借</w:t>
      </w:r>
      <w:r w:rsidRPr="009461D5">
        <w:rPr>
          <w:rFonts w:ascii="SimSun" w:eastAsia="SimSun" w:hAnsi="SimSun" w:cs="SimSun" w:hint="eastAsia"/>
          <w:kern w:val="0"/>
          <w14:ligatures w14:val="none"/>
        </w:rPr>
        <w:t>鉴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F2748" w:rsidRPr="009461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Vanguard Total World Stock Index</w:t>
      </w:r>
      <w:r w:rsidR="00AF2748"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 xml:space="preserve"> </w:t>
      </w:r>
      <w:r w:rsidR="00AF2748" w:rsidRPr="00AF27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Admiral</w:t>
      </w:r>
      <w:r w:rsidR="00AF2748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="00AF2748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="00AF2748">
        <w:rPr>
          <w:rFonts w:ascii="Times New Roman" w:eastAsia="Times New Roman" w:hAnsi="Times New Roman" w:cs="Times New Roman" w:hint="eastAsia"/>
          <w:kern w:val="0"/>
          <w14:ligatures w14:val="none"/>
        </w:rPr>
        <w:t>VTWAX</w:t>
      </w:r>
      <w:r w:rsidR="00AF2748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背后的核心框架，结合实际可执行的工具和家庭实际需求，去设计属于自己的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461D5">
        <w:rPr>
          <w:rFonts w:ascii="PingFang TC" w:eastAsia="PingFang TC" w:hAnsi="PingFang TC" w:cs="PingFang TC" w:hint="eastAsia"/>
          <w:kern w:val="0"/>
          <w14:ligatures w14:val="none"/>
        </w:rPr>
        <w:t>全球分散组合</w:t>
      </w:r>
      <w:r w:rsidRPr="009461D5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461D5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9C3946B" w14:textId="77777777" w:rsidR="002A65AD" w:rsidRDefault="002A65AD" w:rsidP="002A65AD">
      <w:pPr>
        <w:pStyle w:val="p1"/>
      </w:pPr>
      <w:r>
        <w:rPr>
          <w:rFonts w:ascii="PingFang TC" w:eastAsia="PingFang TC" w:hAnsi="PingFang TC" w:cs="PingFang TC" w:hint="eastAsia"/>
        </w:rPr>
        <w:t>对普通投资者来说，要做到这点，其实并不复</w:t>
      </w:r>
      <w:r>
        <w:rPr>
          <w:rFonts w:ascii="SimSun" w:eastAsia="SimSun" w:hAnsi="SimSun" w:cs="SimSun" w:hint="eastAsia"/>
        </w:rPr>
        <w:t>杂</w:t>
      </w:r>
      <w:r>
        <w:rPr>
          <w:rFonts w:ascii="PingFang TC" w:eastAsia="PingFang TC" w:hAnsi="PingFang TC" w:cs="PingFang TC" w:hint="eastAsia"/>
        </w:rPr>
        <w:t>：</w:t>
      </w:r>
    </w:p>
    <w:p w14:paraId="7F2180F1" w14:textId="77777777" w:rsidR="002A65AD" w:rsidRDefault="002A65AD" w:rsidP="002A65AD">
      <w:pPr>
        <w:pStyle w:val="p1"/>
        <w:numPr>
          <w:ilvl w:val="0"/>
          <w:numId w:val="7"/>
        </w:numPr>
      </w:pPr>
      <w:r>
        <w:rPr>
          <w:rFonts w:ascii="PingFang TC" w:eastAsia="PingFang TC" w:hAnsi="PingFang TC" w:cs="PingFang TC" w:hint="eastAsia"/>
        </w:rPr>
        <w:t>首先，</w:t>
      </w:r>
      <w:r>
        <w:rPr>
          <w:rStyle w:val="s1"/>
          <w:rFonts w:eastAsiaTheme="majorEastAsia"/>
          <w:b/>
          <w:bCs/>
        </w:rPr>
        <w:t>选取与该全球指数相似的国家或区域配置比例</w:t>
      </w:r>
      <w:r>
        <w:rPr>
          <w:rFonts w:ascii="PingFang TC" w:eastAsia="PingFang TC" w:hAnsi="PingFang TC" w:cs="PingFang TC" w:hint="eastAsia"/>
        </w:rPr>
        <w:t>，尽量还原全球市值的自然分布，避免单一市场权重过高带来的结构性风险。</w:t>
      </w:r>
    </w:p>
    <w:p w14:paraId="435CA6F8" w14:textId="77777777" w:rsidR="002A65AD" w:rsidRDefault="002A65AD" w:rsidP="002A65AD">
      <w:pPr>
        <w:pStyle w:val="p1"/>
        <w:numPr>
          <w:ilvl w:val="0"/>
          <w:numId w:val="7"/>
        </w:numPr>
      </w:pPr>
      <w:r>
        <w:rPr>
          <w:rFonts w:ascii="PingFang TC" w:eastAsia="PingFang TC" w:hAnsi="PingFang TC" w:cs="PingFang TC" w:hint="eastAsia"/>
        </w:rPr>
        <w:t>其次，</w:t>
      </w:r>
      <w:r>
        <w:rPr>
          <w:rStyle w:val="s1"/>
          <w:rFonts w:eastAsiaTheme="majorEastAsia"/>
          <w:b/>
          <w:bCs/>
        </w:rPr>
        <w:t>用低成本、流动性良好的</w:t>
      </w:r>
      <w:r>
        <w:rPr>
          <w:rStyle w:val="s1"/>
          <w:rFonts w:eastAsiaTheme="majorEastAsia"/>
          <w:b/>
          <w:bCs/>
        </w:rPr>
        <w:t xml:space="preserve"> ETF </w:t>
      </w:r>
      <w:r>
        <w:rPr>
          <w:rStyle w:val="s1"/>
          <w:rFonts w:eastAsiaTheme="majorEastAsia"/>
          <w:b/>
          <w:bCs/>
        </w:rPr>
        <w:t>指数基金</w:t>
      </w:r>
      <w:r>
        <w:rPr>
          <w:rFonts w:ascii="PingFang TC" w:eastAsia="PingFang TC" w:hAnsi="PingFang TC" w:cs="PingFang TC" w:hint="eastAsia"/>
        </w:rPr>
        <w:t>来替代单只股票，覆盖像美国、欧洲、日本、亚洲（除日本）等主要市场，用最少的工具达到最大的分散效果。</w:t>
      </w:r>
    </w:p>
    <w:p w14:paraId="547E56E1" w14:textId="77777777" w:rsidR="002A65AD" w:rsidRDefault="002A65AD" w:rsidP="002A65AD">
      <w:pPr>
        <w:pStyle w:val="p1"/>
        <w:numPr>
          <w:ilvl w:val="0"/>
          <w:numId w:val="7"/>
        </w:numPr>
      </w:pPr>
      <w:r>
        <w:rPr>
          <w:rFonts w:ascii="PingFang TC" w:eastAsia="PingFang TC" w:hAnsi="PingFang TC" w:cs="PingFang TC" w:hint="eastAsia"/>
        </w:rPr>
        <w:lastRenderedPageBreak/>
        <w:t>最后，坚持</w:t>
      </w:r>
      <w:r>
        <w:rPr>
          <w:rStyle w:val="s1"/>
          <w:rFonts w:eastAsiaTheme="majorEastAsia"/>
          <w:b/>
          <w:bCs/>
        </w:rPr>
        <w:t>股息再投资</w:t>
      </w:r>
      <w:r>
        <w:rPr>
          <w:rFonts w:ascii="PingFang TC" w:eastAsia="PingFang TC" w:hAnsi="PingFang TC" w:cs="PingFang TC" w:hint="eastAsia"/>
        </w:rPr>
        <w:t>和</w:t>
      </w:r>
      <w:r>
        <w:rPr>
          <w:rStyle w:val="s1"/>
          <w:rFonts w:eastAsiaTheme="majorEastAsia"/>
          <w:b/>
          <w:bCs/>
        </w:rPr>
        <w:t>定期再平衡</w:t>
      </w:r>
      <w:r>
        <w:rPr>
          <w:rFonts w:ascii="PingFang TC" w:eastAsia="PingFang TC" w:hAnsi="PingFang TC" w:cs="PingFang TC" w:hint="eastAsia"/>
        </w:rPr>
        <w:t>，让组合随着全球经济的长期增长</w:t>
      </w:r>
      <w:r>
        <w:rPr>
          <w:rFonts w:ascii="SimSun" w:eastAsia="SimSun" w:hAnsi="SimSun" w:cs="SimSun" w:hint="eastAsia"/>
        </w:rPr>
        <w:t>稳</w:t>
      </w:r>
      <w:r>
        <w:rPr>
          <w:rFonts w:ascii="PingFang TC" w:eastAsia="PingFang TC" w:hAnsi="PingFang TC" w:cs="PingFang TC" w:hint="eastAsia"/>
        </w:rPr>
        <w:t>步扩张，而不是被短期波动带偏节奏。</w:t>
      </w:r>
    </w:p>
    <w:p w14:paraId="0DD7C6F7" w14:textId="77777777" w:rsidR="002A65AD" w:rsidRDefault="002A65AD" w:rsidP="002A65AD">
      <w:pPr>
        <w:pStyle w:val="p2"/>
      </w:pPr>
    </w:p>
    <w:p w14:paraId="29F8A150" w14:textId="77777777" w:rsidR="002A65AD" w:rsidRDefault="002A65AD" w:rsidP="002A65AD">
      <w:pPr>
        <w:pStyle w:val="p1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通过这样的组合搭配，普通家庭也可以在日常理财中，搭建起一套</w:t>
      </w:r>
      <w:r>
        <w:rPr>
          <w:rStyle w:val="s1"/>
          <w:rFonts w:eastAsiaTheme="majorEastAsia"/>
          <w:b/>
          <w:bCs/>
        </w:rPr>
        <w:t>真正具备全球分散能力的投资策略</w:t>
      </w:r>
      <w:r>
        <w:rPr>
          <w:rFonts w:ascii="PingFang TC" w:eastAsia="PingFang TC" w:hAnsi="PingFang TC" w:cs="PingFang TC" w:hint="eastAsia"/>
        </w:rPr>
        <w:t>，不仅能参与各区域经济体的增长红利，也能在不同周期之间形成对冲，提升资产组合的整体韧性。</w:t>
      </w:r>
    </w:p>
    <w:p w14:paraId="68433E04" w14:textId="44A24D98" w:rsidR="003C178A" w:rsidRDefault="003C178A" w:rsidP="003C178A">
      <w:pPr>
        <w:pStyle w:val="p1"/>
      </w:pPr>
      <w:r>
        <w:rPr>
          <w:rFonts w:ascii="PingFang TC" w:eastAsia="PingFang TC" w:hAnsi="PingFang TC" w:cs="PingFang TC" w:hint="eastAsia"/>
        </w:rPr>
        <w:t>作为全球分散配置的起点，我们先</w:t>
      </w:r>
      <w:r w:rsidR="00B84C6F">
        <w:rPr>
          <w:rFonts w:ascii="PingFang TC" w:eastAsia="PingFang TC" w:hAnsi="PingFang TC" w:cs="PingFang TC" w:hint="eastAsia"/>
        </w:rPr>
        <w:t>以上述的思路去</w:t>
      </w:r>
      <w:r>
        <w:rPr>
          <w:rStyle w:val="s1"/>
          <w:rFonts w:eastAsiaTheme="majorEastAsia"/>
          <w:b/>
          <w:bCs/>
        </w:rPr>
        <w:t>尽量还原</w:t>
      </w:r>
      <w:r w:rsidR="00B84C6F">
        <w:rPr>
          <w:rStyle w:val="s1"/>
          <w:rFonts w:eastAsiaTheme="majorEastAsia" w:hint="eastAsia"/>
          <w:b/>
          <w:bCs/>
        </w:rPr>
        <w:t>VTWAX</w:t>
      </w:r>
      <w:r w:rsidR="00B84C6F">
        <w:rPr>
          <w:rStyle w:val="s1"/>
          <w:rFonts w:eastAsiaTheme="majorEastAsia" w:hint="eastAsia"/>
          <w:b/>
          <w:bCs/>
        </w:rPr>
        <w:t>指数的</w:t>
      </w:r>
      <w:r>
        <w:rPr>
          <w:rFonts w:ascii="PingFang TC" w:eastAsia="PingFang TC" w:hAnsi="PingFang TC" w:cs="PingFang TC" w:hint="eastAsia"/>
        </w:rPr>
        <w:t>组合示例，我们将其取名为</w:t>
      </w:r>
      <w:r w:rsidR="00B84C6F" w:rsidRPr="00B84C6F">
        <w:rPr>
          <w:rFonts w:ascii="PingFang TC" w:eastAsia="PingFang TC" w:hAnsi="PingFang TC" w:cs="PingFang TC" w:hint="eastAsia"/>
          <w:b/>
          <w:bCs/>
          <w:color w:val="0F4761" w:themeColor="accent1" w:themeShade="BF"/>
        </w:rPr>
        <w:t>“</w:t>
      </w:r>
      <w:r w:rsidRPr="00B84C6F">
        <w:rPr>
          <w:rFonts w:ascii="PingFang TC" w:eastAsia="PingFang TC" w:hAnsi="PingFang TC" w:cs="PingFang TC" w:hint="eastAsia"/>
          <w:b/>
          <w:bCs/>
          <w:color w:val="0F4761" w:themeColor="accent1" w:themeShade="BF"/>
        </w:rPr>
        <w:t>Global Diversified全球分散</w:t>
      </w:r>
      <w:r w:rsidR="00B84C6F" w:rsidRPr="00B84C6F">
        <w:rPr>
          <w:rFonts w:ascii="PingFang TC" w:eastAsia="PingFang TC" w:hAnsi="PingFang TC" w:cs="PingFang TC" w:hint="eastAsia"/>
          <w:b/>
          <w:bCs/>
          <w:color w:val="0F4761" w:themeColor="accent1" w:themeShade="BF"/>
        </w:rPr>
        <w:t>”</w:t>
      </w:r>
      <w:r>
        <w:rPr>
          <w:rFonts w:ascii="PingFang TC" w:eastAsia="PingFang TC" w:hAnsi="PingFang TC" w:cs="PingFang TC" w:hint="eastAsia"/>
        </w:rPr>
        <w:t>。</w:t>
      </w:r>
    </w:p>
    <w:p w14:paraId="76AF1649" w14:textId="1519CB80" w:rsidR="003C178A" w:rsidRDefault="003C178A" w:rsidP="003C178A">
      <w:pPr>
        <w:pStyle w:val="p1"/>
      </w:pPr>
      <w:r>
        <w:rPr>
          <w:rFonts w:ascii="PingFang TC" w:eastAsia="PingFang TC" w:hAnsi="PingFang TC" w:cs="PingFang TC" w:hint="eastAsia"/>
        </w:rPr>
        <w:t>这个组合借</w:t>
      </w:r>
      <w:r>
        <w:rPr>
          <w:rFonts w:ascii="SimSun" w:eastAsia="SimSun" w:hAnsi="SimSun" w:cs="SimSun" w:hint="eastAsia"/>
        </w:rPr>
        <w:t>鉴</w:t>
      </w:r>
      <w:r>
        <w:rPr>
          <w:rFonts w:ascii="PingFang TC" w:eastAsia="PingFang TC" w:hAnsi="PingFang TC" w:cs="PingFang TC" w:hint="eastAsia"/>
        </w:rPr>
        <w:t>了</w:t>
      </w:r>
      <w:r>
        <w:t xml:space="preserve"> </w:t>
      </w:r>
      <w:r w:rsidR="00B84C6F">
        <w:rPr>
          <w:rFonts w:hint="eastAsia"/>
        </w:rPr>
        <w:t>VTWAX</w:t>
      </w:r>
      <w:r>
        <w:rPr>
          <w:rFonts w:ascii="PingFang TC" w:eastAsia="PingFang TC" w:hAnsi="PingFang TC" w:cs="PingFang TC" w:hint="eastAsia"/>
        </w:rPr>
        <w:t>的区域比例，选取了</w:t>
      </w:r>
      <w:r>
        <w:rPr>
          <w:rStyle w:val="s1"/>
          <w:rFonts w:eastAsiaTheme="majorEastAsia"/>
          <w:b/>
          <w:bCs/>
        </w:rPr>
        <w:t>覆盖面广、费率低、流动性好的</w:t>
      </w:r>
      <w:r>
        <w:rPr>
          <w:rStyle w:val="s1"/>
          <w:rFonts w:eastAsiaTheme="majorEastAsia"/>
          <w:b/>
          <w:bCs/>
        </w:rPr>
        <w:t xml:space="preserve"> ETF</w:t>
      </w:r>
      <w:r>
        <w:t xml:space="preserve"> </w:t>
      </w:r>
      <w:r>
        <w:rPr>
          <w:rFonts w:ascii="PingFang TC" w:eastAsia="PingFang TC" w:hAnsi="PingFang TC" w:cs="PingFang TC" w:hint="eastAsia"/>
        </w:rPr>
        <w:t>来代表各大区域，让普通投资者也能低门槛跟踪全球经济的整体走势。</w:t>
      </w:r>
    </w:p>
    <w:p w14:paraId="35F6F1DF" w14:textId="5FCE4440" w:rsidR="003C178A" w:rsidRDefault="003C178A" w:rsidP="00D05E6D">
      <w:pPr>
        <w:pStyle w:val="p2"/>
        <w:jc w:val="center"/>
      </w:pPr>
      <w:r w:rsidRPr="0044697A">
        <w:rPr>
          <w:noProof/>
        </w:rPr>
        <w:drawing>
          <wp:inline distT="0" distB="0" distL="0" distR="0" wp14:anchorId="071D2B3D" wp14:editId="3859309E">
            <wp:extent cx="4109884" cy="2582494"/>
            <wp:effectExtent l="0" t="0" r="5080" b="0"/>
            <wp:docPr id="100452304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3048" name="Picture 1" descr="A screenshot of a pho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224" cy="26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BB85" w14:textId="41FDE5AC" w:rsidR="003C178A" w:rsidRDefault="003C178A" w:rsidP="003C178A">
      <w:pPr>
        <w:pStyle w:val="p1"/>
      </w:pPr>
      <w:r>
        <w:rPr>
          <w:rFonts w:ascii="PingFang TC" w:eastAsia="PingFang TC" w:hAnsi="PingFang TC" w:cs="PingFang TC" w:hint="eastAsia"/>
        </w:rPr>
        <w:t>这个组合</w:t>
      </w:r>
      <w:r w:rsidR="00B84C6F">
        <w:rPr>
          <w:rFonts w:ascii="PingFang TC" w:eastAsia="PingFang TC" w:hAnsi="PingFang TC" w:cs="PingFang TC" w:hint="eastAsia"/>
        </w:rPr>
        <w:t>的</w:t>
      </w:r>
      <w:r>
        <w:rPr>
          <w:rFonts w:ascii="PingFang TC" w:eastAsia="PingFang TC" w:hAnsi="PingFang TC" w:cs="PingFang TC" w:hint="eastAsia"/>
        </w:rPr>
        <w:t>配置</w:t>
      </w:r>
      <w:r w:rsidR="00B84C6F">
        <w:rPr>
          <w:rFonts w:ascii="PingFang TC" w:eastAsia="PingFang TC" w:hAnsi="PingFang TC" w:cs="PingFang TC" w:hint="eastAsia"/>
        </w:rPr>
        <w:t>方式如下</w:t>
      </w:r>
      <w:r>
        <w:rPr>
          <w:rFonts w:ascii="PingFang TC" w:eastAsia="PingFang TC" w:hAnsi="PingFang TC" w:cs="PingFang TC" w:hint="eastAsia"/>
        </w:rPr>
        <w:t>：</w:t>
      </w:r>
    </w:p>
    <w:p w14:paraId="538BD068" w14:textId="77777777" w:rsidR="003C178A" w:rsidRDefault="003C178A" w:rsidP="003C178A">
      <w:pPr>
        <w:pStyle w:val="p1"/>
        <w:numPr>
          <w:ilvl w:val="0"/>
          <w:numId w:val="8"/>
        </w:numPr>
      </w:pPr>
      <w:r>
        <w:rPr>
          <w:rStyle w:val="s1"/>
          <w:rFonts w:eastAsiaTheme="majorEastAsia"/>
          <w:b/>
          <w:bCs/>
        </w:rPr>
        <w:t>美国：</w:t>
      </w:r>
      <w:r>
        <w:rPr>
          <w:rStyle w:val="s1"/>
          <w:rFonts w:eastAsiaTheme="majorEastAsia"/>
          <w:b/>
          <w:bCs/>
        </w:rPr>
        <w:t>65%</w:t>
      </w:r>
      <w:r>
        <w:t xml:space="preserve"> — </w:t>
      </w:r>
      <w:r>
        <w:rPr>
          <w:rFonts w:ascii="PingFang TC" w:eastAsia="PingFang TC" w:hAnsi="PingFang TC" w:cs="PingFang TC" w:hint="eastAsia"/>
        </w:rPr>
        <w:t>可选用</w:t>
      </w:r>
      <w:r>
        <w:t xml:space="preserve"> SPDR S&amp;P 500 ETF</w:t>
      </w:r>
      <w:r>
        <w:rPr>
          <w:rFonts w:ascii="PingFang TC" w:eastAsia="PingFang TC" w:hAnsi="PingFang TC" w:cs="PingFang TC" w:hint="eastAsia"/>
        </w:rPr>
        <w:t>（</w:t>
      </w:r>
      <w:r>
        <w:t>SPY</w:t>
      </w:r>
      <w:r>
        <w:rPr>
          <w:rFonts w:ascii="PingFang TC" w:eastAsia="PingFang TC" w:hAnsi="PingFang TC" w:cs="PingFang TC" w:hint="eastAsia"/>
        </w:rPr>
        <w:t>）</w:t>
      </w:r>
    </w:p>
    <w:p w14:paraId="35C6FF9F" w14:textId="77777777" w:rsidR="003C178A" w:rsidRDefault="003C178A" w:rsidP="003C178A">
      <w:pPr>
        <w:pStyle w:val="p1"/>
        <w:numPr>
          <w:ilvl w:val="0"/>
          <w:numId w:val="8"/>
        </w:numPr>
      </w:pPr>
      <w:r>
        <w:rPr>
          <w:rStyle w:val="s1"/>
          <w:rFonts w:eastAsiaTheme="majorEastAsia"/>
          <w:b/>
          <w:bCs/>
        </w:rPr>
        <w:t>欧洲：</w:t>
      </w:r>
      <w:r>
        <w:rPr>
          <w:rStyle w:val="s1"/>
          <w:rFonts w:eastAsiaTheme="majorEastAsia"/>
          <w:b/>
          <w:bCs/>
        </w:rPr>
        <w:t>15%</w:t>
      </w:r>
      <w:r>
        <w:t xml:space="preserve"> — </w:t>
      </w:r>
      <w:r>
        <w:rPr>
          <w:rFonts w:ascii="PingFang TC" w:eastAsia="PingFang TC" w:hAnsi="PingFang TC" w:cs="PingFang TC" w:hint="eastAsia"/>
        </w:rPr>
        <w:t>可选用</w:t>
      </w:r>
      <w:r>
        <w:t xml:space="preserve"> iShares Europe ETF</w:t>
      </w:r>
      <w:r>
        <w:rPr>
          <w:rFonts w:ascii="PingFang TC" w:eastAsia="PingFang TC" w:hAnsi="PingFang TC" w:cs="PingFang TC" w:hint="eastAsia"/>
        </w:rPr>
        <w:t>（</w:t>
      </w:r>
      <w:r>
        <w:t>IEV</w:t>
      </w:r>
      <w:r>
        <w:rPr>
          <w:rFonts w:ascii="PingFang TC" w:eastAsia="PingFang TC" w:hAnsi="PingFang TC" w:cs="PingFang TC" w:hint="eastAsia"/>
        </w:rPr>
        <w:t>）</w:t>
      </w:r>
    </w:p>
    <w:p w14:paraId="2E49486F" w14:textId="77777777" w:rsidR="003C178A" w:rsidRDefault="003C178A" w:rsidP="003C178A">
      <w:pPr>
        <w:pStyle w:val="p1"/>
        <w:numPr>
          <w:ilvl w:val="0"/>
          <w:numId w:val="8"/>
        </w:numPr>
      </w:pPr>
      <w:r>
        <w:rPr>
          <w:rStyle w:val="s1"/>
          <w:rFonts w:eastAsiaTheme="majorEastAsia"/>
          <w:b/>
          <w:bCs/>
        </w:rPr>
        <w:t>日本：</w:t>
      </w:r>
      <w:r>
        <w:rPr>
          <w:rStyle w:val="s1"/>
          <w:rFonts w:eastAsiaTheme="majorEastAsia"/>
          <w:b/>
          <w:bCs/>
        </w:rPr>
        <w:t>6%</w:t>
      </w:r>
      <w:r>
        <w:t xml:space="preserve"> — </w:t>
      </w:r>
      <w:r>
        <w:rPr>
          <w:rFonts w:ascii="PingFang TC" w:eastAsia="PingFang TC" w:hAnsi="PingFang TC" w:cs="PingFang TC" w:hint="eastAsia"/>
        </w:rPr>
        <w:t>可选用</w:t>
      </w:r>
      <w:r>
        <w:t xml:space="preserve"> iShares MSCI Japan ETF</w:t>
      </w:r>
      <w:r>
        <w:rPr>
          <w:rFonts w:ascii="PingFang TC" w:eastAsia="PingFang TC" w:hAnsi="PingFang TC" w:cs="PingFang TC" w:hint="eastAsia"/>
        </w:rPr>
        <w:t>（</w:t>
      </w:r>
      <w:r>
        <w:t>EWJ</w:t>
      </w:r>
      <w:r>
        <w:rPr>
          <w:rFonts w:ascii="PingFang TC" w:eastAsia="PingFang TC" w:hAnsi="PingFang TC" w:cs="PingFang TC" w:hint="eastAsia"/>
        </w:rPr>
        <w:t>）</w:t>
      </w:r>
    </w:p>
    <w:p w14:paraId="4C6CA3B7" w14:textId="77777777" w:rsidR="003C178A" w:rsidRDefault="003C178A" w:rsidP="003C178A">
      <w:pPr>
        <w:pStyle w:val="p1"/>
        <w:numPr>
          <w:ilvl w:val="0"/>
          <w:numId w:val="8"/>
        </w:numPr>
      </w:pPr>
      <w:r>
        <w:rPr>
          <w:rStyle w:val="s1"/>
          <w:rFonts w:eastAsiaTheme="majorEastAsia"/>
          <w:b/>
          <w:bCs/>
        </w:rPr>
        <w:t>亚洲（除日本）：</w:t>
      </w:r>
      <w:r>
        <w:rPr>
          <w:rStyle w:val="s1"/>
          <w:rFonts w:eastAsiaTheme="majorEastAsia"/>
          <w:b/>
          <w:bCs/>
        </w:rPr>
        <w:t>14%</w:t>
      </w:r>
      <w:r>
        <w:t xml:space="preserve"> — </w:t>
      </w:r>
      <w:r>
        <w:rPr>
          <w:rFonts w:ascii="PingFang TC" w:eastAsia="PingFang TC" w:hAnsi="PingFang TC" w:cs="PingFang TC" w:hint="eastAsia"/>
        </w:rPr>
        <w:t>可选用</w:t>
      </w:r>
      <w:r>
        <w:t xml:space="preserve"> iShares MSCI All Country Asia ex Japan ETF</w:t>
      </w:r>
      <w:r>
        <w:rPr>
          <w:rFonts w:ascii="PingFang TC" w:eastAsia="PingFang TC" w:hAnsi="PingFang TC" w:cs="PingFang TC" w:hint="eastAsia"/>
        </w:rPr>
        <w:t>（</w:t>
      </w:r>
      <w:r>
        <w:t>AAXJ</w:t>
      </w:r>
      <w:r>
        <w:rPr>
          <w:rFonts w:ascii="PingFang TC" w:eastAsia="PingFang TC" w:hAnsi="PingFang TC" w:cs="PingFang TC" w:hint="eastAsia"/>
        </w:rPr>
        <w:t>）</w:t>
      </w:r>
    </w:p>
    <w:p w14:paraId="7ED171B4" w14:textId="77777777" w:rsidR="003C178A" w:rsidRDefault="003C178A" w:rsidP="003C178A">
      <w:pPr>
        <w:pStyle w:val="p2"/>
      </w:pPr>
    </w:p>
    <w:p w14:paraId="512E858F" w14:textId="767AE76E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从</w:t>
      </w:r>
      <w:r>
        <w:rPr>
          <w:rStyle w:val="s1"/>
          <w:rFonts w:eastAsiaTheme="majorEastAsia"/>
          <w:b/>
          <w:bCs/>
        </w:rPr>
        <w:t>2016</w:t>
      </w:r>
      <w:r>
        <w:rPr>
          <w:rStyle w:val="s1"/>
          <w:rFonts w:eastAsiaTheme="majorEastAsia"/>
          <w:b/>
          <w:bCs/>
        </w:rPr>
        <w:t>年</w:t>
      </w:r>
      <w:r>
        <w:rPr>
          <w:rStyle w:val="s1"/>
          <w:rFonts w:eastAsiaTheme="majorEastAsia"/>
          <w:b/>
          <w:bCs/>
        </w:rPr>
        <w:t>1</w:t>
      </w:r>
      <w:r>
        <w:rPr>
          <w:rStyle w:val="s1"/>
          <w:rFonts w:eastAsiaTheme="majorEastAsia"/>
          <w:b/>
          <w:bCs/>
        </w:rPr>
        <w:t>月到</w:t>
      </w:r>
      <w:r>
        <w:rPr>
          <w:rStyle w:val="s1"/>
          <w:rFonts w:eastAsiaTheme="majorEastAsia"/>
          <w:b/>
          <w:bCs/>
        </w:rPr>
        <w:t>2025</w:t>
      </w:r>
      <w:r>
        <w:rPr>
          <w:rStyle w:val="s1"/>
          <w:rFonts w:eastAsiaTheme="majorEastAsia"/>
          <w:b/>
          <w:bCs/>
        </w:rPr>
        <w:t>年</w:t>
      </w:r>
      <w:r>
        <w:rPr>
          <w:rStyle w:val="s1"/>
          <w:rFonts w:eastAsiaTheme="majorEastAsia"/>
          <w:b/>
          <w:bCs/>
        </w:rPr>
        <w:t>6</w:t>
      </w:r>
      <w:r>
        <w:rPr>
          <w:rStyle w:val="s1"/>
          <w:rFonts w:eastAsiaTheme="majorEastAsia"/>
          <w:b/>
          <w:bCs/>
        </w:rPr>
        <w:t>月</w:t>
      </w:r>
      <w:r>
        <w:rPr>
          <w:rFonts w:ascii="PingFang TC" w:eastAsia="PingFang TC" w:hAnsi="PingFang TC" w:cs="PingFang TC" w:hint="eastAsia"/>
        </w:rPr>
        <w:t>，这个组合假设将所有收到的股息都进行再投入，并且每年定期再平衡，结果显示：</w:t>
      </w:r>
    </w:p>
    <w:p w14:paraId="00C69977" w14:textId="7D51D0EB" w:rsidR="003C6209" w:rsidRDefault="003C6209" w:rsidP="003C6209">
      <w:pPr>
        <w:pStyle w:val="p1"/>
        <w:numPr>
          <w:ilvl w:val="0"/>
          <w:numId w:val="1"/>
        </w:numPr>
      </w:pPr>
      <w:r>
        <w:rPr>
          <w:rFonts w:ascii="PingFang TC" w:eastAsia="PingFang TC" w:hAnsi="PingFang TC" w:cs="PingFang TC" w:hint="eastAsia"/>
        </w:rPr>
        <w:t>期间</w:t>
      </w:r>
      <w:r>
        <w:rPr>
          <w:rStyle w:val="s1"/>
          <w:rFonts w:eastAsiaTheme="majorEastAsia"/>
          <w:b/>
          <w:bCs/>
        </w:rPr>
        <w:t>累计收益率</w:t>
      </w:r>
      <w:r>
        <w:rPr>
          <w:rFonts w:ascii="PingFang TC" w:eastAsia="PingFang TC" w:hAnsi="PingFang TC" w:cs="PingFang TC" w:hint="eastAsia"/>
        </w:rPr>
        <w:t>约为</w:t>
      </w:r>
      <w:r>
        <w:t xml:space="preserve"> </w:t>
      </w:r>
      <w:r>
        <w:rPr>
          <w:rFonts w:hint="eastAsia"/>
          <w:i/>
          <w:iCs/>
        </w:rPr>
        <w:t>191</w:t>
      </w:r>
      <w:r>
        <w:rPr>
          <w:i/>
          <w:iCs/>
        </w:rPr>
        <w:t>%</w:t>
      </w:r>
      <w:r>
        <w:rPr>
          <w:rFonts w:ascii="PingFang TC" w:eastAsia="PingFang TC" w:hAnsi="PingFang TC" w:cs="PingFang TC" w:hint="eastAsia"/>
        </w:rPr>
        <w:t>（年化约</w:t>
      </w:r>
      <w:r>
        <w:t xml:space="preserve"> </w:t>
      </w:r>
      <w:r>
        <w:rPr>
          <w:rFonts w:hint="eastAsia"/>
          <w:i/>
          <w:iCs/>
        </w:rPr>
        <w:t>11.94</w:t>
      </w:r>
      <w:r>
        <w:rPr>
          <w:i/>
          <w:iCs/>
        </w:rPr>
        <w:t>%</w:t>
      </w:r>
      <w:r>
        <w:rPr>
          <w:rFonts w:ascii="PingFang TC" w:eastAsia="PingFang TC" w:hAnsi="PingFang TC" w:cs="PingFang TC" w:hint="eastAsia"/>
        </w:rPr>
        <w:t>）</w:t>
      </w:r>
    </w:p>
    <w:p w14:paraId="5DFA2DE4" w14:textId="64AB4117" w:rsidR="003C6209" w:rsidRDefault="003C6209" w:rsidP="003C6209">
      <w:pPr>
        <w:pStyle w:val="p1"/>
        <w:numPr>
          <w:ilvl w:val="0"/>
          <w:numId w:val="1"/>
        </w:numPr>
      </w:pPr>
      <w:r>
        <w:rPr>
          <w:rFonts w:ascii="PingFang TC" w:eastAsia="PingFang TC" w:hAnsi="PingFang TC" w:cs="PingFang TC" w:hint="eastAsia"/>
        </w:rPr>
        <w:t>最大回撤约为</w:t>
      </w:r>
      <w:r>
        <w:t xml:space="preserve"> </w:t>
      </w:r>
      <w:r>
        <w:rPr>
          <w:i/>
          <w:iCs/>
        </w:rPr>
        <w:t>-</w:t>
      </w:r>
      <w:r>
        <w:rPr>
          <w:rFonts w:hint="eastAsia"/>
          <w:i/>
          <w:iCs/>
        </w:rPr>
        <w:t>25.49</w:t>
      </w:r>
      <w:r>
        <w:rPr>
          <w:i/>
          <w:iCs/>
        </w:rPr>
        <w:t>%</w:t>
      </w:r>
    </w:p>
    <w:p w14:paraId="61BF5E7E" w14:textId="3CCB14CE" w:rsidR="003C6209" w:rsidRDefault="003C6209" w:rsidP="003C6209">
      <w:pPr>
        <w:pStyle w:val="p1"/>
        <w:numPr>
          <w:ilvl w:val="0"/>
          <w:numId w:val="1"/>
        </w:numPr>
      </w:pPr>
      <w:r>
        <w:rPr>
          <w:rFonts w:ascii="PingFang TC" w:eastAsia="PingFang TC" w:hAnsi="PingFang TC" w:cs="PingFang TC" w:hint="eastAsia"/>
        </w:rPr>
        <w:t>夏普比率达到</w:t>
      </w:r>
      <w:r>
        <w:t xml:space="preserve"> </w:t>
      </w:r>
      <w:r>
        <w:rPr>
          <w:i/>
          <w:iCs/>
        </w:rPr>
        <w:t>0.</w:t>
      </w:r>
      <w:r>
        <w:rPr>
          <w:rFonts w:hint="eastAsia"/>
          <w:i/>
          <w:iCs/>
        </w:rPr>
        <w:t>71</w:t>
      </w:r>
    </w:p>
    <w:p w14:paraId="0598E4D7" w14:textId="77777777" w:rsidR="003C6209" w:rsidRDefault="003C6209" w:rsidP="003C6209">
      <w:pPr>
        <w:pStyle w:val="p2"/>
      </w:pPr>
    </w:p>
    <w:p w14:paraId="04656372" w14:textId="3E860231" w:rsidR="003C6209" w:rsidRDefault="003C6209" w:rsidP="00B84C6F">
      <w:pPr>
        <w:pStyle w:val="p1"/>
        <w:rPr>
          <w:rFonts w:hint="eastAsia"/>
        </w:rPr>
      </w:pPr>
      <w:r>
        <w:rPr>
          <w:rFonts w:ascii="PingFang TC" w:eastAsia="PingFang TC" w:hAnsi="PingFang TC" w:cs="PingFang TC" w:hint="eastAsia"/>
        </w:rPr>
        <w:t>从长期表现看，这样的组合既能分享全球公司市值增长的红利，又能通过多区域覆盖，分散掉单一经济体或行业的风险波动。</w:t>
      </w:r>
    </w:p>
    <w:p w14:paraId="40A4C463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当然，这样的</w:t>
      </w:r>
      <w:r>
        <w:t>“</w:t>
      </w:r>
      <w:r>
        <w:rPr>
          <w:rFonts w:ascii="PingFang TC" w:eastAsia="PingFang TC" w:hAnsi="PingFang TC" w:cs="PingFang TC" w:hint="eastAsia"/>
        </w:rPr>
        <w:t>被动跟随市值</w:t>
      </w:r>
      <w:r>
        <w:t>”</w:t>
      </w:r>
      <w:r>
        <w:rPr>
          <w:rFonts w:ascii="PingFang TC" w:eastAsia="PingFang TC" w:hAnsi="PingFang TC" w:cs="PingFang TC" w:hint="eastAsia"/>
        </w:rPr>
        <w:t>的组合也有</w:t>
      </w:r>
      <w:r w:rsidRPr="00B84C6F">
        <w:rPr>
          <w:rFonts w:ascii="PingFang TC" w:eastAsia="PingFang TC" w:hAnsi="PingFang TC" w:cs="PingFang TC" w:hint="eastAsia"/>
          <w:b/>
          <w:bCs/>
        </w:rPr>
        <w:t>潜在不足</w:t>
      </w:r>
      <w:r>
        <w:rPr>
          <w:rFonts w:ascii="PingFang TC" w:eastAsia="PingFang TC" w:hAnsi="PingFang TC" w:cs="PingFang TC" w:hint="eastAsia"/>
        </w:rPr>
        <w:t>：</w:t>
      </w:r>
    </w:p>
    <w:p w14:paraId="0C0ED7BE" w14:textId="77777777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过去十年里，美国公司市值占全球股票总市值的比例一度高达</w:t>
      </w:r>
      <w:r>
        <w:t xml:space="preserve"> </w:t>
      </w:r>
      <w:r>
        <w:rPr>
          <w:rStyle w:val="s1"/>
          <w:rFonts w:eastAsiaTheme="majorEastAsia"/>
          <w:b/>
          <w:bCs/>
        </w:rPr>
        <w:t>60%</w:t>
      </w:r>
      <w:r>
        <w:t xml:space="preserve"> </w:t>
      </w:r>
      <w:r>
        <w:rPr>
          <w:rFonts w:ascii="PingFang TC" w:eastAsia="PingFang TC" w:hAnsi="PingFang TC" w:cs="PingFang TC" w:hint="eastAsia"/>
        </w:rPr>
        <w:t>以上，美股估值水平相比其他区域也长期处于相对高位。</w:t>
      </w:r>
    </w:p>
    <w:p w14:paraId="30775C55" w14:textId="6D09196A" w:rsidR="003C6209" w:rsidRDefault="003C6209" w:rsidP="003C6209">
      <w:pPr>
        <w:pStyle w:val="p1"/>
      </w:pPr>
      <w:r>
        <w:rPr>
          <w:rFonts w:ascii="PingFang TC" w:eastAsia="PingFang TC" w:hAnsi="PingFang TC" w:cs="PingFang TC" w:hint="eastAsia"/>
        </w:rPr>
        <w:t>这意味着，单纯按照市值加权虽然科学，但也会放大对单一区域的依赖，</w:t>
      </w:r>
      <w:r w:rsidR="00A50107">
        <w:rPr>
          <w:rFonts w:ascii="PingFang TC" w:eastAsia="PingFang TC" w:hAnsi="PingFang TC" w:cs="PingFang TC" w:hint="eastAsia"/>
        </w:rPr>
        <w:t>会放大组合对美国经济与货币政策的依赖，</w:t>
      </w:r>
      <w:r>
        <w:rPr>
          <w:rFonts w:ascii="PingFang TC" w:eastAsia="PingFang TC" w:hAnsi="PingFang TC" w:cs="PingFang TC" w:hint="eastAsia"/>
        </w:rPr>
        <w:t>在极端行情下可能加剧组合的同步下跌。</w:t>
      </w:r>
    </w:p>
    <w:p w14:paraId="18BD1DC2" w14:textId="77777777" w:rsidR="006B377F" w:rsidRDefault="006B377F" w:rsidP="00A50107">
      <w:pPr>
        <w:pStyle w:val="p1"/>
        <w:rPr>
          <w:rFonts w:ascii="PingFang TC" w:eastAsia="PingFang TC" w:hAnsi="PingFang TC" w:cs="PingFang TC"/>
        </w:rPr>
      </w:pPr>
    </w:p>
    <w:p w14:paraId="33DD42BB" w14:textId="46CDC26D" w:rsidR="00836BA2" w:rsidRPr="00B84C6F" w:rsidRDefault="003C6209" w:rsidP="00836BA2">
      <w:pPr>
        <w:pStyle w:val="p1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因此，很多投资者会在市值加权的基础上，考</w:t>
      </w:r>
      <w:r>
        <w:rPr>
          <w:rFonts w:ascii="SimSun" w:eastAsia="SimSun" w:hAnsi="SimSun" w:cs="SimSun" w:hint="eastAsia"/>
        </w:rPr>
        <w:t>虑</w:t>
      </w:r>
      <w:r>
        <w:rPr>
          <w:rFonts w:ascii="PingFang TC" w:eastAsia="PingFang TC" w:hAnsi="PingFang TC" w:cs="PingFang TC" w:hint="eastAsia"/>
        </w:rPr>
        <w:t>对权重做适度的</w:t>
      </w:r>
      <w:r>
        <w:t>“</w:t>
      </w:r>
      <w:r>
        <w:rPr>
          <w:rFonts w:ascii="PingFang TC" w:eastAsia="PingFang TC" w:hAnsi="PingFang TC" w:cs="PingFang TC" w:hint="eastAsia"/>
        </w:rPr>
        <w:t>人为调低</w:t>
      </w:r>
      <w:r>
        <w:t>”</w:t>
      </w:r>
      <w:r>
        <w:rPr>
          <w:rFonts w:ascii="PingFang TC" w:eastAsia="PingFang TC" w:hAnsi="PingFang TC" w:cs="PingFang TC" w:hint="eastAsia"/>
        </w:rPr>
        <w:t>，这就引出了我们设计的下一层组合</w:t>
      </w:r>
      <w:r w:rsidR="003C178A">
        <w:rPr>
          <w:rFonts w:ascii="PingFang TC" w:eastAsia="PingFang TC" w:hAnsi="PingFang TC" w:cs="PingFang TC" w:hint="eastAsia"/>
        </w:rPr>
        <w:t>，我们取名为</w:t>
      </w:r>
      <w:r w:rsidR="003C178A" w:rsidRPr="00B84C6F">
        <w:rPr>
          <w:rFonts w:ascii="PingFang TC" w:eastAsia="PingFang TC" w:hAnsi="PingFang TC" w:cs="PingFang TC" w:hint="eastAsia"/>
          <w:b/>
          <w:bCs/>
          <w:color w:val="0F4761" w:themeColor="accent1" w:themeShade="BF"/>
        </w:rPr>
        <w:t>“Global Diversified低配美国全球分散”</w:t>
      </w:r>
      <w:r w:rsidR="00B84C6F">
        <w:rPr>
          <w:rFonts w:ascii="PingFang TC" w:eastAsia="PingFang TC" w:hAnsi="PingFang TC" w:cs="PingFang TC" w:hint="eastAsia"/>
        </w:rPr>
        <w:t>：</w:t>
      </w:r>
      <w:r w:rsidR="00836BA2">
        <w:rPr>
          <w:rFonts w:ascii="PingFang TC" w:eastAsia="PingFang TC" w:hAnsi="PingFang TC" w:cs="PingFang TC" w:hint="eastAsia"/>
        </w:rPr>
        <w:t>在市值加权的基础上，采取更</w:t>
      </w:r>
      <w:r w:rsidR="00836BA2">
        <w:t>“</w:t>
      </w:r>
      <w:r w:rsidR="00836BA2">
        <w:rPr>
          <w:rFonts w:ascii="PingFang TC" w:eastAsia="PingFang TC" w:hAnsi="PingFang TC" w:cs="PingFang TC" w:hint="eastAsia"/>
        </w:rPr>
        <w:t>均衡化</w:t>
      </w:r>
      <w:r w:rsidR="00836BA2">
        <w:t>”</w:t>
      </w:r>
      <w:r w:rsidR="00836BA2">
        <w:rPr>
          <w:rFonts w:ascii="PingFang TC" w:eastAsia="PingFang TC" w:hAnsi="PingFang TC" w:cs="PingFang TC" w:hint="eastAsia"/>
        </w:rPr>
        <w:t>的思路，</w:t>
      </w:r>
      <w:r w:rsidR="00A50107">
        <w:rPr>
          <w:rFonts w:ascii="PingFang TC" w:eastAsia="PingFang TC" w:hAnsi="PingFang TC" w:cs="PingFang TC" w:hint="eastAsia"/>
        </w:rPr>
        <w:t>调低美国市场的比重</w:t>
      </w:r>
      <w:r w:rsidR="00836BA2">
        <w:rPr>
          <w:rFonts w:ascii="PingFang TC" w:eastAsia="PingFang TC" w:hAnsi="PingFang TC" w:cs="PingFang TC" w:hint="eastAsia"/>
        </w:rPr>
        <w:t>。</w:t>
      </w:r>
    </w:p>
    <w:p w14:paraId="4A55D4D4" w14:textId="065A01E3" w:rsidR="00836BA2" w:rsidRDefault="00836BA2" w:rsidP="00836BA2">
      <w:pPr>
        <w:pStyle w:val="p2"/>
      </w:pPr>
      <w:r w:rsidRPr="0044697A">
        <w:rPr>
          <w:noProof/>
        </w:rPr>
        <w:lastRenderedPageBreak/>
        <w:drawing>
          <wp:inline distT="0" distB="0" distL="0" distR="0" wp14:anchorId="46070CD9" wp14:editId="0C503FE3">
            <wp:extent cx="4927600" cy="3175000"/>
            <wp:effectExtent l="0" t="0" r="0" b="0"/>
            <wp:docPr id="650811778" name="Picture 1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1778" name="Picture 1" descr="A screenshot of a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9B23" w14:textId="6994AB12" w:rsidR="00836BA2" w:rsidRDefault="00836BA2" w:rsidP="00836BA2">
      <w:pPr>
        <w:pStyle w:val="p1"/>
      </w:pPr>
      <w:r>
        <w:rPr>
          <w:rFonts w:ascii="PingFang TC" w:eastAsia="PingFang TC" w:hAnsi="PingFang TC" w:cs="PingFang TC" w:hint="eastAsia"/>
        </w:rPr>
        <w:t>在</w:t>
      </w:r>
      <w:r w:rsidR="00A50107">
        <w:rPr>
          <w:rFonts w:ascii="PingFang TC" w:eastAsia="PingFang TC" w:hAnsi="PingFang TC" w:cs="PingFang TC" w:hint="eastAsia"/>
        </w:rPr>
        <w:t>低配美国的组合</w:t>
      </w:r>
      <w:r>
        <w:rPr>
          <w:rFonts w:ascii="PingFang TC" w:eastAsia="PingFang TC" w:hAnsi="PingFang TC" w:cs="PingFang TC" w:hint="eastAsia"/>
        </w:rPr>
        <w:t>中，投资者会先把美股权重从的约</w:t>
      </w:r>
      <w:r>
        <w:t xml:space="preserve"> 65% </w:t>
      </w:r>
      <w:r>
        <w:rPr>
          <w:rFonts w:ascii="PingFang TC" w:eastAsia="PingFang TC" w:hAnsi="PingFang TC" w:cs="PingFang TC" w:hint="eastAsia"/>
        </w:rPr>
        <w:t>适度下调一半，而其他区域的权重相应提升。</w:t>
      </w:r>
    </w:p>
    <w:p w14:paraId="7F966A8C" w14:textId="77777777" w:rsidR="00836BA2" w:rsidRDefault="00836BA2" w:rsidP="00836BA2">
      <w:pPr>
        <w:pStyle w:val="p1"/>
      </w:pPr>
      <w:r>
        <w:rPr>
          <w:rFonts w:ascii="PingFang TC" w:eastAsia="PingFang TC" w:hAnsi="PingFang TC" w:cs="PingFang TC" w:hint="eastAsia"/>
        </w:rPr>
        <w:t>非美部分通常会囊括欧洲、日本、亚洲新兴市场等不同区域，通过跨经济体的周期互补，减少组合对单一区域波动的敏感度。</w:t>
      </w:r>
    </w:p>
    <w:p w14:paraId="48827F16" w14:textId="5723B288" w:rsidR="00836BA2" w:rsidRDefault="00836BA2" w:rsidP="00836BA2">
      <w:pPr>
        <w:pStyle w:val="p2"/>
      </w:pPr>
    </w:p>
    <w:p w14:paraId="51523CFE" w14:textId="5374F40C" w:rsidR="00836BA2" w:rsidRDefault="00836BA2" w:rsidP="00836BA2">
      <w:pPr>
        <w:pStyle w:val="p1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从回测结果来看，这</w:t>
      </w:r>
      <w:r w:rsidR="00A50107">
        <w:rPr>
          <w:rFonts w:ascii="PingFang TC" w:eastAsia="PingFang TC" w:hAnsi="PingFang TC" w:cs="PingFang TC" w:hint="eastAsia"/>
        </w:rPr>
        <w:t>个</w:t>
      </w:r>
      <w:r>
        <w:rPr>
          <w:rFonts w:ascii="PingFang TC" w:eastAsia="PingFang TC" w:hAnsi="PingFang TC" w:cs="PingFang TC" w:hint="eastAsia"/>
        </w:rPr>
        <w:t>低配美国的全球投资组合在</w:t>
      </w:r>
      <w:r>
        <w:t xml:space="preserve"> 2016 </w:t>
      </w:r>
      <w:r>
        <w:rPr>
          <w:rFonts w:ascii="PingFang TC" w:eastAsia="PingFang TC" w:hAnsi="PingFang TC" w:cs="PingFang TC" w:hint="eastAsia"/>
        </w:rPr>
        <w:t>年至</w:t>
      </w:r>
      <w:r>
        <w:t xml:space="preserve"> 2025 </w:t>
      </w:r>
      <w:r>
        <w:rPr>
          <w:rFonts w:ascii="PingFang TC" w:eastAsia="PingFang TC" w:hAnsi="PingFang TC" w:cs="PingFang TC" w:hint="eastAsia"/>
        </w:rPr>
        <w:t>年这段时间里：</w:t>
      </w:r>
    </w:p>
    <w:p w14:paraId="77477FF9" w14:textId="6B7DC733" w:rsidR="00836BA2" w:rsidRDefault="00836BA2" w:rsidP="00836BA2">
      <w:pPr>
        <w:pStyle w:val="p1"/>
      </w:pPr>
      <w:r w:rsidRPr="00836BA2">
        <w:rPr>
          <w:noProof/>
        </w:rPr>
        <w:lastRenderedPageBreak/>
        <w:drawing>
          <wp:inline distT="0" distB="0" distL="0" distR="0" wp14:anchorId="534FDCD9" wp14:editId="39D84B45">
            <wp:extent cx="5702300" cy="5918200"/>
            <wp:effectExtent l="0" t="0" r="0" b="0"/>
            <wp:docPr id="14883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34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B97C" w14:textId="32F3FE6E" w:rsidR="00836BA2" w:rsidRDefault="00836BA2" w:rsidP="00836BA2">
      <w:pPr>
        <w:pStyle w:val="p1"/>
        <w:numPr>
          <w:ilvl w:val="0"/>
          <w:numId w:val="3"/>
        </w:numPr>
      </w:pPr>
      <w:r>
        <w:rPr>
          <w:rStyle w:val="s1"/>
          <w:rFonts w:eastAsiaTheme="majorEastAsia"/>
          <w:b/>
          <w:bCs/>
        </w:rPr>
        <w:t>累计收益率</w:t>
      </w:r>
      <w:r>
        <w:rPr>
          <w:rFonts w:ascii="PingFang TC" w:eastAsia="PingFang TC" w:hAnsi="PingFang TC" w:cs="PingFang TC" w:hint="eastAsia"/>
        </w:rPr>
        <w:t>大约为</w:t>
      </w:r>
      <w:r>
        <w:rPr>
          <w:rFonts w:hint="eastAsia"/>
          <w:i/>
          <w:iCs/>
        </w:rPr>
        <w:t>140</w:t>
      </w:r>
      <w:r>
        <w:rPr>
          <w:i/>
          <w:iCs/>
        </w:rPr>
        <w:t xml:space="preserve">% </w:t>
      </w:r>
      <w:r>
        <w:rPr>
          <w:rFonts w:ascii="PingFang TC" w:eastAsia="PingFang TC" w:hAnsi="PingFang TC" w:cs="PingFang TC" w:hint="eastAsia"/>
        </w:rPr>
        <w:t>（年化约</w:t>
      </w:r>
      <w:r>
        <w:t xml:space="preserve"> </w:t>
      </w:r>
      <w:r>
        <w:rPr>
          <w:rFonts w:hint="eastAsia"/>
          <w:i/>
          <w:iCs/>
        </w:rPr>
        <w:t>9.69</w:t>
      </w:r>
      <w:r>
        <w:rPr>
          <w:i/>
          <w:iCs/>
        </w:rPr>
        <w:t>%</w:t>
      </w:r>
      <w:r>
        <w:rPr>
          <w:rFonts w:ascii="PingFang TC" w:eastAsia="PingFang TC" w:hAnsi="PingFang TC" w:cs="PingFang TC" w:hint="eastAsia"/>
        </w:rPr>
        <w:t>）</w:t>
      </w:r>
    </w:p>
    <w:p w14:paraId="5FAAA263" w14:textId="12C1E0A2" w:rsidR="00836BA2" w:rsidRDefault="00836BA2" w:rsidP="00836BA2">
      <w:pPr>
        <w:pStyle w:val="p1"/>
        <w:numPr>
          <w:ilvl w:val="0"/>
          <w:numId w:val="3"/>
        </w:numPr>
      </w:pPr>
      <w:r>
        <w:rPr>
          <w:rFonts w:ascii="PingFang TC" w:eastAsia="PingFang TC" w:hAnsi="PingFang TC" w:cs="PingFang TC" w:hint="eastAsia"/>
        </w:rPr>
        <w:t>最大回撤约</w:t>
      </w:r>
      <w:r>
        <w:t xml:space="preserve"> </w:t>
      </w:r>
      <w:r>
        <w:rPr>
          <w:i/>
          <w:iCs/>
        </w:rPr>
        <w:t>-</w:t>
      </w:r>
      <w:r>
        <w:rPr>
          <w:rFonts w:hint="eastAsia"/>
          <w:i/>
          <w:iCs/>
        </w:rPr>
        <w:t>26.91</w:t>
      </w:r>
      <w:r>
        <w:rPr>
          <w:i/>
          <w:iCs/>
        </w:rPr>
        <w:t>%</w:t>
      </w:r>
    </w:p>
    <w:p w14:paraId="30248FB9" w14:textId="7997A0F9" w:rsidR="00836BA2" w:rsidRDefault="00836BA2" w:rsidP="00836BA2">
      <w:pPr>
        <w:pStyle w:val="p1"/>
        <w:numPr>
          <w:ilvl w:val="0"/>
          <w:numId w:val="3"/>
        </w:numPr>
      </w:pPr>
      <w:r>
        <w:rPr>
          <w:rFonts w:ascii="PingFang TC" w:eastAsia="PingFang TC" w:hAnsi="PingFang TC" w:cs="PingFang TC" w:hint="eastAsia"/>
        </w:rPr>
        <w:t>夏普比率约</w:t>
      </w:r>
      <w:r>
        <w:t xml:space="preserve"> </w:t>
      </w:r>
      <w:r>
        <w:rPr>
          <w:i/>
          <w:iCs/>
        </w:rPr>
        <w:t>0.</w:t>
      </w:r>
      <w:r>
        <w:rPr>
          <w:rFonts w:hint="eastAsia"/>
          <w:i/>
          <w:iCs/>
        </w:rPr>
        <w:t>57</w:t>
      </w:r>
    </w:p>
    <w:p w14:paraId="4412287B" w14:textId="7D005278" w:rsidR="00836BA2" w:rsidRPr="00836BA2" w:rsidRDefault="00A50107" w:rsidP="00836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低配美国组合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="00836BA2" w:rsidRPr="00836BA2">
        <w:rPr>
          <w:rFonts w:ascii="Times New Roman" w:eastAsia="Times New Roman" w:hAnsi="Times New Roman" w:cs="Times New Roman"/>
          <w:kern w:val="0"/>
          <w14:ligatures w14:val="none"/>
        </w:rPr>
        <w:t>Global Diversified underweight US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）年化收益率为</w:t>
      </w:r>
      <w:r w:rsidR="00836BA2"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BA2"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9.69%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，相比</w:t>
      </w:r>
      <w:r>
        <w:rPr>
          <w:rFonts w:ascii="PingFang TC" w:eastAsia="PingFang TC" w:hAnsi="PingFang TC" w:cs="PingFang TC" w:hint="eastAsia"/>
          <w:kern w:val="0"/>
          <w14:ligatures w14:val="none"/>
        </w:rPr>
        <w:t>全球组合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="00836BA2" w:rsidRPr="00836BA2">
        <w:rPr>
          <w:rFonts w:ascii="Times New Roman" w:eastAsia="Times New Roman" w:hAnsi="Times New Roman" w:cs="Times New Roman"/>
          <w:kern w:val="0"/>
          <w14:ligatures w14:val="none"/>
        </w:rPr>
        <w:t>Global Diversified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）的</w:t>
      </w:r>
      <w:r w:rsidR="00836BA2"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BA2"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11.94%</w:t>
      </w:r>
      <w:r w:rsidR="00836BA2"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BA2" w:rsidRPr="00836BA2">
        <w:rPr>
          <w:rFonts w:ascii="PingFang TC" w:eastAsia="PingFang TC" w:hAnsi="PingFang TC" w:cs="PingFang TC" w:hint="eastAsia"/>
          <w:kern w:val="0"/>
          <w14:ligatures w14:val="none"/>
        </w:rPr>
        <w:t>略低</w:t>
      </w:r>
      <w:r w:rsidR="00836BA2" w:rsidRPr="00836BA2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07A7DDB7" w14:textId="77777777" w:rsidR="00836BA2" w:rsidRPr="00836BA2" w:rsidRDefault="00836BA2" w:rsidP="00836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波动性（标准差）从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14.53%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降到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14.34%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，变化并不显著</w:t>
      </w:r>
      <w:r w:rsidRPr="00836BA2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4DF15F97" w14:textId="77777777" w:rsidR="00836BA2" w:rsidRPr="00836BA2" w:rsidRDefault="00836BA2" w:rsidP="00836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夏普比率也从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0.71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降到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0.57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，意味着单位风险下获取的超额收益有所减少</w:t>
      </w:r>
      <w:r w:rsidRPr="00836BA2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FED00D8" w14:textId="77777777" w:rsidR="00836BA2" w:rsidRPr="00836BA2" w:rsidRDefault="00836BA2" w:rsidP="0083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621E9" w14:textId="77777777" w:rsidR="00836BA2" w:rsidRPr="00836BA2" w:rsidRDefault="00836BA2" w:rsidP="0083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需要特别指出的是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，这组结果是基于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2016 </w:t>
      </w: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年至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2025 </w:t>
      </w: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这段历史数据，恰好这段时间里美股市场整体表现尤为强劲，美股权重更高的组合自然相对受益更多</w:t>
      </w:r>
      <w:r w:rsidRPr="00836BA2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78F870A" w14:textId="0A9A5F3C" w:rsidR="00836BA2" w:rsidRPr="00836BA2" w:rsidRDefault="00836BA2" w:rsidP="0083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从另一个角度看，即使是在这样的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="00A50107">
        <w:rPr>
          <w:rFonts w:ascii="PingFang TC" w:eastAsia="PingFang TC" w:hAnsi="PingFang TC" w:cs="PingFang TC" w:hint="eastAsia"/>
          <w:kern w:val="0"/>
          <w14:ligatures w14:val="none"/>
        </w:rPr>
        <w:t>美国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偏强</w:t>
      </w:r>
      <w:r w:rsidRPr="00836BA2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="00BF7594">
        <w:rPr>
          <w:rFonts w:ascii="PingFang TC" w:eastAsia="PingFang TC" w:hAnsi="PingFang TC" w:cs="PingFang TC" w:hint="eastAsia"/>
          <w:kern w:val="0"/>
          <w14:ligatures w14:val="none"/>
        </w:rPr>
        <w:t>时间区间</w:t>
      </w:r>
      <w:r w:rsidRPr="00836BA2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="006B377F">
        <w:rPr>
          <w:rFonts w:ascii="PingFang TC" w:eastAsia="PingFang TC" w:hAnsi="PingFang TC" w:cs="PingFang TC" w:hint="eastAsia"/>
          <w:kern w:val="0"/>
          <w14:ligatures w14:val="none"/>
        </w:rPr>
        <w:t>“</w:t>
      </w:r>
      <w:r w:rsidR="006B377F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低配美国组合”</w:t>
      </w: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通过适度下调美国权重、引入更多非美区域分散后，依然实现了年化近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10% </w:t>
      </w: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的收益，回撤也控制在</w:t>
      </w:r>
      <w:r w:rsidRPr="0083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-27% </w:t>
      </w:r>
      <w:r w:rsidRPr="00836BA2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以内，整体表现依然不俗</w:t>
      </w:r>
      <w:r w:rsidRPr="00836BA2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5121283C" w14:textId="77777777" w:rsidR="00A50107" w:rsidRDefault="00A50107" w:rsidP="00BF7594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</w:p>
    <w:p w14:paraId="55D4D9B0" w14:textId="77777777" w:rsidR="00A50107" w:rsidRDefault="00A50107" w:rsidP="00BF7594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当我们</w:t>
      </w:r>
      <w:r w:rsidR="00BF7594" w:rsidRPr="00BF7594">
        <w:rPr>
          <w:rFonts w:ascii="PingFang TC" w:eastAsia="PingFang TC" w:hAnsi="PingFang TC" w:cs="PingFang TC" w:hint="eastAsia"/>
          <w:kern w:val="0"/>
          <w14:ligatures w14:val="none"/>
        </w:rPr>
        <w:t>站在一个中国投资者的角度</w:t>
      </w:r>
      <w:r>
        <w:rPr>
          <w:rFonts w:ascii="PingFang TC" w:eastAsia="PingFang TC" w:hAnsi="PingFang TC" w:cs="PingFang TC" w:hint="eastAsia"/>
          <w:kern w:val="0"/>
          <w14:ligatures w14:val="none"/>
        </w:rPr>
        <w:t>上来看</w:t>
      </w:r>
      <w:r w:rsidR="00BF7594" w:rsidRPr="00BF7594">
        <w:rPr>
          <w:rFonts w:ascii="PingFang TC" w:eastAsia="PingFang TC" w:hAnsi="PingFang TC" w:cs="PingFang TC" w:hint="eastAsia"/>
          <w:kern w:val="0"/>
          <w14:ligatures w14:val="none"/>
        </w:rPr>
        <w:t>，如果仅仅把可投资资产放在中国市场，</w:t>
      </w:r>
      <w:r>
        <w:rPr>
          <w:rFonts w:ascii="PingFang TC" w:eastAsia="PingFang TC" w:hAnsi="PingFang TC" w:cs="PingFang TC" w:hint="eastAsia"/>
          <w:kern w:val="0"/>
          <w14:ligatures w14:val="none"/>
        </w:rPr>
        <w:t>我们的投资结果会大大不同。</w:t>
      </w:r>
    </w:p>
    <w:p w14:paraId="32CF774E" w14:textId="577C25D4" w:rsidR="00BF7594" w:rsidRPr="00BF7594" w:rsidRDefault="00A37472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PingFang TC" w:eastAsia="PingFang TC" w:hAnsi="PingFang TC" w:cs="PingFang TC" w:hint="eastAsia"/>
          <w:kern w:val="0"/>
          <w14:ligatures w14:val="none"/>
        </w:rPr>
        <w:t>注：我们假设</w:t>
      </w:r>
      <w:r w:rsidR="00BF7594" w:rsidRPr="00BF7594">
        <w:rPr>
          <w:rFonts w:ascii="Times New Roman" w:eastAsia="Times New Roman" w:hAnsi="Times New Roman" w:cs="Times New Roman" w:hint="eastAsia"/>
          <w:kern w:val="0"/>
          <w14:ligatures w14:val="none"/>
        </w:rPr>
        <w:t>M</w:t>
      </w:r>
      <w:r w:rsidR="00BF7594"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SCI China ETF </w:t>
      </w:r>
      <w:r>
        <w:rPr>
          <w:rFonts w:ascii="PingFang TC" w:eastAsia="PingFang TC" w:hAnsi="PingFang TC" w:cs="PingFang TC" w:hint="eastAsia"/>
          <w:kern w:val="0"/>
          <w14:ligatures w14:val="none"/>
        </w:rPr>
        <w:t>是中国投资者投资的一个典型</w:t>
      </w:r>
      <w:r w:rsidR="00A50107">
        <w:rPr>
          <w:rFonts w:ascii="PingFang TC" w:eastAsia="PingFang TC" w:hAnsi="PingFang TC" w:cs="PingFang TC" w:hint="eastAsia"/>
          <w:kern w:val="0"/>
          <w14:ligatures w14:val="none"/>
        </w:rPr>
        <w:t>投资</w:t>
      </w:r>
      <w:r>
        <w:rPr>
          <w:rFonts w:ascii="PingFang TC" w:eastAsia="PingFang TC" w:hAnsi="PingFang TC" w:cs="PingFang TC" w:hint="eastAsia"/>
          <w:kern w:val="0"/>
          <w14:ligatures w14:val="none"/>
        </w:rPr>
        <w:t>标的</w:t>
      </w:r>
      <w:r w:rsidR="00BF7594"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C20BBBC" w14:textId="1F07A7DA" w:rsidR="00BF7594" w:rsidRDefault="00BF7594" w:rsidP="00BF7594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从这组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2016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年到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2025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年的回测数据来看，</w:t>
      </w:r>
      <w:r w:rsidR="003E1F0F">
        <w:rPr>
          <w:rFonts w:ascii="PingFang TC" w:eastAsia="PingFang TC" w:hAnsi="PingFang TC" w:cs="PingFang TC" w:hint="eastAsia"/>
          <w:kern w:val="0"/>
          <w14:ligatures w14:val="none"/>
        </w:rPr>
        <w:t>三个不同组合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的表现显得尤为直观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1CBE7A4" w14:textId="65DBE110" w:rsidR="00103B7E" w:rsidRDefault="00103B7E" w:rsidP="00BF7594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44697A">
        <w:rPr>
          <w:noProof/>
        </w:rPr>
        <w:lastRenderedPageBreak/>
        <w:drawing>
          <wp:inline distT="0" distB="0" distL="0" distR="0" wp14:anchorId="3F55FFB9" wp14:editId="5256E6A9">
            <wp:extent cx="5943600" cy="5286375"/>
            <wp:effectExtent l="0" t="0" r="0" b="0"/>
            <wp:docPr id="132511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3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F9B2" w14:textId="6164C0C4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97A">
        <w:rPr>
          <w:noProof/>
        </w:rPr>
        <w:lastRenderedPageBreak/>
        <w:drawing>
          <wp:inline distT="0" distB="0" distL="0" distR="0" wp14:anchorId="7144174F" wp14:editId="4CCE2FAB">
            <wp:extent cx="5943600" cy="4867275"/>
            <wp:effectExtent l="0" t="0" r="0" b="0"/>
            <wp:docPr id="835355260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5260" name="Picture 1" descr="A table with numbers and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150" w14:textId="14C2A332" w:rsidR="00BF7594" w:rsidRPr="00BF7594" w:rsidRDefault="00BF7594" w:rsidP="00BF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过去近十年，这个单一市场组合的</w:t>
      </w:r>
      <w:r w:rsidRPr="00BF759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年化收益率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仅有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4%</w:t>
      </w:r>
      <w:r w:rsidR="00103B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="00103B7E" w:rsidRPr="00103B7E">
        <w:rPr>
          <w:rFonts w:ascii="PingFang TC" w:eastAsia="PingFang TC" w:hAnsi="PingFang TC" w:cs="PingFang TC" w:hint="eastAsia"/>
          <w:kern w:val="0"/>
          <w14:ligatures w14:val="none"/>
        </w:rPr>
        <w:t>累计收益</w:t>
      </w:r>
      <w:r w:rsidR="00103B7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45%）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Pr="00BF7594">
        <w:rPr>
          <w:rFonts w:ascii="SimSun" w:eastAsia="SimSun" w:hAnsi="SimSun" w:cs="SimSun" w:hint="eastAsia"/>
          <w:kern w:val="0"/>
          <w14:ligatures w14:val="none"/>
        </w:rPr>
        <w:t>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低于全球分散组合</w:t>
      </w:r>
      <w:r w:rsidR="00103B7E">
        <w:rPr>
          <w:rFonts w:ascii="PingFang TC" w:eastAsia="PingFang TC" w:hAnsi="PingFang TC" w:cs="PingFang TC" w:hint="eastAsia"/>
          <w:kern w:val="0"/>
          <w14:ligatures w14:val="none"/>
        </w:rPr>
        <w:t>11.94%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="00103B7E">
        <w:rPr>
          <w:rFonts w:ascii="Times New Roman" w:eastAsia="Times New Roman" w:hAnsi="Times New Roman" w:cs="Times New Roman" w:hint="eastAsia"/>
          <w:kern w:val="0"/>
          <w14:ligatures w14:val="none"/>
        </w:rPr>
        <w:t>192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）以及低配美国的组合</w:t>
      </w:r>
      <w:r w:rsidR="00103B7E">
        <w:rPr>
          <w:rFonts w:ascii="PingFang TC" w:eastAsia="PingFang TC" w:hAnsi="PingFang TC" w:cs="PingFang TC" w:hint="eastAsia"/>
          <w:kern w:val="0"/>
          <w14:ligatures w14:val="none"/>
        </w:rPr>
        <w:t>9.69%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="00103B7E">
        <w:rPr>
          <w:rFonts w:ascii="Times New Roman" w:eastAsia="Times New Roman" w:hAnsi="Times New Roman" w:cs="Times New Roman" w:hint="eastAsia"/>
          <w:kern w:val="0"/>
          <w14:ligatures w14:val="none"/>
        </w:rPr>
        <w:t>140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40C77FC" w14:textId="76857E78" w:rsidR="00BF7594" w:rsidRPr="00BF7594" w:rsidRDefault="00BF7594" w:rsidP="00BF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波动性（标准差）却高达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24.75%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，意味着这笔资金在短期内经历了更大的起伏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D63C402" w14:textId="77777777" w:rsidR="00BF7594" w:rsidRPr="00BF7594" w:rsidRDefault="00BF7594" w:rsidP="00BF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最大回撤达到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-58.72%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Pr="00BF7594">
        <w:rPr>
          <w:rFonts w:ascii="SimSun" w:eastAsia="SimSun" w:hAnsi="SimSun" w:cs="SimSun" w:hint="eastAsia"/>
          <w:kern w:val="0"/>
          <w14:ligatures w14:val="none"/>
        </w:rPr>
        <w:t>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高于全球组合不到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-27%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的水平；换句话说，单一市场的系统性风险可能在突发事件中带来更大幅度的资产回撤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76342D0" w14:textId="77777777" w:rsidR="00BF7594" w:rsidRPr="00BF7594" w:rsidRDefault="00BF7594" w:rsidP="00BF75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夏普比率仅有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0.19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，相比全球分散组合的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0.71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，说明投资者在承受了更大波动的同时，并没有换来足够的超额回报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6070757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19663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当然，这并不是说中国市场本身没有机会。事实上，过去十年里，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MSCI China ETF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的</w:t>
      </w:r>
      <w:r w:rsidRPr="00BF759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最佳年份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也曾出现过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54.66%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的惊人涨幅，</w:t>
      </w:r>
      <w:r w:rsidRPr="00BF7594">
        <w:rPr>
          <w:rFonts w:ascii="SimSun" w:eastAsia="SimSun" w:hAnsi="SimSun" w:cs="SimSun" w:hint="eastAsia"/>
          <w:kern w:val="0"/>
          <w14:ligatures w14:val="none"/>
        </w:rPr>
        <w:t>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超全球组合的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 xml:space="preserve"> 27% 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左右。但这也正好说明，</w:t>
      </w:r>
      <w:r w:rsidRPr="00BF759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lastRenderedPageBreak/>
        <w:t>单一市场的收益与风险高度集中，波动往往放大了心理压力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，稍有踩错节奏，长线回报可能被大幅侵蚀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3C66FE6" w14:textId="7A51AACA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从全球配置的视角来看，中国市场可以是全球组合中极具成长潜力的一块，但如果把所有筹码都押在这里，一旦遇到系统性风险、政策变化或汇率波动，对家庭整体资产安全感的冲击是巨大的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EBFBF70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这也是为什么我们始终强调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D2039AE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单一市场的高波动和政策不可控性，最需要用全球分散来对冲</w:t>
      </w:r>
      <w:r w:rsidRPr="00BF7594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20BEE1BA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无论是从全球公司市值加权组合出发，还是在不同区域之间做更细的权重优化，背后都是同一个逻辑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5E65D28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分散配置，从来都不是为了短期跑赢所有人，而是为了尽可能守住属于自己的长期确定性</w:t>
      </w:r>
      <w:r w:rsidRPr="00BF7594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27D8A52A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放眼整个世界，经济周期永</w:t>
      </w:r>
      <w:r w:rsidRPr="00BF7594">
        <w:rPr>
          <w:rFonts w:ascii="SimSun" w:eastAsia="SimSun" w:hAnsi="SimSun" w:cs="SimSun" w:hint="eastAsia"/>
          <w:kern w:val="0"/>
          <w14:ligatures w14:val="none"/>
        </w:rPr>
        <w:t>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不会同步，估值高低也总在轮动，任何单一市场都有可能在某个阶段出现超预期的风险或回撤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D44FF52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相比用情绪来押注某个区域能一骑绝尘，普通家庭更需要的，恰恰是把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别把鸡蛋放在同一个篮子里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这件事，做到真正科学、可持续，并且长期执行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B03C193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5D8ED" w14:textId="77777777" w:rsidR="00BF7594" w:rsidRPr="00BF7594" w:rsidRDefault="00BF7594" w:rsidP="00BF7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如果说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资产配置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是让财富穿越周期的科学之道，那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全球分散</w:t>
      </w:r>
      <w:r w:rsidRPr="00BF759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F7594">
        <w:rPr>
          <w:rFonts w:ascii="PingFang TC" w:eastAsia="PingFang TC" w:hAnsi="PingFang TC" w:cs="PingFang TC" w:hint="eastAsia"/>
          <w:kern w:val="0"/>
          <w14:ligatures w14:val="none"/>
        </w:rPr>
        <w:t>就是这条路上最重要的护栏</w:t>
      </w:r>
      <w:r w:rsidRPr="00BF7594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98E1121" w14:textId="77777777" w:rsidR="003C6209" w:rsidRDefault="003C6209"/>
    <w:sectPr w:rsidR="003C62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C4F66"/>
    <w:multiLevelType w:val="multilevel"/>
    <w:tmpl w:val="914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C0EA0"/>
    <w:multiLevelType w:val="multilevel"/>
    <w:tmpl w:val="80A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05FAD"/>
    <w:multiLevelType w:val="multilevel"/>
    <w:tmpl w:val="7E9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A5ED4"/>
    <w:multiLevelType w:val="multilevel"/>
    <w:tmpl w:val="4FB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67B50"/>
    <w:multiLevelType w:val="multilevel"/>
    <w:tmpl w:val="0E5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07BE5"/>
    <w:multiLevelType w:val="multilevel"/>
    <w:tmpl w:val="B040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3214B"/>
    <w:multiLevelType w:val="multilevel"/>
    <w:tmpl w:val="EF8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A050A"/>
    <w:multiLevelType w:val="multilevel"/>
    <w:tmpl w:val="13E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90474">
    <w:abstractNumId w:val="7"/>
  </w:num>
  <w:num w:numId="2" w16cid:durableId="1885167650">
    <w:abstractNumId w:val="3"/>
  </w:num>
  <w:num w:numId="3" w16cid:durableId="905994223">
    <w:abstractNumId w:val="0"/>
  </w:num>
  <w:num w:numId="4" w16cid:durableId="1015765685">
    <w:abstractNumId w:val="1"/>
  </w:num>
  <w:num w:numId="5" w16cid:durableId="1653827242">
    <w:abstractNumId w:val="6"/>
  </w:num>
  <w:num w:numId="6" w16cid:durableId="971791758">
    <w:abstractNumId w:val="4"/>
  </w:num>
  <w:num w:numId="7" w16cid:durableId="632174566">
    <w:abstractNumId w:val="2"/>
  </w:num>
  <w:num w:numId="8" w16cid:durableId="1208566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09"/>
    <w:rsid w:val="00103B7E"/>
    <w:rsid w:val="001330EB"/>
    <w:rsid w:val="002A65AD"/>
    <w:rsid w:val="003B3272"/>
    <w:rsid w:val="003C178A"/>
    <w:rsid w:val="003C6209"/>
    <w:rsid w:val="003E1F0F"/>
    <w:rsid w:val="0042330A"/>
    <w:rsid w:val="00513B37"/>
    <w:rsid w:val="006B377F"/>
    <w:rsid w:val="00795BCE"/>
    <w:rsid w:val="00836BA2"/>
    <w:rsid w:val="008F77EA"/>
    <w:rsid w:val="009461D5"/>
    <w:rsid w:val="00A37472"/>
    <w:rsid w:val="00A50107"/>
    <w:rsid w:val="00AF2748"/>
    <w:rsid w:val="00B84C6F"/>
    <w:rsid w:val="00BA26E7"/>
    <w:rsid w:val="00BB5240"/>
    <w:rsid w:val="00BF7594"/>
    <w:rsid w:val="00D0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33515"/>
  <w15:chartTrackingRefBased/>
  <w15:docId w15:val="{81E8615C-8DA6-1843-AC01-17D614D5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20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6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C6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6209"/>
  </w:style>
  <w:style w:type="paragraph" w:customStyle="1" w:styleId="p3">
    <w:name w:val="p3"/>
    <w:basedOn w:val="Normal"/>
    <w:rsid w:val="003C620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5">
    <w:name w:val="p5"/>
    <w:basedOn w:val="Normal"/>
    <w:rsid w:val="003C620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0"/>
      <w:szCs w:val="20"/>
      <w14:ligatures w14:val="none"/>
    </w:rPr>
  </w:style>
  <w:style w:type="character" w:customStyle="1" w:styleId="s2">
    <w:name w:val="s2"/>
    <w:basedOn w:val="DefaultParagraphFont"/>
    <w:rsid w:val="00836BA2"/>
  </w:style>
  <w:style w:type="paragraph" w:customStyle="1" w:styleId="p4">
    <w:name w:val="p4"/>
    <w:basedOn w:val="Normal"/>
    <w:rsid w:val="00836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36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7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3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9</cp:revision>
  <dcterms:created xsi:type="dcterms:W3CDTF">2025-07-15T00:56:00Z</dcterms:created>
  <dcterms:modified xsi:type="dcterms:W3CDTF">2025-07-15T03:06:00Z</dcterms:modified>
</cp:coreProperties>
</file>