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939DC" w14:textId="77777777" w:rsidR="003C6209" w:rsidRDefault="003C6209"/>
    <w:p w14:paraId="30D48A03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在全球化的浪潮下，财富的增长与风险从来都是一体两面。</w:t>
      </w:r>
    </w:p>
    <w:p w14:paraId="64BF5779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无论是宏观经济的周期起伏、单一市场估值的剧烈变化，还是突如其来的地缘政治冲突，都会让原本看似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固的资产组合在某个阶段暴露出意料之外的脆弱性。</w:t>
      </w:r>
    </w:p>
    <w:p w14:paraId="5A82E3F6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对大多数希望长期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健积累财富的投资者而言，真正重要的不是预测下一个市场热点，而是找到一套能在不同周期中自我修复、自我平衡的资产配置结构。</w:t>
      </w:r>
    </w:p>
    <w:p w14:paraId="6A7046C8" w14:textId="77777777" w:rsidR="003C6209" w:rsidRDefault="003C6209" w:rsidP="003C6209">
      <w:pPr>
        <w:pStyle w:val="p1"/>
      </w:pPr>
      <w:r>
        <w:rPr>
          <w:rStyle w:val="s1"/>
          <w:rFonts w:eastAsiaTheme="majorEastAsia"/>
          <w:b/>
          <w:bCs/>
        </w:rPr>
        <w:t>全球分散化</w:t>
      </w:r>
      <w:r>
        <w:rPr>
          <w:rFonts w:ascii="PingFang TC" w:eastAsia="PingFang TC" w:hAnsi="PingFang TC" w:cs="PingFang TC" w:hint="eastAsia"/>
        </w:rPr>
        <w:t>，本质上就是通过在不同区域、不同市场中合理分布资产，把收益机会和潜在风险拆散，避免单一变量</w:t>
      </w:r>
      <w:r>
        <w:t>“</w:t>
      </w:r>
      <w:r>
        <w:rPr>
          <w:rFonts w:ascii="PingFang TC" w:eastAsia="PingFang TC" w:hAnsi="PingFang TC" w:cs="PingFang TC" w:hint="eastAsia"/>
        </w:rPr>
        <w:t>牵一发而动全身</w:t>
      </w:r>
      <w:r>
        <w:t>”</w:t>
      </w:r>
      <w:r>
        <w:rPr>
          <w:rFonts w:ascii="PingFang TC" w:eastAsia="PingFang TC" w:hAnsi="PingFang TC" w:cs="PingFang TC" w:hint="eastAsia"/>
        </w:rPr>
        <w:t>。</w:t>
      </w:r>
    </w:p>
    <w:p w14:paraId="19013D59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资产配置的原理</w:t>
      </w:r>
    </w:p>
    <w:p w14:paraId="0D8DF9DB" w14:textId="0118DB82" w:rsidR="003C6209" w:rsidRDefault="003C6209" w:rsidP="003C6209">
      <w:pPr>
        <w:pStyle w:val="p3"/>
        <w:rPr>
          <w:rFonts w:hint="eastAsia"/>
        </w:rPr>
      </w:pPr>
      <w:r>
        <w:rPr>
          <w:rFonts w:ascii="PingFang TC" w:eastAsia="PingFang TC" w:hAnsi="PingFang TC" w:cs="PingFang TC" w:hint="eastAsia"/>
        </w:rPr>
        <w:t>资产配置之所以能够帮助投资者对冲风险，源于它依托了一些核心投资理论，比如</w:t>
      </w:r>
      <w:r>
        <w:rPr>
          <w:rFonts w:ascii="PingFang TC" w:eastAsia="PingFang TC" w:hAnsi="PingFang TC" w:cs="PingFang TC" w:hint="eastAsia"/>
          <w:b/>
          <w:bCs/>
        </w:rPr>
        <w:t>现代投资组合理论（</w:t>
      </w:r>
      <w:r>
        <w:rPr>
          <w:b/>
          <w:bCs/>
        </w:rPr>
        <w:t>MPT</w:t>
      </w:r>
      <w:r>
        <w:rPr>
          <w:rFonts w:ascii="PingFang TC" w:eastAsia="PingFang TC" w:hAnsi="PingFang TC" w:cs="PingFang TC" w:hint="eastAsia"/>
          <w:b/>
          <w:bCs/>
        </w:rPr>
        <w:t>）和有效前沿理论</w:t>
      </w:r>
      <w:r>
        <w:rPr>
          <w:rFonts w:ascii="PingFang TC" w:eastAsia="PingFang TC" w:hAnsi="PingFang TC" w:cs="PingFang TC" w:hint="eastAsia"/>
        </w:rPr>
        <w:t>。这些理论的共同逻辑是：通过在不同资产类别和市场间合理分散投资，可以优化风险与收益的关系，实现收益最大化与风险最小化的平衡。</w:t>
      </w:r>
    </w:p>
    <w:p w14:paraId="7763EB4B" w14:textId="31A9A8B9" w:rsidR="003C6209" w:rsidRDefault="003C6209" w:rsidP="003C6209">
      <w:pPr>
        <w:pStyle w:val="p5"/>
        <w:rPr>
          <w:rFonts w:hint="eastAsia"/>
        </w:rPr>
      </w:pPr>
      <w:r>
        <w:rPr>
          <w:b/>
          <w:bCs/>
        </w:rPr>
        <w:t xml:space="preserve">1. </w:t>
      </w:r>
      <w:r>
        <w:rPr>
          <w:rFonts w:ascii="PingFang TC" w:eastAsia="PingFang TC" w:hAnsi="PingFang TC" w:cs="PingFang TC" w:hint="eastAsia"/>
          <w:b/>
          <w:bCs/>
        </w:rPr>
        <w:t>对冲经济周期的异步性</w:t>
      </w:r>
    </w:p>
    <w:p w14:paraId="4F469913" w14:textId="77777777" w:rsidR="003C6209" w:rsidRDefault="003C6209" w:rsidP="003C6209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经济周期的变化往往因地而异，不同经济体的增长驱动因素、产业结构和政策环境存在差异，这种周期的异步性为全球资产配置创造了</w:t>
      </w:r>
      <w:r>
        <w:t>“</w:t>
      </w:r>
      <w:r>
        <w:rPr>
          <w:rFonts w:ascii="PingFang TC" w:eastAsia="PingFang TC" w:hAnsi="PingFang TC" w:cs="PingFang TC" w:hint="eastAsia"/>
        </w:rPr>
        <w:t>互补</w:t>
      </w:r>
      <w:r>
        <w:t>”</w:t>
      </w:r>
      <w:r>
        <w:rPr>
          <w:rFonts w:ascii="PingFang TC" w:eastAsia="PingFang TC" w:hAnsi="PingFang TC" w:cs="PingFang TC" w:hint="eastAsia"/>
        </w:rPr>
        <w:t>效应。例如，当某些经济体处于增长阶段时，另一些经济体可能正处于调整阶段。通过跨市场配置，投资者可以降低单一市场的经济周期波动对资产组合的影响。</w:t>
      </w:r>
    </w:p>
    <w:p w14:paraId="626B5F44" w14:textId="77777777" w:rsidR="003C6209" w:rsidRDefault="003C6209" w:rsidP="003C6209">
      <w:pPr>
        <w:pStyle w:val="p3"/>
      </w:pPr>
      <w:r w:rsidRPr="000F5812">
        <w:rPr>
          <w:noProof/>
        </w:rPr>
        <w:lastRenderedPageBreak/>
        <w:drawing>
          <wp:inline distT="0" distB="0" distL="0" distR="0" wp14:anchorId="3AFCF091" wp14:editId="14A5C305">
            <wp:extent cx="5943600" cy="3750945"/>
            <wp:effectExtent l="0" t="0" r="0" b="0"/>
            <wp:docPr id="182313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AD16" w14:textId="77777777" w:rsidR="003C6209" w:rsidRDefault="003C6209" w:rsidP="003C6209">
      <w:pPr>
        <w:pStyle w:val="p2"/>
      </w:pPr>
      <w:r>
        <w:rPr>
          <w:rFonts w:ascii="PingFang TC" w:eastAsia="PingFang TC" w:hAnsi="PingFang TC" w:cs="PingFang TC" w:hint="eastAsia"/>
        </w:rPr>
        <w:t>来自：JP Morgan</w:t>
      </w:r>
    </w:p>
    <w:p w14:paraId="4F2708B9" w14:textId="77777777" w:rsidR="003C6209" w:rsidRDefault="003C6209" w:rsidP="003C6209">
      <w:pPr>
        <w:pStyle w:val="p5"/>
        <w:rPr>
          <w:b/>
          <w:bCs/>
        </w:rPr>
      </w:pPr>
    </w:p>
    <w:p w14:paraId="278671FB" w14:textId="77777777" w:rsidR="003C6209" w:rsidRDefault="003C6209" w:rsidP="003C6209">
      <w:pPr>
        <w:pStyle w:val="p5"/>
      </w:pPr>
      <w:r>
        <w:rPr>
          <w:b/>
          <w:bCs/>
        </w:rPr>
        <w:t xml:space="preserve">2. </w:t>
      </w:r>
      <w:r>
        <w:rPr>
          <w:rFonts w:ascii="PingFang TC" w:eastAsia="PingFang TC" w:hAnsi="PingFang TC" w:cs="PingFang TC" w:hint="eastAsia"/>
          <w:b/>
          <w:bCs/>
        </w:rPr>
        <w:t>应对汇率波动与资产价格变化</w:t>
      </w:r>
    </w:p>
    <w:p w14:paraId="6BCF7CAD" w14:textId="77777777" w:rsidR="003C6209" w:rsidRDefault="003C6209" w:rsidP="003C6209">
      <w:pPr>
        <w:pStyle w:val="p2"/>
      </w:pPr>
    </w:p>
    <w:p w14:paraId="11EEF887" w14:textId="77777777" w:rsidR="003C6209" w:rsidRDefault="003C6209" w:rsidP="003C6209">
      <w:pPr>
        <w:pStyle w:val="p3"/>
      </w:pPr>
      <w:r>
        <w:rPr>
          <w:rFonts w:ascii="PingFang TC" w:eastAsia="PingFang TC" w:hAnsi="PingFang TC" w:cs="PingFang TC" w:hint="eastAsia"/>
        </w:rPr>
        <w:t>汇率波动是全球投资中不可忽视的因素。对于以本币计价的资产，汇率贬值会直接侵蚀投资者的实际财富。而通过持有其他货币计价的资产，投资者可以形成天然的对冲机制。例如，当一种货币贬值时，另一种货币计价的资产价值可能会上升，从而抵消部分损失。</w:t>
      </w:r>
    </w:p>
    <w:p w14:paraId="17C11A4D" w14:textId="77777777" w:rsidR="003C6209" w:rsidRDefault="003C6209" w:rsidP="003C6209">
      <w:pPr>
        <w:pStyle w:val="p2"/>
        <w:jc w:val="center"/>
      </w:pPr>
      <w:r w:rsidRPr="000F5812">
        <w:rPr>
          <w:noProof/>
        </w:rPr>
        <w:lastRenderedPageBreak/>
        <w:drawing>
          <wp:inline distT="0" distB="0" distL="0" distR="0" wp14:anchorId="36375036" wp14:editId="030D06B5">
            <wp:extent cx="2890158" cy="3765679"/>
            <wp:effectExtent l="0" t="0" r="5715" b="0"/>
            <wp:docPr id="369023050" name="Picture 4" descr="A newspaper with currency notes and a few different currency note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B07A88A-ABFA-91A8-FA3C-E978D190A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newspaper with currency notes and a few different currency note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B07A88A-ABFA-91A8-FA3C-E978D190A1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4155" cy="37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A80">
        <w:rPr>
          <w:noProof/>
        </w:rPr>
        <w:drawing>
          <wp:inline distT="0" distB="0" distL="0" distR="0" wp14:anchorId="25C6EE20" wp14:editId="5BAA0716">
            <wp:extent cx="3092941" cy="1685652"/>
            <wp:effectExtent l="0" t="0" r="0" b="3810"/>
            <wp:docPr id="6" name="Picture 5" descr="A diagram with text and symbol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34E1EE7-F84C-2B83-00C6-F1683DEBC8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with text and symbol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34E1EE7-F84C-2B83-00C6-F1683DEBC8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294" cy="17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CBD8" w14:textId="77777777" w:rsidR="003C6209" w:rsidRDefault="003C6209" w:rsidP="003C6209">
      <w:pPr>
        <w:pStyle w:val="p3"/>
      </w:pPr>
      <w:r>
        <w:rPr>
          <w:rFonts w:ascii="PingFang TC" w:eastAsia="PingFang TC" w:hAnsi="PingFang TC" w:cs="PingFang TC" w:hint="eastAsia"/>
        </w:rPr>
        <w:t>此外，不同市场的资产价格波动特性也不尽相同。例如，部分市场可能更依赖科技和消费驱动，波动较小；另一些市场可能更依赖外部需求或政策驱动，短期内波动较大。通过组合投资，这些特性可以互相平衡，降低单一资产类别的价格风险。</w:t>
      </w:r>
    </w:p>
    <w:p w14:paraId="2D0B0F70" w14:textId="77777777" w:rsidR="003C6209" w:rsidRDefault="003C6209" w:rsidP="003C6209">
      <w:pPr>
        <w:pStyle w:val="p2"/>
      </w:pPr>
    </w:p>
    <w:p w14:paraId="1C5BF9BB" w14:textId="77777777" w:rsidR="003C6209" w:rsidRDefault="003C6209" w:rsidP="003C6209">
      <w:pPr>
        <w:pStyle w:val="p5"/>
      </w:pPr>
      <w:r>
        <w:rPr>
          <w:b/>
          <w:bCs/>
        </w:rPr>
        <w:t xml:space="preserve">3. </w:t>
      </w:r>
      <w:r>
        <w:rPr>
          <w:rFonts w:ascii="PingFang TC" w:eastAsia="PingFang TC" w:hAnsi="PingFang TC" w:cs="PingFang TC" w:hint="eastAsia"/>
          <w:b/>
          <w:bCs/>
        </w:rPr>
        <w:t>分散地缘政治风险</w:t>
      </w:r>
    </w:p>
    <w:p w14:paraId="0F883DB3" w14:textId="77777777" w:rsidR="003C6209" w:rsidRDefault="003C6209" w:rsidP="003C6209">
      <w:pPr>
        <w:pStyle w:val="p2"/>
      </w:pPr>
    </w:p>
    <w:p w14:paraId="78B3A96E" w14:textId="77777777" w:rsidR="003C6209" w:rsidRDefault="003C6209" w:rsidP="003C6209">
      <w:pPr>
        <w:pStyle w:val="p3"/>
      </w:pPr>
      <w:r>
        <w:rPr>
          <w:rFonts w:ascii="PingFang TC" w:eastAsia="PingFang TC" w:hAnsi="PingFang TC" w:cs="PingFang TC" w:hint="eastAsia"/>
        </w:rPr>
        <w:lastRenderedPageBreak/>
        <w:t>地缘政治风险往往具有区域性特点，某一地区的冲突、政策变化或贸易争端，可能对该区域的资产造成负面影响。但全球资产配置可以通过跨区域分散投资，将风险局限于局部，从而保障投资组合的整体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定性。</w:t>
      </w:r>
    </w:p>
    <w:p w14:paraId="1F77E403" w14:textId="77777777" w:rsidR="003C6209" w:rsidRDefault="003C6209" w:rsidP="003C6209">
      <w:pPr>
        <w:pStyle w:val="p2"/>
      </w:pPr>
      <w:r w:rsidRPr="000F5812">
        <w:rPr>
          <w:noProof/>
        </w:rPr>
        <w:drawing>
          <wp:inline distT="0" distB="0" distL="0" distR="0" wp14:anchorId="24DEB015" wp14:editId="0E15EE59">
            <wp:extent cx="4068122" cy="4989250"/>
            <wp:effectExtent l="0" t="0" r="0" b="1905"/>
            <wp:docPr id="386887566" name="图片 2" descr="图表, 文本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8C664BF-0CEB-22C6-9BFF-A1E1D0AA59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图表, 文本&#10;&#10;描述已自动生成">
                      <a:extLst>
                        <a:ext uri="{FF2B5EF4-FFF2-40B4-BE49-F238E27FC236}">
                          <a16:creationId xmlns:a16="http://schemas.microsoft.com/office/drawing/2014/main" id="{08C664BF-0CEB-22C6-9BFF-A1E1D0AA59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68122" cy="49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0050" w14:textId="3C77278B" w:rsidR="003C6209" w:rsidRPr="003E1F0F" w:rsidRDefault="003C6209" w:rsidP="003E1F0F">
      <w:pPr>
        <w:pStyle w:val="p3"/>
        <w:rPr>
          <w:rFonts w:hint="eastAsia"/>
        </w:rPr>
      </w:pPr>
      <w:r>
        <w:rPr>
          <w:rFonts w:ascii="PingFang TC" w:eastAsia="PingFang TC" w:hAnsi="PingFang TC" w:cs="PingFang TC" w:hint="eastAsia"/>
        </w:rPr>
        <w:t>举个例子，当某个地区受到特定政治事件的影响时，另一个地区的资产可能完全不受影响，甚至受益于避险资金流入。这种分散化的投资策略，能够为投资组合提供更多的抗风险能力。</w:t>
      </w:r>
    </w:p>
    <w:p w14:paraId="381C1B6A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从全球分散化的逻辑出发，</w:t>
      </w:r>
      <w:r>
        <w:rPr>
          <w:rStyle w:val="s1"/>
          <w:rFonts w:eastAsiaTheme="majorEastAsia"/>
          <w:b/>
          <w:bCs/>
        </w:rPr>
        <w:t>全球公司市值加权组合</w:t>
      </w:r>
      <w:r>
        <w:rPr>
          <w:rFonts w:ascii="PingFang TC" w:eastAsia="PingFang TC" w:hAnsi="PingFang TC" w:cs="PingFang TC" w:hint="eastAsia"/>
        </w:rPr>
        <w:t>可以说是最接近经济实际全貌的一种配置方式。</w:t>
      </w:r>
    </w:p>
    <w:p w14:paraId="29547E76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它不依赖个人的主观判断，而是把全世界上市公司按照市值占比纳入同一个组合，相当于跟随全球经济的发展轨迹自然扩张或收缩。</w:t>
      </w:r>
    </w:p>
    <w:p w14:paraId="0A1F8696" w14:textId="77777777" w:rsidR="003C6209" w:rsidRDefault="003C6209" w:rsidP="003C6209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lastRenderedPageBreak/>
        <w:t>以我们回测的</w:t>
      </w:r>
      <w:r>
        <w:rPr>
          <w:rStyle w:val="s1"/>
          <w:rFonts w:eastAsiaTheme="majorEastAsia"/>
          <w:b/>
          <w:bCs/>
        </w:rPr>
        <w:t>组合</w:t>
      </w:r>
      <w:r>
        <w:rPr>
          <w:rFonts w:ascii="PingFang TC" w:eastAsia="PingFang TC" w:hAnsi="PingFang TC" w:cs="PingFang TC" w:hint="eastAsia"/>
        </w:rPr>
        <w:t>Global Diversified</w:t>
      </w:r>
      <w:r>
        <w:rPr>
          <w:rFonts w:ascii="PingFang TC" w:eastAsia="PingFang TC" w:hAnsi="PingFang TC" w:cs="PingFang TC" w:hint="eastAsia"/>
        </w:rPr>
        <w:t>为例，</w:t>
      </w:r>
    </w:p>
    <w:p w14:paraId="171AF5DD" w14:textId="2F77E793" w:rsidR="003C6209" w:rsidRDefault="003C6209" w:rsidP="003C6209">
      <w:pPr>
        <w:spacing w:before="100" w:beforeAutospacing="1" w:after="100" w:afterAutospacing="1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底层资产具体分布大致如下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FF9DC54" w14:textId="68FBEA3C" w:rsidR="003C6209" w:rsidRPr="003C6209" w:rsidRDefault="003C6209" w:rsidP="003C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4697A">
        <w:rPr>
          <w:noProof/>
        </w:rPr>
        <w:drawing>
          <wp:inline distT="0" distB="0" distL="0" distR="0" wp14:anchorId="2355EB05" wp14:editId="3635FB42">
            <wp:extent cx="4109884" cy="2582494"/>
            <wp:effectExtent l="0" t="0" r="5080" b="0"/>
            <wp:docPr id="10045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24" cy="26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314B" w14:textId="77777777" w:rsidR="003C6209" w:rsidRPr="003C6209" w:rsidRDefault="003C6209" w:rsidP="003C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65%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配置在美国（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>SPDR S&amp;P 500 ETF, SPY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1783EBCE" w14:textId="77777777" w:rsidR="003C6209" w:rsidRPr="003C6209" w:rsidRDefault="003C6209" w:rsidP="003C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6%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配置在日本（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>iShares MSCI Japan ETF, EWJ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3AFA0458" w14:textId="77777777" w:rsidR="003C6209" w:rsidRPr="003C6209" w:rsidRDefault="003C6209" w:rsidP="003C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14%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配置在除日本外的亚洲（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>iShares MSCI All Country Asia ex Japan ETF, AAXJ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24857AE3" w14:textId="77777777" w:rsidR="003C6209" w:rsidRPr="003C6209" w:rsidRDefault="003C6209" w:rsidP="003C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配置在欧洲（</w:t>
      </w:r>
      <w:r w:rsidRPr="003C6209">
        <w:rPr>
          <w:rFonts w:ascii="Times New Roman" w:eastAsia="Times New Roman" w:hAnsi="Times New Roman" w:cs="Times New Roman"/>
          <w:kern w:val="0"/>
          <w14:ligatures w14:val="none"/>
        </w:rPr>
        <w:t>iShares Europe ETF, IEV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2FC824EB" w14:textId="77777777" w:rsidR="003C6209" w:rsidRPr="003C6209" w:rsidRDefault="003C6209" w:rsidP="003C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D56FA" w14:textId="4234E1A7" w:rsidR="003C6209" w:rsidRPr="003E1F0F" w:rsidRDefault="003C6209" w:rsidP="003E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3C6209">
        <w:rPr>
          <w:rFonts w:ascii="PingFang TC" w:eastAsia="PingFang TC" w:hAnsi="PingFang TC" w:cs="PingFang TC" w:hint="eastAsia"/>
          <w:kern w:val="0"/>
          <w14:ligatures w14:val="none"/>
        </w:rPr>
        <w:t>这样的权重组合，尽可能还原了全球主要发达市场和亚洲新兴经济体的市值占比，体现了真实的全球经济版图</w:t>
      </w:r>
      <w:r w:rsidRPr="003C6209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12E858F" w14:textId="767AE76E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从</w:t>
      </w:r>
      <w:r>
        <w:rPr>
          <w:rStyle w:val="s1"/>
          <w:rFonts w:eastAsiaTheme="majorEastAsia"/>
          <w:b/>
          <w:bCs/>
        </w:rPr>
        <w:t>2016</w:t>
      </w:r>
      <w:r>
        <w:rPr>
          <w:rStyle w:val="s1"/>
          <w:rFonts w:eastAsiaTheme="majorEastAsia"/>
          <w:b/>
          <w:bCs/>
        </w:rPr>
        <w:t>年</w:t>
      </w:r>
      <w:r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月到</w:t>
      </w:r>
      <w:r>
        <w:rPr>
          <w:rStyle w:val="s1"/>
          <w:rFonts w:eastAsiaTheme="majorEastAsia"/>
          <w:b/>
          <w:bCs/>
        </w:rPr>
        <w:t>2025</w:t>
      </w:r>
      <w:r>
        <w:rPr>
          <w:rStyle w:val="s1"/>
          <w:rFonts w:eastAsiaTheme="majorEastAsia"/>
          <w:b/>
          <w:bCs/>
        </w:rPr>
        <w:t>年</w:t>
      </w:r>
      <w:r>
        <w:rPr>
          <w:rStyle w:val="s1"/>
          <w:rFonts w:eastAsiaTheme="majorEastAsia"/>
          <w:b/>
          <w:bCs/>
        </w:rPr>
        <w:t>6</w:t>
      </w:r>
      <w:r>
        <w:rPr>
          <w:rStyle w:val="s1"/>
          <w:rFonts w:eastAsiaTheme="majorEastAsia"/>
          <w:b/>
          <w:bCs/>
        </w:rPr>
        <w:t>月</w:t>
      </w:r>
      <w:r>
        <w:rPr>
          <w:rFonts w:ascii="PingFang TC" w:eastAsia="PingFang TC" w:hAnsi="PingFang TC" w:cs="PingFang TC" w:hint="eastAsia"/>
        </w:rPr>
        <w:t>，这个组合假设将所有收到的股息都进行再投入，并且每年定期再平衡，结果显示：</w:t>
      </w:r>
    </w:p>
    <w:p w14:paraId="00C69977" w14:textId="44B6A552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期间</w:t>
      </w:r>
      <w:r>
        <w:rPr>
          <w:rStyle w:val="s1"/>
          <w:rFonts w:eastAsiaTheme="majorEastAsia"/>
          <w:b/>
          <w:bCs/>
        </w:rPr>
        <w:t>累计收益率</w:t>
      </w:r>
      <w:r>
        <w:rPr>
          <w:rFonts w:ascii="PingFang TC" w:eastAsia="PingFang TC" w:hAnsi="PingFang TC" w:cs="PingFang TC" w:hint="eastAsia"/>
        </w:rPr>
        <w:t>约为</w:t>
      </w:r>
      <w:r>
        <w:t xml:space="preserve"> </w:t>
      </w:r>
      <w:r>
        <w:rPr>
          <w:rFonts w:ascii="PingFang TC" w:eastAsia="PingFang TC" w:hAnsi="PingFang TC" w:cs="PingFang TC" w:hint="eastAsia"/>
          <w:i/>
          <w:iCs/>
        </w:rPr>
        <w:t>示例：</w:t>
      </w:r>
      <w:r>
        <w:rPr>
          <w:rFonts w:hint="eastAsia"/>
          <w:i/>
          <w:iCs/>
        </w:rPr>
        <w:t>191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（年化约</w:t>
      </w:r>
      <w:r>
        <w:t xml:space="preserve"> </w:t>
      </w:r>
      <w:r>
        <w:rPr>
          <w:rFonts w:hint="eastAsia"/>
          <w:i/>
          <w:iCs/>
        </w:rPr>
        <w:t>11.94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）</w:t>
      </w:r>
    </w:p>
    <w:p w14:paraId="5DFA2DE4" w14:textId="64AB4117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最大回撤约为</w:t>
      </w:r>
      <w:r>
        <w:t xml:space="preserve"> </w:t>
      </w:r>
      <w:r>
        <w:rPr>
          <w:i/>
          <w:iCs/>
        </w:rPr>
        <w:t>-</w:t>
      </w:r>
      <w:r>
        <w:rPr>
          <w:rFonts w:hint="eastAsia"/>
          <w:i/>
          <w:iCs/>
        </w:rPr>
        <w:t>25.49</w:t>
      </w:r>
      <w:r>
        <w:rPr>
          <w:i/>
          <w:iCs/>
        </w:rPr>
        <w:t>%</w:t>
      </w:r>
    </w:p>
    <w:p w14:paraId="61BF5E7E" w14:textId="3CCB14CE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夏普比率达到</w:t>
      </w:r>
      <w:r>
        <w:t xml:space="preserve"> </w:t>
      </w:r>
      <w:r>
        <w:rPr>
          <w:i/>
          <w:iCs/>
        </w:rPr>
        <w:t>0.</w:t>
      </w:r>
      <w:r>
        <w:rPr>
          <w:rFonts w:hint="eastAsia"/>
          <w:i/>
          <w:iCs/>
        </w:rPr>
        <w:t>71</w:t>
      </w:r>
    </w:p>
    <w:p w14:paraId="0598E4D7" w14:textId="77777777" w:rsidR="003C6209" w:rsidRDefault="003C6209" w:rsidP="003C6209">
      <w:pPr>
        <w:pStyle w:val="p2"/>
      </w:pPr>
    </w:p>
    <w:p w14:paraId="558FB025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lastRenderedPageBreak/>
        <w:t>从长期表现看，这样的组合既能分享全球公司市值增长的红利，又能通过多区域覆盖，分散掉单一经济体或行业的风险波动。</w:t>
      </w:r>
    </w:p>
    <w:p w14:paraId="04656372" w14:textId="77777777" w:rsidR="003C6209" w:rsidRDefault="003C6209" w:rsidP="003C6209">
      <w:pPr>
        <w:pStyle w:val="p2"/>
      </w:pPr>
    </w:p>
    <w:p w14:paraId="40A4C463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当然，这样的</w:t>
      </w:r>
      <w:r>
        <w:t>“</w:t>
      </w:r>
      <w:r>
        <w:rPr>
          <w:rFonts w:ascii="PingFang TC" w:eastAsia="PingFang TC" w:hAnsi="PingFang TC" w:cs="PingFang TC" w:hint="eastAsia"/>
        </w:rPr>
        <w:t>被动跟随市值</w:t>
      </w:r>
      <w:r>
        <w:t>”</w:t>
      </w:r>
      <w:r>
        <w:rPr>
          <w:rFonts w:ascii="PingFang TC" w:eastAsia="PingFang TC" w:hAnsi="PingFang TC" w:cs="PingFang TC" w:hint="eastAsia"/>
        </w:rPr>
        <w:t>的组合也有潜在不足：</w:t>
      </w:r>
    </w:p>
    <w:p w14:paraId="0C0ED7BE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过去十年里，美国公司市值占全球股票总市值的比例一度高达</w:t>
      </w:r>
      <w:r>
        <w:t xml:space="preserve"> </w:t>
      </w:r>
      <w:r>
        <w:rPr>
          <w:rStyle w:val="s1"/>
          <w:rFonts w:eastAsiaTheme="majorEastAsia"/>
          <w:b/>
          <w:bCs/>
        </w:rPr>
        <w:t>60%</w:t>
      </w:r>
      <w:r>
        <w:t xml:space="preserve"> </w:t>
      </w:r>
      <w:r>
        <w:rPr>
          <w:rFonts w:ascii="PingFang TC" w:eastAsia="PingFang TC" w:hAnsi="PingFang TC" w:cs="PingFang TC" w:hint="eastAsia"/>
        </w:rPr>
        <w:t>以上，美股估值水平相比其他区域也长期处于相对高位。</w:t>
      </w:r>
    </w:p>
    <w:p w14:paraId="30775C55" w14:textId="6D09196A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这意味着，单纯按照市值加权虽然科学，但也会放大对单一区域的依赖，</w:t>
      </w:r>
      <w:r w:rsidR="00A50107">
        <w:rPr>
          <w:rFonts w:ascii="PingFang TC" w:eastAsia="PingFang TC" w:hAnsi="PingFang TC" w:cs="PingFang TC" w:hint="eastAsia"/>
        </w:rPr>
        <w:t>会放大组合对美国经济与货币政策的依赖</w:t>
      </w:r>
      <w:r w:rsidR="00A50107">
        <w:rPr>
          <w:rFonts w:ascii="PingFang TC" w:eastAsia="PingFang TC" w:hAnsi="PingFang TC" w:cs="PingFang TC" w:hint="eastAsia"/>
        </w:rPr>
        <w:t>，</w:t>
      </w:r>
      <w:r>
        <w:rPr>
          <w:rFonts w:ascii="PingFang TC" w:eastAsia="PingFang TC" w:hAnsi="PingFang TC" w:cs="PingFang TC" w:hint="eastAsia"/>
        </w:rPr>
        <w:t>在极端行情下可能加剧组合的同步下跌。</w:t>
      </w:r>
    </w:p>
    <w:p w14:paraId="3498C33C" w14:textId="77777777" w:rsidR="00A50107" w:rsidRDefault="00A50107" w:rsidP="003C6209">
      <w:pPr>
        <w:pStyle w:val="p1"/>
        <w:rPr>
          <w:rFonts w:ascii="PingFang TC" w:eastAsia="PingFang TC" w:hAnsi="PingFang TC" w:cs="PingFang TC"/>
        </w:rPr>
      </w:pPr>
    </w:p>
    <w:p w14:paraId="2E70AE58" w14:textId="43BA08DB" w:rsidR="00836BA2" w:rsidRPr="00A50107" w:rsidRDefault="003C6209" w:rsidP="00A50107">
      <w:pPr>
        <w:pStyle w:val="p1"/>
        <w:rPr>
          <w:rFonts w:ascii="PingFang TC" w:eastAsia="PingFang TC" w:hAnsi="PingFang TC" w:cs="PingFang TC" w:hint="eastAsia"/>
        </w:rPr>
      </w:pPr>
      <w:r>
        <w:rPr>
          <w:rFonts w:ascii="PingFang TC" w:eastAsia="PingFang TC" w:hAnsi="PingFang TC" w:cs="PingFang TC" w:hint="eastAsia"/>
        </w:rPr>
        <w:t>因此，很多投资者会在市值加权的基础上，考</w:t>
      </w:r>
      <w:r>
        <w:rPr>
          <w:rFonts w:ascii="SimSun" w:eastAsia="SimSun" w:hAnsi="SimSun" w:cs="SimSun" w:hint="eastAsia"/>
        </w:rPr>
        <w:t>虑</w:t>
      </w:r>
      <w:r>
        <w:rPr>
          <w:rFonts w:ascii="PingFang TC" w:eastAsia="PingFang TC" w:hAnsi="PingFang TC" w:cs="PingFang TC" w:hint="eastAsia"/>
        </w:rPr>
        <w:t>对权重做适度的</w:t>
      </w:r>
      <w:r>
        <w:t>“</w:t>
      </w:r>
      <w:r>
        <w:rPr>
          <w:rFonts w:ascii="PingFang TC" w:eastAsia="PingFang TC" w:hAnsi="PingFang TC" w:cs="PingFang TC" w:hint="eastAsia"/>
        </w:rPr>
        <w:t>人为调低</w:t>
      </w:r>
      <w:r>
        <w:t>”</w:t>
      </w:r>
      <w:r>
        <w:rPr>
          <w:rFonts w:ascii="PingFang TC" w:eastAsia="PingFang TC" w:hAnsi="PingFang TC" w:cs="PingFang TC" w:hint="eastAsia"/>
        </w:rPr>
        <w:t>，这就引出了我们设计的下一层组合。</w:t>
      </w:r>
    </w:p>
    <w:p w14:paraId="33DD42BB" w14:textId="1D79E360" w:rsidR="00836BA2" w:rsidRDefault="00836BA2" w:rsidP="00836BA2">
      <w:pPr>
        <w:pStyle w:val="p1"/>
      </w:pPr>
      <w:r>
        <w:rPr>
          <w:rFonts w:ascii="PingFang TC" w:eastAsia="PingFang TC" w:hAnsi="PingFang TC" w:cs="PingFang TC" w:hint="eastAsia"/>
        </w:rPr>
        <w:t>因此，许多投资者会在市值加权的基础上，采取更</w:t>
      </w:r>
      <w:r>
        <w:t>“</w:t>
      </w:r>
      <w:r>
        <w:rPr>
          <w:rFonts w:ascii="PingFang TC" w:eastAsia="PingFang TC" w:hAnsi="PingFang TC" w:cs="PingFang TC" w:hint="eastAsia"/>
        </w:rPr>
        <w:t>均衡化</w:t>
      </w:r>
      <w:r>
        <w:t>”</w:t>
      </w:r>
      <w:r>
        <w:rPr>
          <w:rFonts w:ascii="PingFang TC" w:eastAsia="PingFang TC" w:hAnsi="PingFang TC" w:cs="PingFang TC" w:hint="eastAsia"/>
        </w:rPr>
        <w:t>的思路，</w:t>
      </w:r>
      <w:r w:rsidR="00A50107">
        <w:rPr>
          <w:rFonts w:ascii="PingFang TC" w:eastAsia="PingFang TC" w:hAnsi="PingFang TC" w:cs="PingFang TC" w:hint="eastAsia"/>
        </w:rPr>
        <w:t>调低美国市场的比重</w:t>
      </w:r>
      <w:r>
        <w:rPr>
          <w:rFonts w:ascii="PingFang TC" w:eastAsia="PingFang TC" w:hAnsi="PingFang TC" w:cs="PingFang TC" w:hint="eastAsia"/>
        </w:rPr>
        <w:t>。</w:t>
      </w:r>
    </w:p>
    <w:p w14:paraId="4A55D4D4" w14:textId="065A01E3" w:rsidR="00836BA2" w:rsidRDefault="00836BA2" w:rsidP="00836BA2">
      <w:pPr>
        <w:pStyle w:val="p2"/>
      </w:pPr>
      <w:r w:rsidRPr="0044697A">
        <w:rPr>
          <w:noProof/>
        </w:rPr>
        <w:drawing>
          <wp:inline distT="0" distB="0" distL="0" distR="0" wp14:anchorId="46070CD9" wp14:editId="0C503FE3">
            <wp:extent cx="4927600" cy="3175000"/>
            <wp:effectExtent l="0" t="0" r="0" b="0"/>
            <wp:docPr id="650811778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1778" name="Picture 1" descr="A screenshot of a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B23" w14:textId="17EA2AA6" w:rsidR="00836BA2" w:rsidRDefault="00836BA2" w:rsidP="00836BA2">
      <w:pPr>
        <w:pStyle w:val="p1"/>
      </w:pPr>
      <w:r>
        <w:rPr>
          <w:rFonts w:ascii="PingFang TC" w:eastAsia="PingFang TC" w:hAnsi="PingFang TC" w:cs="PingFang TC" w:hint="eastAsia"/>
        </w:rPr>
        <w:lastRenderedPageBreak/>
        <w:t>在</w:t>
      </w:r>
      <w:r w:rsidR="00A50107">
        <w:rPr>
          <w:rFonts w:ascii="PingFang TC" w:eastAsia="PingFang TC" w:hAnsi="PingFang TC" w:cs="PingFang TC" w:hint="eastAsia"/>
        </w:rPr>
        <w:t>低配美国的组合</w:t>
      </w:r>
      <w:r>
        <w:rPr>
          <w:rFonts w:ascii="PingFang TC" w:eastAsia="PingFang TC" w:hAnsi="PingFang TC" w:cs="PingFang TC" w:hint="eastAsia"/>
        </w:rPr>
        <w:t>中，投资者会先把美股权重从组合三的约</w:t>
      </w:r>
      <w:r>
        <w:t xml:space="preserve"> 65% </w:t>
      </w:r>
      <w:r>
        <w:rPr>
          <w:rFonts w:ascii="PingFang TC" w:eastAsia="PingFang TC" w:hAnsi="PingFang TC" w:cs="PingFang TC" w:hint="eastAsia"/>
        </w:rPr>
        <w:t>适度下调</w:t>
      </w:r>
      <w:r>
        <w:rPr>
          <w:rFonts w:ascii="PingFang TC" w:eastAsia="PingFang TC" w:hAnsi="PingFang TC" w:cs="PingFang TC" w:hint="eastAsia"/>
        </w:rPr>
        <w:t>一半</w:t>
      </w:r>
      <w:r>
        <w:rPr>
          <w:rFonts w:ascii="PingFang TC" w:eastAsia="PingFang TC" w:hAnsi="PingFang TC" w:cs="PingFang TC" w:hint="eastAsia"/>
        </w:rPr>
        <w:t>，</w:t>
      </w:r>
      <w:r>
        <w:rPr>
          <w:rFonts w:ascii="PingFang TC" w:eastAsia="PingFang TC" w:hAnsi="PingFang TC" w:cs="PingFang TC" w:hint="eastAsia"/>
        </w:rPr>
        <w:t>而其他区域的权重相应提升</w:t>
      </w:r>
      <w:r>
        <w:rPr>
          <w:rFonts w:ascii="PingFang TC" w:eastAsia="PingFang TC" w:hAnsi="PingFang TC" w:cs="PingFang TC" w:hint="eastAsia"/>
        </w:rPr>
        <w:t>。</w:t>
      </w:r>
    </w:p>
    <w:p w14:paraId="7F966A8C" w14:textId="77777777" w:rsidR="00836BA2" w:rsidRDefault="00836BA2" w:rsidP="00836BA2">
      <w:pPr>
        <w:pStyle w:val="p1"/>
      </w:pPr>
      <w:r>
        <w:rPr>
          <w:rFonts w:ascii="PingFang TC" w:eastAsia="PingFang TC" w:hAnsi="PingFang TC" w:cs="PingFang TC" w:hint="eastAsia"/>
        </w:rPr>
        <w:t>非美部分通常会囊括欧洲、日本、亚洲新兴市场等不同区域，通过跨经济体的周期互补，减少组合对单一区域波动的敏感度。</w:t>
      </w:r>
    </w:p>
    <w:p w14:paraId="48827F16" w14:textId="5723B288" w:rsidR="00836BA2" w:rsidRDefault="00836BA2" w:rsidP="00836BA2">
      <w:pPr>
        <w:pStyle w:val="p2"/>
      </w:pPr>
    </w:p>
    <w:p w14:paraId="51523CFE" w14:textId="5374F40C" w:rsidR="00836BA2" w:rsidRDefault="00836BA2" w:rsidP="00836BA2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从回测结果来看，这</w:t>
      </w:r>
      <w:r w:rsidR="00A50107">
        <w:rPr>
          <w:rFonts w:ascii="PingFang TC" w:eastAsia="PingFang TC" w:hAnsi="PingFang TC" w:cs="PingFang TC" w:hint="eastAsia"/>
        </w:rPr>
        <w:t>个</w:t>
      </w:r>
      <w:r>
        <w:rPr>
          <w:rFonts w:ascii="PingFang TC" w:eastAsia="PingFang TC" w:hAnsi="PingFang TC" w:cs="PingFang TC" w:hint="eastAsia"/>
        </w:rPr>
        <w:t>低配美国的全球投资</w:t>
      </w:r>
      <w:r>
        <w:rPr>
          <w:rFonts w:ascii="PingFang TC" w:eastAsia="PingFang TC" w:hAnsi="PingFang TC" w:cs="PingFang TC" w:hint="eastAsia"/>
        </w:rPr>
        <w:t>组合在</w:t>
      </w:r>
      <w:r>
        <w:t xml:space="preserve"> 2016 </w:t>
      </w:r>
      <w:r>
        <w:rPr>
          <w:rFonts w:ascii="PingFang TC" w:eastAsia="PingFang TC" w:hAnsi="PingFang TC" w:cs="PingFang TC" w:hint="eastAsia"/>
        </w:rPr>
        <w:t>年至</w:t>
      </w:r>
      <w:r>
        <w:t xml:space="preserve"> 2025 </w:t>
      </w:r>
      <w:r>
        <w:rPr>
          <w:rFonts w:ascii="PingFang TC" w:eastAsia="PingFang TC" w:hAnsi="PingFang TC" w:cs="PingFang TC" w:hint="eastAsia"/>
        </w:rPr>
        <w:t>年这段时间里：</w:t>
      </w:r>
    </w:p>
    <w:p w14:paraId="77477FF9" w14:textId="6B7DC733" w:rsidR="00836BA2" w:rsidRDefault="00836BA2" w:rsidP="00836BA2">
      <w:pPr>
        <w:pStyle w:val="p1"/>
        <w:rPr>
          <w:rFonts w:hint="eastAsia"/>
        </w:rPr>
      </w:pPr>
      <w:r w:rsidRPr="00836BA2">
        <w:drawing>
          <wp:inline distT="0" distB="0" distL="0" distR="0" wp14:anchorId="534FDCD9" wp14:editId="39D84B45">
            <wp:extent cx="5702300" cy="5918200"/>
            <wp:effectExtent l="0" t="0" r="0" b="0"/>
            <wp:docPr id="14883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4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97C" w14:textId="32F3FE6E" w:rsidR="00836BA2" w:rsidRDefault="00836BA2" w:rsidP="00836BA2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lastRenderedPageBreak/>
        <w:t>累计收益率</w:t>
      </w:r>
      <w:r>
        <w:rPr>
          <w:rFonts w:ascii="PingFang TC" w:eastAsia="PingFang TC" w:hAnsi="PingFang TC" w:cs="PingFang TC" w:hint="eastAsia"/>
        </w:rPr>
        <w:t>大约</w:t>
      </w:r>
      <w:r>
        <w:rPr>
          <w:rFonts w:ascii="PingFang TC" w:eastAsia="PingFang TC" w:hAnsi="PingFang TC" w:cs="PingFang TC" w:hint="eastAsia"/>
        </w:rPr>
        <w:t>为</w:t>
      </w:r>
      <w:r>
        <w:rPr>
          <w:rFonts w:hint="eastAsia"/>
          <w:i/>
          <w:iCs/>
        </w:rPr>
        <w:t>140</w:t>
      </w:r>
      <w:r>
        <w:rPr>
          <w:i/>
          <w:iCs/>
        </w:rPr>
        <w:t xml:space="preserve">% </w:t>
      </w:r>
      <w:r>
        <w:rPr>
          <w:rFonts w:ascii="PingFang TC" w:eastAsia="PingFang TC" w:hAnsi="PingFang TC" w:cs="PingFang TC" w:hint="eastAsia"/>
        </w:rPr>
        <w:t>（年化约</w:t>
      </w:r>
      <w:r>
        <w:t xml:space="preserve"> </w:t>
      </w:r>
      <w:r>
        <w:rPr>
          <w:rFonts w:hint="eastAsia"/>
          <w:i/>
          <w:iCs/>
        </w:rPr>
        <w:t>9.69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）</w:t>
      </w:r>
    </w:p>
    <w:p w14:paraId="5FAAA263" w14:textId="12C1E0A2" w:rsidR="00836BA2" w:rsidRDefault="00836BA2" w:rsidP="00836BA2">
      <w:pPr>
        <w:pStyle w:val="p1"/>
        <w:numPr>
          <w:ilvl w:val="0"/>
          <w:numId w:val="3"/>
        </w:numPr>
      </w:pPr>
      <w:r>
        <w:rPr>
          <w:rFonts w:ascii="PingFang TC" w:eastAsia="PingFang TC" w:hAnsi="PingFang TC" w:cs="PingFang TC" w:hint="eastAsia"/>
        </w:rPr>
        <w:t>最大回撤约</w:t>
      </w:r>
      <w:r>
        <w:t xml:space="preserve"> </w:t>
      </w:r>
      <w:r>
        <w:rPr>
          <w:i/>
          <w:iCs/>
        </w:rPr>
        <w:t>-</w:t>
      </w:r>
      <w:r>
        <w:rPr>
          <w:rFonts w:hint="eastAsia"/>
          <w:i/>
          <w:iCs/>
        </w:rPr>
        <w:t>26.91</w:t>
      </w:r>
      <w:r>
        <w:rPr>
          <w:i/>
          <w:iCs/>
        </w:rPr>
        <w:t>%</w:t>
      </w:r>
    </w:p>
    <w:p w14:paraId="30248FB9" w14:textId="7997A0F9" w:rsidR="00836BA2" w:rsidRDefault="00836BA2" w:rsidP="00836BA2">
      <w:pPr>
        <w:pStyle w:val="p1"/>
        <w:numPr>
          <w:ilvl w:val="0"/>
          <w:numId w:val="3"/>
        </w:numPr>
      </w:pPr>
      <w:r>
        <w:rPr>
          <w:rFonts w:ascii="PingFang TC" w:eastAsia="PingFang TC" w:hAnsi="PingFang TC" w:cs="PingFang TC" w:hint="eastAsia"/>
        </w:rPr>
        <w:t>夏普比率约</w:t>
      </w:r>
      <w:r>
        <w:t xml:space="preserve"> </w:t>
      </w:r>
      <w:r>
        <w:rPr>
          <w:i/>
          <w:iCs/>
        </w:rPr>
        <w:t>0.</w:t>
      </w:r>
      <w:r>
        <w:rPr>
          <w:rFonts w:hint="eastAsia"/>
          <w:i/>
          <w:iCs/>
        </w:rPr>
        <w:t>57</w:t>
      </w:r>
    </w:p>
    <w:p w14:paraId="4412287B" w14:textId="7D005278" w:rsidR="00836BA2" w:rsidRPr="00836BA2" w:rsidRDefault="00A50107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低配美国组合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>Global Diversified underweight US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）年化收益率为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9.69%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，相比</w:t>
      </w:r>
      <w:r>
        <w:rPr>
          <w:rFonts w:ascii="PingFang TC" w:eastAsia="PingFang TC" w:hAnsi="PingFang TC" w:cs="PingFang TC" w:hint="eastAsia"/>
          <w:kern w:val="0"/>
          <w14:ligatures w14:val="none"/>
        </w:rPr>
        <w:t>全球组合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>Global Diversified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）的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11.94%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略低</w:t>
      </w:r>
      <w:r w:rsidR="00836BA2" w:rsidRPr="00836BA2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07A7DDB7" w14:textId="77777777" w:rsidR="00836BA2" w:rsidRPr="00836BA2" w:rsidRDefault="00836BA2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波动性（标准差）从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14.53%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降到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14.34%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，变化并不显著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DF15F97" w14:textId="77777777" w:rsidR="00836BA2" w:rsidRPr="00836BA2" w:rsidRDefault="00836BA2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夏普比率也从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0.71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降到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0.57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，意味着单位风险下获取的超额收益有所减少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FED00D8" w14:textId="77777777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621E9" w14:textId="77777777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需要特别指出的是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，这组结果是基于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2016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年至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2025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这段历史数据，恰好这段时间里美股市场整体表现尤为强劲，美股权重更高的组合自然相对受益更多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78F870A" w14:textId="00E657C1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从另一个角度看，即使是在这样的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A50107">
        <w:rPr>
          <w:rFonts w:ascii="PingFang TC" w:eastAsia="PingFang TC" w:hAnsi="PingFang TC" w:cs="PingFang TC" w:hint="eastAsia"/>
          <w:kern w:val="0"/>
          <w14:ligatures w14:val="none"/>
        </w:rPr>
        <w:t>美国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偏强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BF7594">
        <w:rPr>
          <w:rFonts w:ascii="PingFang TC" w:eastAsia="PingFang TC" w:hAnsi="PingFang TC" w:cs="PingFang TC" w:hint="eastAsia"/>
          <w:kern w:val="0"/>
          <w14:ligatures w14:val="none"/>
        </w:rPr>
        <w:t>时间区间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组合二通过适度下调美国权重、引入更多非美区域分散后，依然实现了年化近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10%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的收益，回撤也控制在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-27%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以内，整体表现依然不俗</w:t>
      </w:r>
      <w:r w:rsidRPr="00836BA2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5121283C" w14:textId="77777777" w:rsidR="00A50107" w:rsidRDefault="00A50107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55D4D9B0" w14:textId="77777777" w:rsidR="00A50107" w:rsidRDefault="00A50107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当我们</w:t>
      </w:r>
      <w:r w:rsidR="00BF7594" w:rsidRPr="00BF7594">
        <w:rPr>
          <w:rFonts w:ascii="PingFang TC" w:eastAsia="PingFang TC" w:hAnsi="PingFang TC" w:cs="PingFang TC" w:hint="eastAsia"/>
          <w:kern w:val="0"/>
          <w14:ligatures w14:val="none"/>
        </w:rPr>
        <w:t>站在一个中国投资者的角度</w:t>
      </w:r>
      <w:r>
        <w:rPr>
          <w:rFonts w:ascii="PingFang TC" w:eastAsia="PingFang TC" w:hAnsi="PingFang TC" w:cs="PingFang TC" w:hint="eastAsia"/>
          <w:kern w:val="0"/>
          <w14:ligatures w14:val="none"/>
        </w:rPr>
        <w:t>上来看</w:t>
      </w:r>
      <w:r w:rsidR="00BF7594" w:rsidRPr="00BF7594">
        <w:rPr>
          <w:rFonts w:ascii="PingFang TC" w:eastAsia="PingFang TC" w:hAnsi="PingFang TC" w:cs="PingFang TC" w:hint="eastAsia"/>
          <w:kern w:val="0"/>
          <w14:ligatures w14:val="none"/>
        </w:rPr>
        <w:t>，如果仅仅把可投资资产放在中国市场，</w:t>
      </w:r>
      <w:r>
        <w:rPr>
          <w:rFonts w:ascii="PingFang TC" w:eastAsia="PingFang TC" w:hAnsi="PingFang TC" w:cs="PingFang TC" w:hint="eastAsia"/>
          <w:kern w:val="0"/>
          <w14:ligatures w14:val="none"/>
        </w:rPr>
        <w:t>我们的投资结果会大大不同。</w:t>
      </w:r>
    </w:p>
    <w:p w14:paraId="32CF774E" w14:textId="577C25D4" w:rsidR="00BF7594" w:rsidRPr="00BF7594" w:rsidRDefault="00A37472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注：我们假设</w:t>
      </w:r>
      <w:r w:rsidR="00BF7594" w:rsidRPr="00BF7594">
        <w:rPr>
          <w:rFonts w:ascii="Times New Roman" w:eastAsia="Times New Roman" w:hAnsi="Times New Roman" w:cs="Times New Roman" w:hint="eastAsia"/>
          <w:kern w:val="0"/>
          <w14:ligatures w14:val="none"/>
        </w:rPr>
        <w:t>M</w:t>
      </w:r>
      <w:r w:rsidR="00BF7594"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SCI China ETF </w:t>
      </w:r>
      <w:r>
        <w:rPr>
          <w:rFonts w:ascii="PingFang TC" w:eastAsia="PingFang TC" w:hAnsi="PingFang TC" w:cs="PingFang TC" w:hint="eastAsia"/>
          <w:kern w:val="0"/>
          <w14:ligatures w14:val="none"/>
        </w:rPr>
        <w:t>是中国投资者投资的一个典型</w:t>
      </w:r>
      <w:r w:rsidR="00A50107">
        <w:rPr>
          <w:rFonts w:ascii="PingFang TC" w:eastAsia="PingFang TC" w:hAnsi="PingFang TC" w:cs="PingFang TC" w:hint="eastAsia"/>
          <w:kern w:val="0"/>
          <w14:ligatures w14:val="none"/>
        </w:rPr>
        <w:t>投资</w:t>
      </w:r>
      <w:r>
        <w:rPr>
          <w:rFonts w:ascii="PingFang TC" w:eastAsia="PingFang TC" w:hAnsi="PingFang TC" w:cs="PingFang TC" w:hint="eastAsia"/>
          <w:kern w:val="0"/>
          <w14:ligatures w14:val="none"/>
        </w:rPr>
        <w:t>标的</w:t>
      </w:r>
      <w:r w:rsidR="00BF7594"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C20BBBC" w14:textId="1F07A7DA" w:rsidR="00BF7594" w:rsidRDefault="00BF7594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从这组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2016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年到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2025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年的回测数据来看，</w:t>
      </w:r>
      <w:r w:rsidR="003E1F0F">
        <w:rPr>
          <w:rFonts w:ascii="PingFang TC" w:eastAsia="PingFang TC" w:hAnsi="PingFang TC" w:cs="PingFang TC" w:hint="eastAsia"/>
          <w:kern w:val="0"/>
          <w14:ligatures w14:val="none"/>
        </w:rPr>
        <w:t>三个不同组合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的表现显得尤为直观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1CBE7A4" w14:textId="65DBE110" w:rsidR="00103B7E" w:rsidRDefault="00103B7E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 w:rsidRPr="0044697A">
        <w:rPr>
          <w:noProof/>
        </w:rPr>
        <w:lastRenderedPageBreak/>
        <w:drawing>
          <wp:inline distT="0" distB="0" distL="0" distR="0" wp14:anchorId="3F55FFB9" wp14:editId="5256E6A9">
            <wp:extent cx="5943600" cy="5286375"/>
            <wp:effectExtent l="0" t="0" r="0" b="0"/>
            <wp:docPr id="13251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3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F9B2" w14:textId="6164C0C4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4697A">
        <w:rPr>
          <w:noProof/>
        </w:rPr>
        <w:lastRenderedPageBreak/>
        <w:drawing>
          <wp:inline distT="0" distB="0" distL="0" distR="0" wp14:anchorId="7144174F" wp14:editId="4CCE2FAB">
            <wp:extent cx="5943600" cy="4867275"/>
            <wp:effectExtent l="0" t="0" r="0" b="0"/>
            <wp:docPr id="835355260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5260" name="Picture 1" descr="A table with numbers and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150" w14:textId="14C2A332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过去近十年，这个单一市场组合的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年化收益率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仅有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  <w:r w:rsidR="00103B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="00103B7E" w:rsidRPr="00103B7E">
        <w:rPr>
          <w:rFonts w:ascii="PingFang TC" w:eastAsia="PingFang TC" w:hAnsi="PingFang TC" w:cs="PingFang TC" w:hint="eastAsia"/>
          <w:kern w:val="0"/>
          <w14:ligatures w14:val="none"/>
        </w:rPr>
        <w:t>累计收益</w:t>
      </w:r>
      <w:r w:rsidR="00103B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45%）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低于全球分散组合</w:t>
      </w:r>
      <w:r w:rsidR="00103B7E">
        <w:rPr>
          <w:rFonts w:ascii="PingFang TC" w:eastAsia="PingFang TC" w:hAnsi="PingFang TC" w:cs="PingFang TC" w:hint="eastAsia"/>
          <w:kern w:val="0"/>
          <w14:ligatures w14:val="none"/>
        </w:rPr>
        <w:t>11.94%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103B7E">
        <w:rPr>
          <w:rFonts w:ascii="Times New Roman" w:eastAsia="Times New Roman" w:hAnsi="Times New Roman" w:cs="Times New Roman" w:hint="eastAsia"/>
          <w:kern w:val="0"/>
          <w14:ligatures w14:val="none"/>
        </w:rPr>
        <w:t>192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）以及低配美国的组合</w:t>
      </w:r>
      <w:r w:rsidR="00103B7E">
        <w:rPr>
          <w:rFonts w:ascii="PingFang TC" w:eastAsia="PingFang TC" w:hAnsi="PingFang TC" w:cs="PingFang TC" w:hint="eastAsia"/>
          <w:kern w:val="0"/>
          <w14:ligatures w14:val="none"/>
        </w:rPr>
        <w:t>9.69%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103B7E">
        <w:rPr>
          <w:rFonts w:ascii="Times New Roman" w:eastAsia="Times New Roman" w:hAnsi="Times New Roman" w:cs="Times New Roman" w:hint="eastAsia"/>
          <w:kern w:val="0"/>
          <w14:ligatures w14:val="none"/>
        </w:rPr>
        <w:t>140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40C77FC" w14:textId="76857E78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波动性（标准差）却高达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24.75%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，意味着这笔资金在短期内经历了更大的起伏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63C402" w14:textId="77777777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最大回撤达到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-58.72%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高于全球组合不到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-27%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的水平；换句话说，单一市场的系统性风险可能在突发事件中带来更大幅度的资产回撤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76342D0" w14:textId="77777777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夏普比率仅有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0.19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，相比全球分散组合的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0.71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，说明投资者在承受了更大波动的同时，并没有换来足够的超额回报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6070757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19663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当然，这并不是说中国市场本身没有机会。事实上，过去十年里，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MSCI China ETF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最佳年份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也曾出现过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54.66%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的惊人涨幅，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超全球组合的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27%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左右。但这也正好说明，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单一市场的收益与风险高度集中，波动往往放大了心理压力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，稍有踩错节奏，长线回报可能被大幅侵蚀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3C66FE6" w14:textId="7A51AACA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从全球配置的视角来看，中国市场可以是全球组合中极具成长潜力的一块，但如果把所有筹码都押在这里，一旦遇到系统性风险、政策变化或汇率波动，对家庭整体资产安全感的冲击是巨大的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EBFBF70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这也是为什么我们始终强调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D2039AE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单一市场的高波动和政策不可控性，最需要用全球分散来对冲</w:t>
      </w:r>
      <w:r w:rsidRPr="00BF759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151B95D9" w14:textId="77777777" w:rsidR="00836BA2" w:rsidRDefault="00836BA2" w:rsidP="003C6209">
      <w:pPr>
        <w:pStyle w:val="p1"/>
        <w:rPr>
          <w:rFonts w:hint="eastAsia"/>
        </w:rPr>
      </w:pPr>
    </w:p>
    <w:p w14:paraId="20BEE1BA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无论是从全球公司市值加权组合出发，还是在不同区域之间做更细的权重优化，背后都是同一个逻辑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5E65D28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分散配置，从来都不是为了短期跑赢所有人，而是为了尽可能守住属于自己的长期确定性</w:t>
      </w:r>
      <w:r w:rsidRPr="00BF759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0190B767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8A52A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放眼整个世界，经济周期永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不会同步，估值高低也总在轮动，任何单一市场都有可能在某个阶段出现超预期的风险或回撤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44FF52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相比用情绪来押注某个区域能一骑绝尘，普通家庭更需要的，恰恰是把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别把鸡蛋放在同一个篮子里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这件事，做到真正科学、可持续，并且长期执行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B03C193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5D8ED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如果说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资产配置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是让财富穿越周期的科学之道，那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全球分散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就是这条路上最重要的护栏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98E1121" w14:textId="77777777" w:rsidR="003C6209" w:rsidRDefault="003C6209">
      <w:pPr>
        <w:rPr>
          <w:rFonts w:hint="eastAsia"/>
        </w:rPr>
      </w:pPr>
    </w:p>
    <w:sectPr w:rsidR="003C62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C4F66"/>
    <w:multiLevelType w:val="multilevel"/>
    <w:tmpl w:val="914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0EA0"/>
    <w:multiLevelType w:val="multilevel"/>
    <w:tmpl w:val="80A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A5ED4"/>
    <w:multiLevelType w:val="multilevel"/>
    <w:tmpl w:val="4FB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3214B"/>
    <w:multiLevelType w:val="multilevel"/>
    <w:tmpl w:val="EF8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050A"/>
    <w:multiLevelType w:val="multilevel"/>
    <w:tmpl w:val="13E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90474">
    <w:abstractNumId w:val="4"/>
  </w:num>
  <w:num w:numId="2" w16cid:durableId="1885167650">
    <w:abstractNumId w:val="2"/>
  </w:num>
  <w:num w:numId="3" w16cid:durableId="905994223">
    <w:abstractNumId w:val="0"/>
  </w:num>
  <w:num w:numId="4" w16cid:durableId="1015765685">
    <w:abstractNumId w:val="1"/>
  </w:num>
  <w:num w:numId="5" w16cid:durableId="1653827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09"/>
    <w:rsid w:val="00103B7E"/>
    <w:rsid w:val="003C6209"/>
    <w:rsid w:val="003E1F0F"/>
    <w:rsid w:val="00836BA2"/>
    <w:rsid w:val="008F77EA"/>
    <w:rsid w:val="00A37472"/>
    <w:rsid w:val="00A50107"/>
    <w:rsid w:val="00B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33515"/>
  <w15:chartTrackingRefBased/>
  <w15:docId w15:val="{81E8615C-8DA6-1843-AC01-17D614D5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0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C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6209"/>
  </w:style>
  <w:style w:type="paragraph" w:customStyle="1" w:styleId="p3">
    <w:name w:val="p3"/>
    <w:basedOn w:val="Normal"/>
    <w:rsid w:val="003C620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3C620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character" w:customStyle="1" w:styleId="s2">
    <w:name w:val="s2"/>
    <w:basedOn w:val="DefaultParagraphFont"/>
    <w:rsid w:val="00836BA2"/>
  </w:style>
  <w:style w:type="paragraph" w:customStyle="1" w:styleId="p4">
    <w:name w:val="p4"/>
    <w:basedOn w:val="Normal"/>
    <w:rsid w:val="00836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3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3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5</cp:revision>
  <dcterms:created xsi:type="dcterms:W3CDTF">2025-07-14T03:14:00Z</dcterms:created>
  <dcterms:modified xsi:type="dcterms:W3CDTF">2025-07-14T03:55:00Z</dcterms:modified>
</cp:coreProperties>
</file>