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9C5D0F" w14:textId="77777777" w:rsidR="00C841DC" w:rsidRPr="00C841DC" w:rsidRDefault="00AB3883" w:rsidP="00C84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83">
        <w:rPr>
          <w:rFonts w:ascii="Times New Roman" w:eastAsia="Times New Roman" w:hAnsi="Times New Roman" w:cs="Times New Roman"/>
          <w:noProof/>
          <w:kern w:val="0"/>
        </w:rPr>
        <w:pict w14:anchorId="6C41A209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63D98B1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1776CD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本文内容翻译自</w:t>
      </w:r>
      <w:r w:rsidRPr="00C841DC">
        <w:rPr>
          <w:rFonts w:ascii="Times New Roman" w:eastAsia="Times New Roman" w:hAnsi="Times New Roman" w:cs="Times New Roman"/>
          <w:kern w:val="0"/>
          <w14:ligatures w14:val="none"/>
        </w:rPr>
        <w:t xml:space="preserve"> Morningstar</w:t>
      </w: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（晨星）于</w:t>
      </w:r>
      <w:r w:rsidRPr="00C841DC">
        <w:rPr>
          <w:rFonts w:ascii="Times New Roman" w:eastAsia="Times New Roman" w:hAnsi="Times New Roman" w:cs="Times New Roman"/>
          <w:kern w:val="0"/>
          <w14:ligatures w14:val="none"/>
        </w:rPr>
        <w:t xml:space="preserve"> 2025 </w:t>
      </w: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年</w:t>
      </w:r>
      <w:r w:rsidRPr="00C841DC">
        <w:rPr>
          <w:rFonts w:ascii="Times New Roman" w:eastAsia="Times New Roman" w:hAnsi="Times New Roman" w:cs="Times New Roman"/>
          <w:kern w:val="0"/>
          <w14:ligatures w14:val="none"/>
        </w:rPr>
        <w:t xml:space="preserve"> 11 </w:t>
      </w: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月发布的文章</w:t>
      </w:r>
      <w:r w:rsidRPr="00C841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41DC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《</w:t>
      </w:r>
      <w:r w:rsidRPr="00C84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Use International Stocks in Your Portfolio</w:t>
      </w:r>
      <w:r w:rsidRPr="00C841DC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》</w:t>
      </w: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（作者：</w:t>
      </w:r>
      <w:r w:rsidRPr="00C841DC">
        <w:rPr>
          <w:rFonts w:ascii="Times New Roman" w:eastAsia="Times New Roman" w:hAnsi="Times New Roman" w:cs="Times New Roman"/>
          <w:kern w:val="0"/>
          <w14:ligatures w14:val="none"/>
        </w:rPr>
        <w:t>Amy C. Arnott, CFA</w:t>
      </w: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）</w:t>
      </w:r>
      <w:r w:rsidRPr="00C841DC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1335484E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本译文旨在帮助读者理解国际股票在投资组合中的作用、风险与分散价值，仅供学习、研究与参考</w:t>
      </w:r>
      <w:r w:rsidRPr="00C841DC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7E2383CA" w14:textId="77777777" w:rsidR="00C841DC" w:rsidRPr="00C841DC" w:rsidRDefault="00AB3883" w:rsidP="00C84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83">
        <w:rPr>
          <w:rFonts w:ascii="Times New Roman" w:eastAsia="Times New Roman" w:hAnsi="Times New Roman" w:cs="Times New Roman"/>
          <w:noProof/>
          <w:kern w:val="0"/>
        </w:rPr>
        <w:pict w14:anchorId="2CF2317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383EA13" w14:textId="77777777" w:rsidR="00C841DC" w:rsidRPr="00C841DC" w:rsidRDefault="00C841DC" w:rsidP="00C841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41DC">
        <w:rPr>
          <w:rFonts w:ascii="PingFang TC" w:eastAsia="PingFang TC" w:hAnsi="PingFang TC" w:cs="PingFang TC" w:hint="eastAsia"/>
          <w:b/>
          <w:bCs/>
          <w:kern w:val="36"/>
          <w:sz w:val="48"/>
          <w:szCs w:val="48"/>
          <w14:ligatures w14:val="none"/>
        </w:rPr>
        <w:t>如何在你的投资组合中使用国际股票</w:t>
      </w:r>
      <w:r w:rsidRPr="00C841DC">
        <w:rPr>
          <w:rFonts w:ascii="PingFang TC" w:eastAsia="PingFang TC" w:hAnsi="PingFang TC" w:cs="PingFang TC"/>
          <w:b/>
          <w:bCs/>
          <w:kern w:val="36"/>
          <w:sz w:val="48"/>
          <w:szCs w:val="48"/>
          <w14:ligatures w14:val="none"/>
        </w:rPr>
        <w:t>？</w:t>
      </w:r>
    </w:p>
    <w:p w14:paraId="66B7A0F5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A688EA" w14:textId="6E8BFCFD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D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——</w:t>
      </w:r>
      <w:r w:rsidRPr="00C841DC">
        <w:rPr>
          <w:rFonts w:ascii="PingFang TC" w:eastAsia="PingFang TC" w:hAnsi="PingFang TC" w:cs="PingFang TC" w:hint="eastAsia"/>
          <w:i/>
          <w:iCs/>
          <w:kern w:val="0"/>
          <w14:ligatures w14:val="none"/>
        </w:rPr>
        <w:t>国际股票的优势、风险与配置方</w:t>
      </w:r>
      <w:r w:rsidRPr="00C841DC">
        <w:rPr>
          <w:rFonts w:ascii="PingFang TC" w:eastAsia="PingFang TC" w:hAnsi="PingFang TC" w:cs="PingFang TC"/>
          <w:i/>
          <w:iCs/>
          <w:kern w:val="0"/>
          <w14:ligatures w14:val="none"/>
        </w:rPr>
        <w:t>式</w:t>
      </w:r>
      <w:r w:rsidRPr="00C841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6DF7DC8" w14:textId="77777777" w:rsidR="00C841DC" w:rsidRPr="00C841DC" w:rsidRDefault="00AB3883" w:rsidP="00C84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83">
        <w:rPr>
          <w:rFonts w:ascii="Times New Roman" w:eastAsia="Times New Roman" w:hAnsi="Times New Roman" w:cs="Times New Roman"/>
          <w:noProof/>
          <w:kern w:val="0"/>
        </w:rPr>
        <w:pict w14:anchorId="625FDE1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6E93666" w14:textId="77777777" w:rsidR="00C841DC" w:rsidRPr="00C841DC" w:rsidRDefault="00C841DC" w:rsidP="00C841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41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Should you have international stocks in your portfolio?</w:t>
      </w:r>
    </w:p>
    <w:p w14:paraId="4BD8D19A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9E4F4B" w14:textId="43A72CDF" w:rsid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如果你已经持有美国大型股票，国际股票可能是合乎逻辑的补充，因为它们有潜力提升组合的分散化</w:t>
      </w:r>
      <w:r w:rsidRPr="00C841DC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3772B5A0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</w:p>
    <w:p w14:paraId="4054C54A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这是本系列</w:t>
      </w:r>
      <w:r w:rsidRPr="00C841DC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组合基础</w:t>
      </w:r>
      <w:r w:rsidRPr="00C841DC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文章的一部分，我将解释组建</w:t>
      </w:r>
      <w:r w:rsidRPr="00C841DC">
        <w:rPr>
          <w:rFonts w:ascii="SimSun" w:eastAsia="SimSun" w:hAnsi="SimSun" w:cs="SimSun" w:hint="eastAsia"/>
          <w:kern w:val="0"/>
          <w14:ligatures w14:val="none"/>
        </w:rPr>
        <w:t>稳</w:t>
      </w: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健投资组合的一些基本原理。我会从最广泛使用的投资类型开始，说明怎样在组合中有效使用它们</w:t>
      </w:r>
      <w:r w:rsidRPr="00C841DC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0F2187F2" w14:textId="77777777" w:rsidR="00C841DC" w:rsidRPr="00C841DC" w:rsidRDefault="00AB3883" w:rsidP="00C84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83">
        <w:rPr>
          <w:rFonts w:ascii="Times New Roman" w:eastAsia="Times New Roman" w:hAnsi="Times New Roman" w:cs="Times New Roman"/>
          <w:noProof/>
          <w:kern w:val="0"/>
        </w:rPr>
        <w:pict w14:anchorId="12D920D5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468FD26" w14:textId="77777777" w:rsidR="00C841DC" w:rsidRPr="00C841DC" w:rsidRDefault="00C841DC" w:rsidP="00C841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41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What Are International Stocks?</w:t>
      </w:r>
      <w:r w:rsidRPr="00C841DC">
        <w:rPr>
          <w:rFonts w:ascii="PingFang TC" w:eastAsia="PingFang TC" w:hAnsi="PingFang TC" w:cs="PingFang TC" w:hint="eastAsia"/>
          <w:b/>
          <w:bCs/>
          <w:kern w:val="36"/>
          <w:sz w:val="48"/>
          <w:szCs w:val="48"/>
          <w14:ligatures w14:val="none"/>
        </w:rPr>
        <w:t>｜什么是国际股票</w:t>
      </w:r>
      <w:r w:rsidRPr="00C841DC">
        <w:rPr>
          <w:rFonts w:ascii="PingFang TC" w:eastAsia="PingFang TC" w:hAnsi="PingFang TC" w:cs="PingFang TC"/>
          <w:b/>
          <w:bCs/>
          <w:kern w:val="36"/>
          <w:sz w:val="48"/>
          <w:szCs w:val="48"/>
          <w14:ligatures w14:val="none"/>
        </w:rPr>
        <w:t>？</w:t>
      </w:r>
    </w:p>
    <w:p w14:paraId="1AC4510E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664D0A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对于居住在美国的投资者而言，任何来自其他国家的公司股票都被视为国际股票。国际股票基金可以聚焦于</w:t>
      </w:r>
      <w:r w:rsidRPr="00C841DC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07A6795D" w14:textId="77777777" w:rsidR="00C841DC" w:rsidRPr="00C841DC" w:rsidRDefault="00C841DC" w:rsidP="00C841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发达市场（例如：英国、德国、日本</w:t>
      </w:r>
      <w:r w:rsidRPr="00C841DC">
        <w:rPr>
          <w:rFonts w:ascii="PingFang TC" w:eastAsia="PingFang TC" w:hAnsi="PingFang TC" w:cs="PingFang TC"/>
          <w:kern w:val="0"/>
          <w14:ligatures w14:val="none"/>
        </w:rPr>
        <w:t>）</w:t>
      </w:r>
    </w:p>
    <w:p w14:paraId="188A9A83" w14:textId="77777777" w:rsidR="00C841DC" w:rsidRPr="00C841DC" w:rsidRDefault="00C841DC" w:rsidP="00C841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新兴市场（例如：中国、印度、巴西</w:t>
      </w:r>
      <w:r w:rsidRPr="00C841DC">
        <w:rPr>
          <w:rFonts w:ascii="PingFang TC" w:eastAsia="PingFang TC" w:hAnsi="PingFang TC" w:cs="PingFang TC"/>
          <w:kern w:val="0"/>
          <w14:ligatures w14:val="none"/>
        </w:rPr>
        <w:t>）</w:t>
      </w:r>
    </w:p>
    <w:p w14:paraId="18565022" w14:textId="77777777" w:rsidR="00C841DC" w:rsidRPr="00C841DC" w:rsidRDefault="00C841DC" w:rsidP="00C841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或两者的组</w:t>
      </w:r>
      <w:r w:rsidRPr="00C841DC">
        <w:rPr>
          <w:rFonts w:ascii="PingFang TC" w:eastAsia="PingFang TC" w:hAnsi="PingFang TC" w:cs="PingFang TC"/>
          <w:kern w:val="0"/>
          <w14:ligatures w14:val="none"/>
        </w:rPr>
        <w:t>合</w:t>
      </w:r>
    </w:p>
    <w:p w14:paraId="424CF933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00F2FE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截至</w:t>
      </w:r>
      <w:r w:rsidRPr="00C841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4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2025 </w:t>
      </w:r>
      <w:r w:rsidRPr="00C841DC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年</w:t>
      </w:r>
      <w:r w:rsidRPr="00C84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9 </w:t>
      </w:r>
      <w:r w:rsidRPr="00C841DC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月</w:t>
      </w: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，非美国股票约占全球股票市值的</w:t>
      </w:r>
      <w:r w:rsidRPr="00C841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4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37%</w:t>
      </w: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。因为国际股票在全球股市中占有重要比重，因此大多数投资者应当持有一定的国际股票</w:t>
      </w:r>
      <w:r w:rsidRPr="00C841DC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2576CF78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01F639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大多数国际股票以非美元计价，并在当地交易所交易。例如</w:t>
      </w:r>
      <w:r w:rsidRPr="00C841DC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184FDB6D" w14:textId="77777777" w:rsidR="00C841DC" w:rsidRPr="00C841DC" w:rsidRDefault="00C841DC" w:rsidP="00C841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台湾半导体（</w:t>
      </w:r>
      <w:r w:rsidRPr="00C841DC">
        <w:rPr>
          <w:rFonts w:ascii="Times New Roman" w:eastAsia="Times New Roman" w:hAnsi="Times New Roman" w:cs="Times New Roman"/>
          <w:kern w:val="0"/>
          <w14:ligatures w14:val="none"/>
        </w:rPr>
        <w:t>TSMC</w:t>
      </w: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）以新台币计</w:t>
      </w:r>
      <w:r w:rsidRPr="00C841DC">
        <w:rPr>
          <w:rFonts w:ascii="PingFang TC" w:eastAsia="PingFang TC" w:hAnsi="PingFang TC" w:cs="PingFang TC"/>
          <w:kern w:val="0"/>
          <w14:ligatures w14:val="none"/>
        </w:rPr>
        <w:t>价</w:t>
      </w:r>
    </w:p>
    <w:p w14:paraId="4AA19B98" w14:textId="77777777" w:rsidR="00C841DC" w:rsidRPr="00C841DC" w:rsidRDefault="00C841DC" w:rsidP="00C841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北欧银行</w:t>
      </w:r>
      <w:r w:rsidRPr="00C841DC">
        <w:rPr>
          <w:rFonts w:ascii="Times New Roman" w:eastAsia="Times New Roman" w:hAnsi="Times New Roman" w:cs="Times New Roman"/>
          <w:kern w:val="0"/>
          <w14:ligatures w14:val="none"/>
        </w:rPr>
        <w:t xml:space="preserve"> Nordea </w:t>
      </w: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以丹麦克朗计</w:t>
      </w:r>
      <w:r w:rsidRPr="00C841DC">
        <w:rPr>
          <w:rFonts w:ascii="PingFang TC" w:eastAsia="PingFang TC" w:hAnsi="PingFang TC" w:cs="PingFang TC"/>
          <w:kern w:val="0"/>
          <w14:ligatures w14:val="none"/>
        </w:rPr>
        <w:t>价</w:t>
      </w:r>
    </w:p>
    <w:p w14:paraId="34DAFC7F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156BA7" w14:textId="77777777" w:rsidR="00C841DC" w:rsidRDefault="00C841DC" w:rsidP="00C841DC">
      <w:pPr>
        <w:spacing w:before="100" w:beforeAutospacing="1" w:after="100" w:afterAutospacing="1" w:line="240" w:lineRule="auto"/>
        <w:rPr>
          <w:rFonts w:ascii="PingFang TC" w:eastAsia="PingFang TC" w:hAnsi="PingFang TC" w:cs="PingFang TC"/>
          <w:kern w:val="0"/>
          <w14:ligatures w14:val="none"/>
        </w:rPr>
      </w:pP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例外是</w:t>
      </w:r>
      <w:r w:rsidRPr="00C841DC">
        <w:rPr>
          <w:rFonts w:ascii="Times New Roman" w:eastAsia="Times New Roman" w:hAnsi="Times New Roman" w:cs="Times New Roman"/>
          <w:kern w:val="0"/>
          <w14:ligatures w14:val="none"/>
        </w:rPr>
        <w:t xml:space="preserve"> ADR</w:t>
      </w: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（美国存托凭证），由美国银行发行，以美元计价，并在美国交易所交易</w:t>
      </w:r>
      <w:r w:rsidRPr="00C841DC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326D5B37" w14:textId="25CFF998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</w:p>
    <w:p w14:paraId="60CFC580" w14:textId="77777777" w:rsidR="00C841DC" w:rsidRPr="00C841DC" w:rsidRDefault="00AB3883" w:rsidP="00C84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83">
        <w:rPr>
          <w:rFonts w:ascii="Times New Roman" w:eastAsia="Times New Roman" w:hAnsi="Times New Roman" w:cs="Times New Roman"/>
          <w:noProof/>
          <w:kern w:val="0"/>
        </w:rPr>
        <w:pict w14:anchorId="2ECD4F7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DD8A58E" w14:textId="77777777" w:rsidR="00C841DC" w:rsidRPr="00C841DC" w:rsidRDefault="00C841DC" w:rsidP="00C841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41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Advantages and Risks</w:t>
      </w:r>
      <w:r w:rsidRPr="00C841DC">
        <w:rPr>
          <w:rFonts w:ascii="PingFang TC" w:eastAsia="PingFang TC" w:hAnsi="PingFang TC" w:cs="PingFang TC" w:hint="eastAsia"/>
          <w:b/>
          <w:bCs/>
          <w:kern w:val="36"/>
          <w:sz w:val="48"/>
          <w:szCs w:val="48"/>
          <w14:ligatures w14:val="none"/>
        </w:rPr>
        <w:t>｜投资国际股票的优势与风</w:t>
      </w:r>
      <w:r w:rsidRPr="00C841DC">
        <w:rPr>
          <w:rFonts w:ascii="PingFang TC" w:eastAsia="PingFang TC" w:hAnsi="PingFang TC" w:cs="PingFang TC"/>
          <w:b/>
          <w:bCs/>
          <w:kern w:val="36"/>
          <w:sz w:val="48"/>
          <w:szCs w:val="48"/>
          <w14:ligatures w14:val="none"/>
        </w:rPr>
        <w:t>险</w:t>
      </w:r>
    </w:p>
    <w:p w14:paraId="1B53FB33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D8995B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国际股票有两大主要优势</w:t>
      </w:r>
      <w:r w:rsidRPr="00C841DC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3380435A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DC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（</w:t>
      </w:r>
      <w:r w:rsidRPr="00C84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</w:t>
      </w:r>
      <w:r w:rsidRPr="00C841DC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）分散</w:t>
      </w:r>
      <w:r w:rsidRPr="00C841DC">
        <w:rPr>
          <w:rFonts w:ascii="PingFang TC" w:eastAsia="PingFang TC" w:hAnsi="PingFang TC" w:cs="PingFang TC"/>
          <w:b/>
          <w:bCs/>
          <w:kern w:val="0"/>
          <w14:ligatures w14:val="none"/>
        </w:rPr>
        <w:t>化</w:t>
      </w:r>
    </w:p>
    <w:p w14:paraId="5AA4A0F2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DC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（</w:t>
      </w:r>
      <w:r w:rsidRPr="00C84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</w:t>
      </w:r>
      <w:r w:rsidRPr="00C841DC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）在某些时期可能比美国股票表现更</w:t>
      </w:r>
      <w:r w:rsidRPr="00C841DC">
        <w:rPr>
          <w:rFonts w:ascii="PingFang TC" w:eastAsia="PingFang TC" w:hAnsi="PingFang TC" w:cs="PingFang TC"/>
          <w:b/>
          <w:bCs/>
          <w:kern w:val="0"/>
          <w14:ligatures w14:val="none"/>
        </w:rPr>
        <w:t>好</w:t>
      </w:r>
    </w:p>
    <w:p w14:paraId="78BF482A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4074CF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过去，国际股票与美国股票的相关性较低，因此可以提高全球组合的风险调整后回报</w:t>
      </w:r>
      <w:r w:rsidRPr="00C841DC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0CCE054A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ADA46C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随着全球经济联系加强，过去几十年两者的联动性有所上升</w:t>
      </w:r>
      <w:r w:rsidRPr="00C841DC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5E89BA72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C280E0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在某些时期，如</w:t>
      </w:r>
      <w:r w:rsidRPr="00C841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4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1970 </w:t>
      </w:r>
      <w:r w:rsidRPr="00C841DC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年代初、</w:t>
      </w:r>
      <w:r w:rsidRPr="00C84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1980 </w:t>
      </w:r>
      <w:r w:rsidRPr="00C841DC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年代末、</w:t>
      </w:r>
      <w:r w:rsidRPr="00C84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2002 </w:t>
      </w:r>
      <w:r w:rsidRPr="00C841DC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年至</w:t>
      </w:r>
      <w:r w:rsidRPr="00C84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2008 </w:t>
      </w:r>
      <w:r w:rsidRPr="00C841DC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年中期</w:t>
      </w: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，国际股票表现优于美国股票。这些时期通常伴随着美元走弱：当非美元货币走强时，国际股票在换算回美元后表现更佳</w:t>
      </w:r>
      <w:r w:rsidRPr="00C841DC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14D70CEF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17F475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美元疲弱是</w:t>
      </w:r>
      <w:r w:rsidRPr="00C841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4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2025 </w:t>
      </w:r>
      <w:r w:rsidRPr="00C841DC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年截至</w:t>
      </w:r>
      <w:r w:rsidRPr="00C84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9 </w:t>
      </w:r>
      <w:r w:rsidRPr="00C841DC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月</w:t>
      </w: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国际股票跑赢美国股票的因素之一</w:t>
      </w:r>
      <w:r w:rsidRPr="00C841DC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4709F8DB" w14:textId="77777777" w:rsidR="00C841DC" w:rsidRPr="00C841DC" w:rsidRDefault="00C841DC" w:rsidP="00C841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国际股票：</w:t>
      </w:r>
      <w:r w:rsidRPr="00C84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+28%</w:t>
      </w:r>
      <w:r w:rsidRPr="00C841DC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（</w:t>
      </w:r>
      <w:r w:rsidRPr="00C84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YTD</w:t>
      </w:r>
      <w:r w:rsidRPr="00C841DC">
        <w:rPr>
          <w:rFonts w:ascii="PingFang TC" w:eastAsia="PingFang TC" w:hAnsi="PingFang TC" w:cs="PingFang TC"/>
          <w:b/>
          <w:bCs/>
          <w:kern w:val="0"/>
          <w14:ligatures w14:val="none"/>
        </w:rPr>
        <w:t>）</w:t>
      </w:r>
    </w:p>
    <w:p w14:paraId="649CC6EB" w14:textId="77777777" w:rsidR="00C841DC" w:rsidRPr="00C841DC" w:rsidRDefault="00C841DC" w:rsidP="00C841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美国股票：</w:t>
      </w:r>
      <w:r w:rsidRPr="00C84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+17%</w:t>
      </w:r>
      <w:r w:rsidRPr="00C841DC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（</w:t>
      </w:r>
      <w:r w:rsidRPr="00C84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YTD</w:t>
      </w:r>
      <w:r w:rsidRPr="00C841DC">
        <w:rPr>
          <w:rFonts w:ascii="PingFang TC" w:eastAsia="PingFang TC" w:hAnsi="PingFang TC" w:cs="PingFang TC"/>
          <w:b/>
          <w:bCs/>
          <w:kern w:val="0"/>
          <w14:ligatures w14:val="none"/>
        </w:rPr>
        <w:t>）</w:t>
      </w:r>
    </w:p>
    <w:p w14:paraId="6D880BA5" w14:textId="3D9F6D54" w:rsidR="00C841DC" w:rsidRPr="00C841DC" w:rsidRDefault="00C841DC" w:rsidP="00C84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D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2831FC3E" wp14:editId="385F527B">
            <wp:extent cx="5943600" cy="3731260"/>
            <wp:effectExtent l="0" t="0" r="0" b="2540"/>
            <wp:docPr id="187534487" name="Picture 1" descr="A graph with colo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4487" name="Picture 1" descr="A graph with colored dot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3B6D3" w14:textId="77777777" w:rsidR="00C841DC" w:rsidRPr="00C841DC" w:rsidRDefault="00C841DC" w:rsidP="00C841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41DC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风险</w:t>
      </w:r>
      <w:r w:rsidRPr="00C841DC">
        <w:rPr>
          <w:rFonts w:ascii="PingFang TC" w:eastAsia="PingFang TC" w:hAnsi="PingFang TC" w:cs="PingFang TC"/>
          <w:b/>
          <w:bCs/>
          <w:kern w:val="0"/>
          <w:sz w:val="36"/>
          <w:szCs w:val="36"/>
          <w14:ligatures w14:val="none"/>
        </w:rPr>
        <w:t>：</w:t>
      </w:r>
    </w:p>
    <w:p w14:paraId="35F97620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356951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国际股票伴随特定风险，包括</w:t>
      </w:r>
      <w:r w:rsidRPr="00C841DC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22160B0A" w14:textId="77777777" w:rsidR="00C841DC" w:rsidRPr="00C841DC" w:rsidRDefault="00C841DC" w:rsidP="00C841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汇率波</w:t>
      </w:r>
      <w:r w:rsidRPr="00C841DC">
        <w:rPr>
          <w:rFonts w:ascii="PingFang TC" w:eastAsia="PingFang TC" w:hAnsi="PingFang TC" w:cs="PingFang TC"/>
          <w:kern w:val="0"/>
          <w14:ligatures w14:val="none"/>
        </w:rPr>
        <w:t>动</w:t>
      </w:r>
    </w:p>
    <w:p w14:paraId="42B24477" w14:textId="77777777" w:rsidR="00C841DC" w:rsidRPr="00C841DC" w:rsidRDefault="00C841DC" w:rsidP="00C841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地缘政治冲</w:t>
      </w:r>
      <w:r w:rsidRPr="00C841DC">
        <w:rPr>
          <w:rFonts w:ascii="PingFang TC" w:eastAsia="PingFang TC" w:hAnsi="PingFang TC" w:cs="PingFang TC"/>
          <w:kern w:val="0"/>
          <w14:ligatures w14:val="none"/>
        </w:rPr>
        <w:t>突</w:t>
      </w:r>
    </w:p>
    <w:p w14:paraId="4BF96E29" w14:textId="77777777" w:rsidR="00C841DC" w:rsidRPr="00C841DC" w:rsidRDefault="00C841DC" w:rsidP="00C841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较弱的会计标</w:t>
      </w:r>
      <w:r w:rsidRPr="00C841DC">
        <w:rPr>
          <w:rFonts w:ascii="PingFang TC" w:eastAsia="PingFang TC" w:hAnsi="PingFang TC" w:cs="PingFang TC"/>
          <w:kern w:val="0"/>
          <w14:ligatures w14:val="none"/>
        </w:rPr>
        <w:t>准</w:t>
      </w:r>
    </w:p>
    <w:p w14:paraId="3B03E812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EAD7D4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这意味着国际股票的风险与波动相对更高</w:t>
      </w:r>
      <w:r w:rsidRPr="00C841DC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0F6698F7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06F101" w14:textId="77777777" w:rsidR="00C841DC" w:rsidRDefault="00C841DC" w:rsidP="00C841DC">
      <w:pPr>
        <w:spacing w:before="100" w:beforeAutospacing="1" w:after="100" w:afterAutospacing="1" w:line="240" w:lineRule="auto"/>
        <w:rPr>
          <w:rFonts w:ascii="PingFang TC" w:eastAsia="PingFang TC" w:hAnsi="PingFang TC" w:cs="PingFang TC"/>
          <w:kern w:val="0"/>
          <w14:ligatures w14:val="none"/>
        </w:rPr>
      </w:pP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根据过去</w:t>
      </w:r>
      <w:r w:rsidRPr="00C841DC">
        <w:rPr>
          <w:rFonts w:ascii="Times New Roman" w:eastAsia="Times New Roman" w:hAnsi="Times New Roman" w:cs="Times New Roman"/>
          <w:kern w:val="0"/>
          <w14:ligatures w14:val="none"/>
        </w:rPr>
        <w:t xml:space="preserve"> 20 </w:t>
      </w: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年的数据，国际股票在金融危机（</w:t>
      </w:r>
      <w:r w:rsidRPr="00C841DC">
        <w:rPr>
          <w:rFonts w:ascii="Times New Roman" w:eastAsia="Times New Roman" w:hAnsi="Times New Roman" w:cs="Times New Roman"/>
          <w:kern w:val="0"/>
          <w14:ligatures w14:val="none"/>
        </w:rPr>
        <w:t>2007–2009</w:t>
      </w: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）及</w:t>
      </w:r>
      <w:r w:rsidRPr="00C841DC">
        <w:rPr>
          <w:rFonts w:ascii="Times New Roman" w:eastAsia="Times New Roman" w:hAnsi="Times New Roman" w:cs="Times New Roman"/>
          <w:kern w:val="0"/>
          <w14:ligatures w14:val="none"/>
        </w:rPr>
        <w:t xml:space="preserve"> 2020 </w:t>
      </w: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疫情期间，下跌幅度可达</w:t>
      </w:r>
      <w:r w:rsidRPr="00C841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4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50% </w:t>
      </w:r>
      <w:r w:rsidRPr="00C841DC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以上</w:t>
      </w: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；单季跌幅可超过</w:t>
      </w:r>
      <w:r w:rsidRPr="00C841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4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20%</w:t>
      </w:r>
      <w:r w:rsidRPr="00C841DC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686A690D" w14:textId="34144692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C841D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08E416F9" wp14:editId="791092AA">
            <wp:extent cx="5943600" cy="2528570"/>
            <wp:effectExtent l="0" t="0" r="0" b="0"/>
            <wp:docPr id="1481654811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654811" name="Picture 1" descr="A screenshot of a graph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892D3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056BDD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但像其他股票一样，国际股票上涨的时间多于下跌的时间，因此长期仍能产生有吸引力的回报</w:t>
      </w:r>
      <w:r w:rsidRPr="00C841DC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5B07D480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701CD2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（文中原表格与数据已省略，但全部内容可在原文查阅</w:t>
      </w:r>
      <w:r w:rsidRPr="00C841DC">
        <w:rPr>
          <w:rFonts w:ascii="PingFang TC" w:eastAsia="PingFang TC" w:hAnsi="PingFang TC" w:cs="PingFang TC"/>
          <w:kern w:val="0"/>
          <w14:ligatures w14:val="none"/>
        </w:rPr>
        <w:t>）</w:t>
      </w:r>
    </w:p>
    <w:p w14:paraId="260E9AD4" w14:textId="77777777" w:rsidR="00C841DC" w:rsidRPr="00C841DC" w:rsidRDefault="00AB3883" w:rsidP="00C84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83">
        <w:rPr>
          <w:rFonts w:ascii="Times New Roman" w:eastAsia="Times New Roman" w:hAnsi="Times New Roman" w:cs="Times New Roman"/>
          <w:noProof/>
          <w:kern w:val="0"/>
        </w:rPr>
        <w:pict w14:anchorId="69D7698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9567822" w14:textId="77777777" w:rsidR="00C841DC" w:rsidRPr="00C841DC" w:rsidRDefault="00C841DC" w:rsidP="00C841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41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How to Invest</w:t>
      </w:r>
      <w:r w:rsidRPr="00C841DC">
        <w:rPr>
          <w:rFonts w:ascii="PingFang TC" w:eastAsia="PingFang TC" w:hAnsi="PingFang TC" w:cs="PingFang TC" w:hint="eastAsia"/>
          <w:b/>
          <w:bCs/>
          <w:kern w:val="36"/>
          <w:sz w:val="48"/>
          <w:szCs w:val="48"/>
          <w14:ligatures w14:val="none"/>
        </w:rPr>
        <w:t>｜如何投资国际股</w:t>
      </w:r>
      <w:r w:rsidRPr="00C841DC">
        <w:rPr>
          <w:rFonts w:ascii="PingFang TC" w:eastAsia="PingFang TC" w:hAnsi="PingFang TC" w:cs="PingFang TC"/>
          <w:b/>
          <w:bCs/>
          <w:kern w:val="36"/>
          <w:sz w:val="48"/>
          <w:szCs w:val="48"/>
          <w14:ligatures w14:val="none"/>
        </w:rPr>
        <w:t>票</w:t>
      </w:r>
    </w:p>
    <w:p w14:paraId="254B5DE9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5E77E7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投资国际股票主要有两种方式</w:t>
      </w:r>
      <w:r w:rsidRPr="00C841DC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5E2AC4F7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D30EB9" w14:textId="77777777" w:rsidR="00C841DC" w:rsidRPr="00C841DC" w:rsidRDefault="00C841DC" w:rsidP="00C841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41DC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（</w:t>
      </w:r>
      <w:r w:rsidRPr="00C841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 w:rsidRPr="00C841DC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）购买个</w:t>
      </w:r>
      <w:r w:rsidRPr="00C841DC">
        <w:rPr>
          <w:rFonts w:ascii="PingFang TC" w:eastAsia="PingFang TC" w:hAnsi="PingFang TC" w:cs="PingFang TC"/>
          <w:b/>
          <w:bCs/>
          <w:kern w:val="0"/>
          <w:sz w:val="36"/>
          <w:szCs w:val="36"/>
          <w14:ligatures w14:val="none"/>
        </w:rPr>
        <w:t>股</w:t>
      </w:r>
    </w:p>
    <w:p w14:paraId="20E8A4A1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006AAA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对于一般投资者来说，直接在当地交易所购买国际股票并不现实</w:t>
      </w:r>
      <w:r w:rsidRPr="00C841DC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6308BBBF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D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ADRs </w:t>
      </w: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是一种更可行的方式，目前美国交易所约有</w:t>
      </w:r>
      <w:r w:rsidRPr="00C841DC">
        <w:rPr>
          <w:rFonts w:ascii="Times New Roman" w:eastAsia="Times New Roman" w:hAnsi="Times New Roman" w:cs="Times New Roman"/>
          <w:kern w:val="0"/>
          <w14:ligatures w14:val="none"/>
        </w:rPr>
        <w:t xml:space="preserve"> 400 </w:t>
      </w: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只</w:t>
      </w:r>
      <w:r w:rsidRPr="00C841DC">
        <w:rPr>
          <w:rFonts w:ascii="Times New Roman" w:eastAsia="Times New Roman" w:hAnsi="Times New Roman" w:cs="Times New Roman"/>
          <w:kern w:val="0"/>
          <w14:ligatures w14:val="none"/>
        </w:rPr>
        <w:t xml:space="preserve"> ADR </w:t>
      </w: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可交易，场外还有约</w:t>
      </w:r>
      <w:r w:rsidRPr="00C841DC">
        <w:rPr>
          <w:rFonts w:ascii="Times New Roman" w:eastAsia="Times New Roman" w:hAnsi="Times New Roman" w:cs="Times New Roman"/>
          <w:kern w:val="0"/>
          <w14:ligatures w14:val="none"/>
        </w:rPr>
        <w:t xml:space="preserve"> 1,800 </w:t>
      </w: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只</w:t>
      </w:r>
      <w:r w:rsidRPr="00C841DC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61176CDF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B882B9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但买个股带来额外风险，例如：</w:t>
      </w:r>
      <w:r w:rsidRPr="00C841DC">
        <w:rPr>
          <w:rFonts w:ascii="Times New Roman" w:eastAsia="Times New Roman" w:hAnsi="Times New Roman" w:cs="Times New Roman"/>
          <w:kern w:val="0"/>
          <w14:ligatures w14:val="none"/>
        </w:rPr>
        <w:t xml:space="preserve">2024 </w:t>
      </w: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年，约三分之一的</w:t>
      </w:r>
      <w:r w:rsidRPr="00C841DC">
        <w:rPr>
          <w:rFonts w:ascii="Times New Roman" w:eastAsia="Times New Roman" w:hAnsi="Times New Roman" w:cs="Times New Roman"/>
          <w:kern w:val="0"/>
          <w14:ligatures w14:val="none"/>
        </w:rPr>
        <w:t xml:space="preserve"> ADR </w:t>
      </w: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跌幅超过</w:t>
      </w:r>
      <w:r w:rsidRPr="00C841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4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10%</w:t>
      </w: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，而整体国际股票却是上涨的</w:t>
      </w:r>
      <w:r w:rsidRPr="00C841DC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737BD9A2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59014D" w14:textId="77777777" w:rsidR="00C841DC" w:rsidRPr="00C841DC" w:rsidRDefault="00C841DC" w:rsidP="00C841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41DC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（</w:t>
      </w:r>
      <w:r w:rsidRPr="00C841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</w:t>
      </w:r>
      <w:r w:rsidRPr="00C841DC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）购买基金（更推荐</w:t>
      </w:r>
      <w:r w:rsidRPr="00C841DC">
        <w:rPr>
          <w:rFonts w:ascii="PingFang TC" w:eastAsia="PingFang TC" w:hAnsi="PingFang TC" w:cs="PingFang TC"/>
          <w:b/>
          <w:bCs/>
          <w:kern w:val="0"/>
          <w:sz w:val="36"/>
          <w:szCs w:val="36"/>
          <w14:ligatures w14:val="none"/>
        </w:rPr>
        <w:t>）</w:t>
      </w:r>
    </w:p>
    <w:p w14:paraId="7E93E4EC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C23EFA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对于大多数投资者，</w:t>
      </w:r>
      <w:r w:rsidRPr="00C841DC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广泛分散的指数基金是投资国际股票的最佳方式</w:t>
      </w:r>
      <w:r w:rsidRPr="00C841DC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58F6BF6E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1ACB29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原因包括</w:t>
      </w:r>
      <w:r w:rsidRPr="00C841DC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57F0A275" w14:textId="77777777" w:rsidR="00C841DC" w:rsidRPr="00C841DC" w:rsidRDefault="00C841DC" w:rsidP="00C841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主动基金长期跑赢市场的比例很</w:t>
      </w:r>
      <w:r w:rsidRPr="00C841DC">
        <w:rPr>
          <w:rFonts w:ascii="PingFang TC" w:eastAsia="PingFang TC" w:hAnsi="PingFang TC" w:cs="PingFang TC"/>
          <w:kern w:val="0"/>
          <w14:ligatures w14:val="none"/>
        </w:rPr>
        <w:t>低</w:t>
      </w:r>
    </w:p>
    <w:p w14:paraId="4595560B" w14:textId="77777777" w:rsidR="00C841DC" w:rsidRPr="00C841DC" w:rsidRDefault="00C841DC" w:rsidP="00C841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指数基金基于市场权重进行配</w:t>
      </w:r>
      <w:r w:rsidRPr="00C841DC">
        <w:rPr>
          <w:rFonts w:ascii="PingFang TC" w:eastAsia="PingFang TC" w:hAnsi="PingFang TC" w:cs="PingFang TC"/>
          <w:kern w:val="0"/>
          <w14:ligatures w14:val="none"/>
        </w:rPr>
        <w:t>置</w:t>
      </w:r>
    </w:p>
    <w:p w14:paraId="0D12C149" w14:textId="77777777" w:rsidR="00C841DC" w:rsidRPr="00C841DC" w:rsidRDefault="00C841DC" w:rsidP="00C841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主动国际基金平均费用约</w:t>
      </w:r>
      <w:r w:rsidRPr="00C841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4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1%</w:t>
      </w: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，而指数基金费用通常</w:t>
      </w:r>
      <w:r w:rsidRPr="00C841DC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不到一</w:t>
      </w:r>
      <w:r w:rsidRPr="00C841DC">
        <w:rPr>
          <w:rFonts w:ascii="PingFang TC" w:eastAsia="PingFang TC" w:hAnsi="PingFang TC" w:cs="PingFang TC"/>
          <w:b/>
          <w:bCs/>
          <w:kern w:val="0"/>
          <w14:ligatures w14:val="none"/>
        </w:rPr>
        <w:t>半</w:t>
      </w:r>
    </w:p>
    <w:p w14:paraId="238DC678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039EDF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如果你只想持有一只国际基金，</w:t>
      </w:r>
      <w:r w:rsidRPr="00C841DC">
        <w:rPr>
          <w:rFonts w:ascii="Times New Roman" w:eastAsia="Times New Roman" w:hAnsi="Times New Roman" w:cs="Times New Roman"/>
          <w:kern w:val="0"/>
          <w14:ligatures w14:val="none"/>
        </w:rPr>
        <w:t xml:space="preserve">Morningstar </w:t>
      </w: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建议选择</w:t>
      </w:r>
      <w:r w:rsidRPr="00C841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4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Foreign Large Blend</w:t>
      </w:r>
      <w:r w:rsidRPr="00C841DC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（国际大盘混合型）</w:t>
      </w:r>
      <w:r w:rsidRPr="00C841DC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52F28A1B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该类别覆盖最广、不依赖单一风格，也不过度暴露于成长或价值风格的周期波动</w:t>
      </w:r>
      <w:r w:rsidRPr="00C841DC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3DA91762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F2E1D2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全球大盘混合型基金（</w:t>
      </w:r>
      <w:r w:rsidRPr="00C841DC">
        <w:rPr>
          <w:rFonts w:ascii="Times New Roman" w:eastAsia="Times New Roman" w:hAnsi="Times New Roman" w:cs="Times New Roman"/>
          <w:kern w:val="0"/>
          <w14:ligatures w14:val="none"/>
        </w:rPr>
        <w:t>Global Large-Blend</w:t>
      </w: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）也是一种</w:t>
      </w:r>
      <w:r w:rsidRPr="00C841DC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一站式</w:t>
      </w:r>
      <w:r w:rsidRPr="00C841DC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方式，可同时持有美国与非美国股票</w:t>
      </w:r>
      <w:r w:rsidRPr="00C841DC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72CDF93F" w14:textId="77777777" w:rsidR="00C841DC" w:rsidRPr="00C841DC" w:rsidRDefault="00AB3883" w:rsidP="00C84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83">
        <w:rPr>
          <w:rFonts w:ascii="Times New Roman" w:eastAsia="Times New Roman" w:hAnsi="Times New Roman" w:cs="Times New Roman"/>
          <w:noProof/>
          <w:kern w:val="0"/>
        </w:rPr>
        <w:pict w14:anchorId="07F91AE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2DFDC6C" w14:textId="77777777" w:rsidR="00C841DC" w:rsidRPr="00C841DC" w:rsidRDefault="00C841DC" w:rsidP="00C841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41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When Do They Perform Best?</w:t>
      </w:r>
      <w:r w:rsidRPr="00C841DC">
        <w:rPr>
          <w:rFonts w:ascii="PingFang TC" w:eastAsia="PingFang TC" w:hAnsi="PingFang TC" w:cs="PingFang TC" w:hint="eastAsia"/>
          <w:b/>
          <w:bCs/>
          <w:kern w:val="36"/>
          <w:sz w:val="48"/>
          <w:szCs w:val="48"/>
          <w14:ligatures w14:val="none"/>
        </w:rPr>
        <w:t>｜国际股票什么时候表现最好</w:t>
      </w:r>
      <w:r w:rsidRPr="00C841DC">
        <w:rPr>
          <w:rFonts w:ascii="PingFang TC" w:eastAsia="PingFang TC" w:hAnsi="PingFang TC" w:cs="PingFang TC"/>
          <w:b/>
          <w:bCs/>
          <w:kern w:val="36"/>
          <w:sz w:val="48"/>
          <w:szCs w:val="48"/>
          <w14:ligatures w14:val="none"/>
        </w:rPr>
        <w:t>？</w:t>
      </w:r>
    </w:p>
    <w:p w14:paraId="411802B6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2CD409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国际股票通常在以下环境中表现优异</w:t>
      </w:r>
      <w:r w:rsidRPr="00C841DC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3FCF47E5" w14:textId="77777777" w:rsidR="00C841DC" w:rsidRPr="00C841DC" w:rsidRDefault="00C841DC" w:rsidP="00C841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全球经济增长强</w:t>
      </w:r>
      <w:r w:rsidRPr="00C841DC">
        <w:rPr>
          <w:rFonts w:ascii="PingFang TC" w:eastAsia="PingFang TC" w:hAnsi="PingFang TC" w:cs="PingFang TC"/>
          <w:kern w:val="0"/>
          <w14:ligatures w14:val="none"/>
        </w:rPr>
        <w:t>劲</w:t>
      </w:r>
    </w:p>
    <w:p w14:paraId="0E05E1E1" w14:textId="77777777" w:rsidR="00C841DC" w:rsidRPr="00C841DC" w:rsidRDefault="00C841DC" w:rsidP="00C841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企业利润上</w:t>
      </w:r>
      <w:r w:rsidRPr="00C841DC">
        <w:rPr>
          <w:rFonts w:ascii="PingFang TC" w:eastAsia="PingFang TC" w:hAnsi="PingFang TC" w:cs="PingFang TC"/>
          <w:kern w:val="0"/>
          <w14:ligatures w14:val="none"/>
        </w:rPr>
        <w:t>升</w:t>
      </w:r>
    </w:p>
    <w:p w14:paraId="12B7255F" w14:textId="77777777" w:rsidR="00C841DC" w:rsidRPr="00C841DC" w:rsidRDefault="00C841DC" w:rsidP="00C841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利率下</w:t>
      </w:r>
      <w:r w:rsidRPr="00C841DC">
        <w:rPr>
          <w:rFonts w:ascii="PingFang TC" w:eastAsia="PingFang TC" w:hAnsi="PingFang TC" w:cs="PingFang TC"/>
          <w:kern w:val="0"/>
          <w14:ligatures w14:val="none"/>
        </w:rPr>
        <w:t>降</w:t>
      </w:r>
    </w:p>
    <w:p w14:paraId="17215C92" w14:textId="77777777" w:rsidR="00C841DC" w:rsidRPr="00C841DC" w:rsidRDefault="00C841DC" w:rsidP="00C841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通胀温</w:t>
      </w:r>
      <w:r w:rsidRPr="00C841DC">
        <w:rPr>
          <w:rFonts w:ascii="PingFang TC" w:eastAsia="PingFang TC" w:hAnsi="PingFang TC" w:cs="PingFang TC"/>
          <w:kern w:val="0"/>
          <w14:ligatures w14:val="none"/>
        </w:rPr>
        <w:t>和</w:t>
      </w:r>
    </w:p>
    <w:p w14:paraId="75E90336" w14:textId="77777777" w:rsidR="00C841DC" w:rsidRPr="00C841DC" w:rsidRDefault="00C841DC" w:rsidP="00C841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DC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美元走</w:t>
      </w:r>
      <w:r w:rsidRPr="00C841DC">
        <w:rPr>
          <w:rFonts w:ascii="PingFang TC" w:eastAsia="PingFang TC" w:hAnsi="PingFang TC" w:cs="PingFang TC"/>
          <w:b/>
          <w:bCs/>
          <w:kern w:val="0"/>
          <w14:ligatures w14:val="none"/>
        </w:rPr>
        <w:t>弱</w:t>
      </w:r>
    </w:p>
    <w:p w14:paraId="502D3099" w14:textId="7243982D" w:rsidR="00C841DC" w:rsidRDefault="00C841DC" w:rsidP="00C84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DC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2631E0D3" wp14:editId="4E4EADE9">
            <wp:extent cx="5943600" cy="1882140"/>
            <wp:effectExtent l="0" t="0" r="0" b="0"/>
            <wp:docPr id="8246069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06987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A4C94" w14:textId="3D6B15B9" w:rsidR="00C841DC" w:rsidRPr="00C841DC" w:rsidRDefault="00AB3883" w:rsidP="00C84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83">
        <w:rPr>
          <w:rFonts w:ascii="Times New Roman" w:eastAsia="Times New Roman" w:hAnsi="Times New Roman" w:cs="Times New Roman"/>
          <w:noProof/>
          <w:kern w:val="0"/>
        </w:rPr>
        <w:pict w14:anchorId="7A89806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FA8A57A" w14:textId="77777777" w:rsidR="00C841DC" w:rsidRPr="00C841DC" w:rsidRDefault="00C841DC" w:rsidP="00C841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41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Holding Period</w:t>
      </w:r>
      <w:r w:rsidRPr="00C841DC">
        <w:rPr>
          <w:rFonts w:ascii="PingFang TC" w:eastAsia="PingFang TC" w:hAnsi="PingFang TC" w:cs="PingFang TC" w:hint="eastAsia"/>
          <w:b/>
          <w:bCs/>
          <w:kern w:val="36"/>
          <w:sz w:val="48"/>
          <w:szCs w:val="48"/>
          <w14:ligatures w14:val="none"/>
        </w:rPr>
        <w:t>｜应持有多久</w:t>
      </w:r>
      <w:r w:rsidRPr="00C841DC">
        <w:rPr>
          <w:rFonts w:ascii="PingFang TC" w:eastAsia="PingFang TC" w:hAnsi="PingFang TC" w:cs="PingFang TC"/>
          <w:b/>
          <w:bCs/>
          <w:kern w:val="36"/>
          <w:sz w:val="48"/>
          <w:szCs w:val="48"/>
          <w14:ligatures w14:val="none"/>
        </w:rPr>
        <w:t>？</w:t>
      </w:r>
    </w:p>
    <w:p w14:paraId="43E11FBF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8BC7D7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DC">
        <w:rPr>
          <w:rFonts w:ascii="Times New Roman" w:eastAsia="Times New Roman" w:hAnsi="Times New Roman" w:cs="Times New Roman"/>
          <w:kern w:val="0"/>
          <w14:ligatures w14:val="none"/>
        </w:rPr>
        <w:t xml:space="preserve">Morningstar </w:t>
      </w: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建议</w:t>
      </w:r>
      <w:r w:rsidRPr="00C841DC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437E5AB2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6A4577" w14:textId="77777777" w:rsidR="00C841DC" w:rsidRPr="00C841DC" w:rsidRDefault="00C841DC" w:rsidP="00C841DC">
      <w:pPr>
        <w:spacing w:after="0" w:line="240" w:lineRule="auto"/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C841DC">
        <w:rPr>
          <w:rFonts w:ascii="PingFang TC" w:eastAsia="PingFang TC" w:hAnsi="PingFang TC" w:cs="PingFang TC" w:hint="eastAsia"/>
          <w:b/>
          <w:bCs/>
          <w:color w:val="0E0E0E"/>
          <w:kern w:val="0"/>
          <w:sz w:val="21"/>
          <w:szCs w:val="21"/>
          <w14:ligatures w14:val="none"/>
        </w:rPr>
        <w:t>国际股票基金的持有时间至少为</w:t>
      </w:r>
      <w:r w:rsidRPr="00C841DC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 xml:space="preserve"> 10 </w:t>
      </w:r>
      <w:r w:rsidRPr="00C841DC">
        <w:rPr>
          <w:rFonts w:ascii="PingFang TC" w:eastAsia="PingFang TC" w:hAnsi="PingFang TC" w:cs="PingFang TC" w:hint="eastAsia"/>
          <w:b/>
          <w:bCs/>
          <w:color w:val="0E0E0E"/>
          <w:kern w:val="0"/>
          <w:sz w:val="21"/>
          <w:szCs w:val="21"/>
          <w14:ligatures w14:val="none"/>
        </w:rPr>
        <w:t>年</w:t>
      </w:r>
      <w:r w:rsidRPr="00C841DC">
        <w:rPr>
          <w:rFonts w:ascii="PingFang TC" w:eastAsia="PingFang TC" w:hAnsi="PingFang TC" w:cs="PingFang TC"/>
          <w:b/>
          <w:bCs/>
          <w:color w:val="0E0E0E"/>
          <w:kern w:val="0"/>
          <w:sz w:val="21"/>
          <w:szCs w:val="21"/>
          <w14:ligatures w14:val="none"/>
        </w:rPr>
        <w:t>。</w:t>
      </w:r>
    </w:p>
    <w:p w14:paraId="44F7C829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C6B63E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这来源于</w:t>
      </w:r>
      <w:r w:rsidRPr="00C841DC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124A5134" w14:textId="77777777" w:rsidR="00C841DC" w:rsidRPr="00C841DC" w:rsidRDefault="00C841DC" w:rsidP="00C841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长周期滚动回报数</w:t>
      </w:r>
      <w:r w:rsidRPr="00C841DC">
        <w:rPr>
          <w:rFonts w:ascii="PingFang TC" w:eastAsia="PingFang TC" w:hAnsi="PingFang TC" w:cs="PingFang TC"/>
          <w:kern w:val="0"/>
          <w14:ligatures w14:val="none"/>
        </w:rPr>
        <w:t>据</w:t>
      </w:r>
    </w:p>
    <w:p w14:paraId="4819E1ED" w14:textId="77777777" w:rsidR="00C841DC" w:rsidRPr="00C841DC" w:rsidRDefault="00C841DC" w:rsidP="00C841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历史</w:t>
      </w:r>
      <w:r w:rsidRPr="00C841DC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回本时间</w:t>
      </w:r>
      <w:r w:rsidRPr="00C841DC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分</w:t>
      </w:r>
      <w:r w:rsidRPr="00C841DC">
        <w:rPr>
          <w:rFonts w:ascii="PingFang TC" w:eastAsia="PingFang TC" w:hAnsi="PingFang TC" w:cs="PingFang TC"/>
          <w:kern w:val="0"/>
          <w14:ligatures w14:val="none"/>
        </w:rPr>
        <w:t>析</w:t>
      </w:r>
    </w:p>
    <w:p w14:paraId="23FD171E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7ACAE3" w14:textId="393E16A1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国际股票的波动大，需要更长的时间穿越周期</w:t>
      </w:r>
      <w:r w:rsidRPr="00C841DC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12C647F3" w14:textId="77777777" w:rsidR="00C841DC" w:rsidRPr="00C841DC" w:rsidRDefault="00C841DC" w:rsidP="00C841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41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Allocation</w:t>
      </w:r>
      <w:r w:rsidRPr="00C841DC">
        <w:rPr>
          <w:rFonts w:ascii="PingFang TC" w:eastAsia="PingFang TC" w:hAnsi="PingFang TC" w:cs="PingFang TC" w:hint="eastAsia"/>
          <w:b/>
          <w:bCs/>
          <w:kern w:val="36"/>
          <w:sz w:val="48"/>
          <w:szCs w:val="48"/>
          <w14:ligatures w14:val="none"/>
        </w:rPr>
        <w:t>｜国际股票应该占多少比例</w:t>
      </w:r>
      <w:r w:rsidRPr="00C841DC">
        <w:rPr>
          <w:rFonts w:ascii="PingFang TC" w:eastAsia="PingFang TC" w:hAnsi="PingFang TC" w:cs="PingFang TC"/>
          <w:b/>
          <w:bCs/>
          <w:kern w:val="36"/>
          <w:sz w:val="48"/>
          <w:szCs w:val="48"/>
          <w14:ligatures w14:val="none"/>
        </w:rPr>
        <w:t>？</w:t>
      </w:r>
    </w:p>
    <w:p w14:paraId="5BC2F4D1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36D0F6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没有标准答案，但</w:t>
      </w:r>
      <w:r w:rsidRPr="00C841DC">
        <w:rPr>
          <w:rFonts w:ascii="Times New Roman" w:eastAsia="Times New Roman" w:hAnsi="Times New Roman" w:cs="Times New Roman"/>
          <w:kern w:val="0"/>
          <w14:ligatures w14:val="none"/>
        </w:rPr>
        <w:t xml:space="preserve"> Morningstar </w:t>
      </w: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的框架如下</w:t>
      </w:r>
      <w:r w:rsidRPr="00C841DC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0EFB61CF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E40003" w14:textId="77777777" w:rsidR="00C841DC" w:rsidRPr="00C841DC" w:rsidRDefault="00C841DC" w:rsidP="00C84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41DC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核心资产：</w:t>
      </w:r>
      <w:r w:rsidRPr="00C841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Foreign Large Blend</w:t>
      </w:r>
    </w:p>
    <w:p w14:paraId="31E16DAC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393F9E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DC">
        <w:rPr>
          <w:rFonts w:ascii="Apple Color Emoji" w:eastAsia="Times New Roman" w:hAnsi="Apple Color Emoji" w:cs="Apple Color Emoji"/>
          <w:kern w:val="0"/>
          <w14:ligatures w14:val="none"/>
        </w:rPr>
        <w:t>➡</w:t>
      </w:r>
      <w:r w:rsidRPr="00C841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41DC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可占组合股票部分的</w:t>
      </w:r>
      <w:r w:rsidRPr="00C84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40%–80%</w:t>
      </w:r>
    </w:p>
    <w:p w14:paraId="1F4A6BF7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（多数投资者会倾向区间下沿</w:t>
      </w:r>
      <w:r w:rsidRPr="00C841DC">
        <w:rPr>
          <w:rFonts w:ascii="PingFang TC" w:eastAsia="PingFang TC" w:hAnsi="PingFang TC" w:cs="PingFang TC"/>
          <w:kern w:val="0"/>
          <w14:ligatures w14:val="none"/>
        </w:rPr>
        <w:t>）</w:t>
      </w:r>
    </w:p>
    <w:p w14:paraId="051C94DD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878341" w14:textId="77777777" w:rsidR="00C841DC" w:rsidRPr="00C841DC" w:rsidRDefault="00C841DC" w:rsidP="00C84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41DC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风格类（</w:t>
      </w:r>
      <w:r w:rsidRPr="00C841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Growth / Value</w:t>
      </w:r>
      <w:r w:rsidRPr="00C841DC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）</w:t>
      </w:r>
    </w:p>
    <w:p w14:paraId="4DC32B74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66EEFC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DC">
        <w:rPr>
          <w:rFonts w:ascii="Apple Color Emoji" w:eastAsia="Times New Roman" w:hAnsi="Apple Color Emoji" w:cs="Apple Color Emoji"/>
          <w:kern w:val="0"/>
          <w14:ligatures w14:val="none"/>
        </w:rPr>
        <w:t>➡</w:t>
      </w:r>
      <w:r w:rsidRPr="00C841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41DC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可占</w:t>
      </w:r>
      <w:r w:rsidRPr="00C84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15%–40%</w:t>
      </w:r>
    </w:p>
    <w:p w14:paraId="2EEB1E54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F73BC2" w14:textId="77777777" w:rsidR="00C841DC" w:rsidRPr="00C841DC" w:rsidRDefault="00C841DC" w:rsidP="00C84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41DC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lastRenderedPageBreak/>
        <w:t>高风险类（</w:t>
      </w:r>
      <w:r w:rsidRPr="00C841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Emerging Markets / </w:t>
      </w:r>
      <w:r w:rsidRPr="00C841DC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区域型</w:t>
      </w:r>
      <w:r w:rsidRPr="00C841DC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）</w:t>
      </w:r>
    </w:p>
    <w:p w14:paraId="03BC40A5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08B223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DC">
        <w:rPr>
          <w:rFonts w:ascii="Apple Color Emoji" w:eastAsia="Times New Roman" w:hAnsi="Apple Color Emoji" w:cs="Apple Color Emoji"/>
          <w:kern w:val="0"/>
          <w14:ligatures w14:val="none"/>
        </w:rPr>
        <w:t>➡</w:t>
      </w:r>
      <w:r w:rsidRPr="00C841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41DC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不超过</w:t>
      </w:r>
      <w:r w:rsidRPr="00C84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15%</w:t>
      </w:r>
    </w:p>
    <w:p w14:paraId="30A6CB66" w14:textId="77777777" w:rsidR="00C841DC" w:rsidRPr="00C841DC" w:rsidRDefault="00AB3883" w:rsidP="00C84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83">
        <w:rPr>
          <w:rFonts w:ascii="Times New Roman" w:eastAsia="Times New Roman" w:hAnsi="Times New Roman" w:cs="Times New Roman"/>
          <w:noProof/>
          <w:kern w:val="0"/>
        </w:rPr>
        <w:pict w14:anchorId="68B5BDE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9D5C400" w14:textId="77777777" w:rsidR="00C841DC" w:rsidRPr="00C841DC" w:rsidRDefault="00C841DC" w:rsidP="00C841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41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Best Funds</w:t>
      </w:r>
      <w:r w:rsidRPr="00C841DC">
        <w:rPr>
          <w:rFonts w:ascii="PingFang TC" w:eastAsia="PingFang TC" w:hAnsi="PingFang TC" w:cs="PingFang TC" w:hint="eastAsia"/>
          <w:b/>
          <w:bCs/>
          <w:kern w:val="36"/>
          <w:sz w:val="48"/>
          <w:szCs w:val="48"/>
          <w14:ligatures w14:val="none"/>
        </w:rPr>
        <w:t>｜高评级国际指数基金（</w:t>
      </w:r>
      <w:r w:rsidRPr="00C841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Index Funds</w:t>
      </w:r>
      <w:r w:rsidRPr="00C841DC">
        <w:rPr>
          <w:rFonts w:ascii="PingFang TC" w:eastAsia="PingFang TC" w:hAnsi="PingFang TC" w:cs="PingFang TC"/>
          <w:b/>
          <w:bCs/>
          <w:kern w:val="36"/>
          <w:sz w:val="48"/>
          <w:szCs w:val="48"/>
          <w14:ligatures w14:val="none"/>
        </w:rPr>
        <w:t>）</w:t>
      </w:r>
    </w:p>
    <w:p w14:paraId="68CCF376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A4F04D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（</w:t>
      </w:r>
      <w:r w:rsidRPr="00C841DC">
        <w:rPr>
          <w:rFonts w:ascii="Times New Roman" w:eastAsia="Times New Roman" w:hAnsi="Times New Roman" w:cs="Times New Roman"/>
          <w:kern w:val="0"/>
          <w14:ligatures w14:val="none"/>
        </w:rPr>
        <w:t xml:space="preserve">Morningstar </w:t>
      </w: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数据，截至</w:t>
      </w:r>
      <w:r w:rsidRPr="00C841DC">
        <w:rPr>
          <w:rFonts w:ascii="Times New Roman" w:eastAsia="Times New Roman" w:hAnsi="Times New Roman" w:cs="Times New Roman"/>
          <w:kern w:val="0"/>
          <w14:ligatures w14:val="none"/>
        </w:rPr>
        <w:t xml:space="preserve"> 2025/10/31</w:t>
      </w: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）</w:t>
      </w:r>
      <w:r w:rsidRPr="00C841DC">
        <w:rPr>
          <w:rFonts w:ascii="Times New Roman" w:eastAsia="Times New Roman" w:hAnsi="Times New Roman" w:cs="Times New Roman"/>
          <w:kern w:val="0"/>
          <w14:ligatures w14:val="none"/>
        </w:rPr>
        <w:t xml:space="preserve"> 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94"/>
        <w:gridCol w:w="1110"/>
        <w:gridCol w:w="2133"/>
        <w:gridCol w:w="1070"/>
        <w:gridCol w:w="1243"/>
      </w:tblGrid>
      <w:tr w:rsidR="00C841DC" w:rsidRPr="00C841DC" w14:paraId="5EF9E42F" w14:textId="77777777" w:rsidTr="00C841DC">
        <w:tc>
          <w:tcPr>
            <w:tcW w:w="0" w:type="auto"/>
            <w:hideMark/>
          </w:tcPr>
          <w:p w14:paraId="67A38C2B" w14:textId="77777777" w:rsidR="00C841DC" w:rsidRPr="00C841DC" w:rsidRDefault="00C841DC" w:rsidP="00C841D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0845316E" w14:textId="77777777" w:rsidR="00C841DC" w:rsidRPr="00C841DC" w:rsidRDefault="00C841DC" w:rsidP="00C841D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Ticker</w:t>
            </w:r>
          </w:p>
        </w:tc>
        <w:tc>
          <w:tcPr>
            <w:tcW w:w="0" w:type="auto"/>
            <w:hideMark/>
          </w:tcPr>
          <w:p w14:paraId="6185FA56" w14:textId="77777777" w:rsidR="00C841DC" w:rsidRPr="00C841DC" w:rsidRDefault="00C841DC" w:rsidP="00C841D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hideMark/>
          </w:tcPr>
          <w:p w14:paraId="6BE1A9FA" w14:textId="77777777" w:rsidR="00C841DC" w:rsidRPr="00C841DC" w:rsidRDefault="00C841DC" w:rsidP="00C841D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Expense</w:t>
            </w:r>
          </w:p>
        </w:tc>
        <w:tc>
          <w:tcPr>
            <w:tcW w:w="0" w:type="auto"/>
            <w:hideMark/>
          </w:tcPr>
          <w:p w14:paraId="4B42DBDF" w14:textId="77777777" w:rsidR="00C841DC" w:rsidRPr="00C841DC" w:rsidRDefault="00C841DC" w:rsidP="00C841D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Minimum</w:t>
            </w:r>
          </w:p>
        </w:tc>
      </w:tr>
      <w:tr w:rsidR="00C841DC" w:rsidRPr="00C841DC" w14:paraId="06479137" w14:textId="77777777" w:rsidTr="00C841DC">
        <w:tc>
          <w:tcPr>
            <w:tcW w:w="0" w:type="auto"/>
            <w:hideMark/>
          </w:tcPr>
          <w:p w14:paraId="33B3C7AD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iShares Core MSCI Total Intl </w:t>
            </w:r>
            <w:proofErr w:type="spellStart"/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Stk</w:t>
            </w:r>
            <w:proofErr w:type="spellEnd"/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ETF</w:t>
            </w:r>
          </w:p>
        </w:tc>
        <w:tc>
          <w:tcPr>
            <w:tcW w:w="0" w:type="auto"/>
            <w:hideMark/>
          </w:tcPr>
          <w:p w14:paraId="13000135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IXUS</w:t>
            </w:r>
          </w:p>
        </w:tc>
        <w:tc>
          <w:tcPr>
            <w:tcW w:w="0" w:type="auto"/>
            <w:hideMark/>
          </w:tcPr>
          <w:p w14:paraId="023AFB11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Foreign Large Blend</w:t>
            </w:r>
          </w:p>
        </w:tc>
        <w:tc>
          <w:tcPr>
            <w:tcW w:w="0" w:type="auto"/>
            <w:hideMark/>
          </w:tcPr>
          <w:p w14:paraId="2BBE601E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0.07%</w:t>
            </w:r>
          </w:p>
        </w:tc>
        <w:tc>
          <w:tcPr>
            <w:tcW w:w="0" w:type="auto"/>
            <w:hideMark/>
          </w:tcPr>
          <w:p w14:paraId="417A276E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n/a</w:t>
            </w:r>
          </w:p>
        </w:tc>
      </w:tr>
      <w:tr w:rsidR="00C841DC" w:rsidRPr="00C841DC" w14:paraId="31278A87" w14:textId="77777777" w:rsidTr="00C841DC">
        <w:tc>
          <w:tcPr>
            <w:tcW w:w="0" w:type="auto"/>
            <w:hideMark/>
          </w:tcPr>
          <w:p w14:paraId="029A8DD4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iShares MSCI EAFE Value ETF</w:t>
            </w:r>
          </w:p>
        </w:tc>
        <w:tc>
          <w:tcPr>
            <w:tcW w:w="0" w:type="auto"/>
            <w:hideMark/>
          </w:tcPr>
          <w:p w14:paraId="7E3F9CE2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EFV</w:t>
            </w:r>
          </w:p>
        </w:tc>
        <w:tc>
          <w:tcPr>
            <w:tcW w:w="0" w:type="auto"/>
            <w:hideMark/>
          </w:tcPr>
          <w:p w14:paraId="69728403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Foreign Large Value</w:t>
            </w:r>
          </w:p>
        </w:tc>
        <w:tc>
          <w:tcPr>
            <w:tcW w:w="0" w:type="auto"/>
            <w:hideMark/>
          </w:tcPr>
          <w:p w14:paraId="693F45DF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0.31%</w:t>
            </w:r>
          </w:p>
        </w:tc>
        <w:tc>
          <w:tcPr>
            <w:tcW w:w="0" w:type="auto"/>
            <w:hideMark/>
          </w:tcPr>
          <w:p w14:paraId="3B687399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n/a</w:t>
            </w:r>
          </w:p>
        </w:tc>
      </w:tr>
      <w:tr w:rsidR="00C841DC" w:rsidRPr="00C841DC" w14:paraId="2A4F88B5" w14:textId="77777777" w:rsidTr="00C841DC">
        <w:tc>
          <w:tcPr>
            <w:tcW w:w="0" w:type="auto"/>
            <w:hideMark/>
          </w:tcPr>
          <w:p w14:paraId="54FA1DA1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State Street Global All Cap ex-US Index</w:t>
            </w:r>
          </w:p>
        </w:tc>
        <w:tc>
          <w:tcPr>
            <w:tcW w:w="0" w:type="auto"/>
            <w:hideMark/>
          </w:tcPr>
          <w:p w14:paraId="1A4F995C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SSGVX</w:t>
            </w:r>
          </w:p>
        </w:tc>
        <w:tc>
          <w:tcPr>
            <w:tcW w:w="0" w:type="auto"/>
            <w:hideMark/>
          </w:tcPr>
          <w:p w14:paraId="7ABB192A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Foreign Large Blend</w:t>
            </w:r>
          </w:p>
        </w:tc>
        <w:tc>
          <w:tcPr>
            <w:tcW w:w="0" w:type="auto"/>
            <w:hideMark/>
          </w:tcPr>
          <w:p w14:paraId="76C149AE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0.04%</w:t>
            </w:r>
          </w:p>
        </w:tc>
        <w:tc>
          <w:tcPr>
            <w:tcW w:w="0" w:type="auto"/>
            <w:hideMark/>
          </w:tcPr>
          <w:p w14:paraId="703487ED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$0</w:t>
            </w:r>
          </w:p>
        </w:tc>
      </w:tr>
      <w:tr w:rsidR="00C841DC" w:rsidRPr="00C841DC" w14:paraId="3A4BCC14" w14:textId="77777777" w:rsidTr="00C841DC">
        <w:tc>
          <w:tcPr>
            <w:tcW w:w="0" w:type="auto"/>
            <w:hideMark/>
          </w:tcPr>
          <w:p w14:paraId="483C5A1A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Vanguard European Stock Admiral</w:t>
            </w:r>
          </w:p>
        </w:tc>
        <w:tc>
          <w:tcPr>
            <w:tcW w:w="0" w:type="auto"/>
            <w:hideMark/>
          </w:tcPr>
          <w:p w14:paraId="4E5962D3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VEUSX</w:t>
            </w:r>
          </w:p>
        </w:tc>
        <w:tc>
          <w:tcPr>
            <w:tcW w:w="0" w:type="auto"/>
            <w:hideMark/>
          </w:tcPr>
          <w:p w14:paraId="56310826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Europe</w:t>
            </w:r>
          </w:p>
        </w:tc>
        <w:tc>
          <w:tcPr>
            <w:tcW w:w="0" w:type="auto"/>
            <w:hideMark/>
          </w:tcPr>
          <w:p w14:paraId="32128F4B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0.11%</w:t>
            </w:r>
          </w:p>
        </w:tc>
        <w:tc>
          <w:tcPr>
            <w:tcW w:w="0" w:type="auto"/>
            <w:hideMark/>
          </w:tcPr>
          <w:p w14:paraId="0D1002E5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$3,000</w:t>
            </w:r>
          </w:p>
        </w:tc>
      </w:tr>
      <w:tr w:rsidR="00C841DC" w:rsidRPr="00C841DC" w14:paraId="4A7CF298" w14:textId="77777777" w:rsidTr="00C841DC">
        <w:tc>
          <w:tcPr>
            <w:tcW w:w="0" w:type="auto"/>
            <w:hideMark/>
          </w:tcPr>
          <w:p w14:paraId="08E100A6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Vanguard FTSE All-World ex-US Admiral</w:t>
            </w:r>
          </w:p>
        </w:tc>
        <w:tc>
          <w:tcPr>
            <w:tcW w:w="0" w:type="auto"/>
            <w:hideMark/>
          </w:tcPr>
          <w:p w14:paraId="3AE28A91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VFWAX</w:t>
            </w:r>
          </w:p>
        </w:tc>
        <w:tc>
          <w:tcPr>
            <w:tcW w:w="0" w:type="auto"/>
            <w:hideMark/>
          </w:tcPr>
          <w:p w14:paraId="1FEAA13D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Foreign Large Blend</w:t>
            </w:r>
          </w:p>
        </w:tc>
        <w:tc>
          <w:tcPr>
            <w:tcW w:w="0" w:type="auto"/>
            <w:hideMark/>
          </w:tcPr>
          <w:p w14:paraId="07385C5B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0.12%</w:t>
            </w:r>
          </w:p>
        </w:tc>
        <w:tc>
          <w:tcPr>
            <w:tcW w:w="0" w:type="auto"/>
            <w:hideMark/>
          </w:tcPr>
          <w:p w14:paraId="183BD592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$3,000</w:t>
            </w:r>
          </w:p>
        </w:tc>
      </w:tr>
      <w:tr w:rsidR="00C841DC" w:rsidRPr="00C841DC" w14:paraId="76ECFC1C" w14:textId="77777777" w:rsidTr="00C841DC">
        <w:tc>
          <w:tcPr>
            <w:tcW w:w="0" w:type="auto"/>
            <w:hideMark/>
          </w:tcPr>
          <w:p w14:paraId="36737FAB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Vanguard Intl Dividend Appreciation</w:t>
            </w:r>
          </w:p>
        </w:tc>
        <w:tc>
          <w:tcPr>
            <w:tcW w:w="0" w:type="auto"/>
            <w:hideMark/>
          </w:tcPr>
          <w:p w14:paraId="07F5A3C8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VIAAX</w:t>
            </w:r>
          </w:p>
        </w:tc>
        <w:tc>
          <w:tcPr>
            <w:tcW w:w="0" w:type="auto"/>
            <w:hideMark/>
          </w:tcPr>
          <w:p w14:paraId="7598EF44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Foreign Large Growth</w:t>
            </w:r>
          </w:p>
        </w:tc>
        <w:tc>
          <w:tcPr>
            <w:tcW w:w="0" w:type="auto"/>
            <w:hideMark/>
          </w:tcPr>
          <w:p w14:paraId="07200C14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0.16%</w:t>
            </w:r>
          </w:p>
        </w:tc>
        <w:tc>
          <w:tcPr>
            <w:tcW w:w="0" w:type="auto"/>
            <w:hideMark/>
          </w:tcPr>
          <w:p w14:paraId="737BFEDB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$3,000</w:t>
            </w:r>
          </w:p>
        </w:tc>
      </w:tr>
      <w:tr w:rsidR="00C841DC" w:rsidRPr="00C841DC" w14:paraId="499BF8DE" w14:textId="77777777" w:rsidTr="00C841DC">
        <w:tc>
          <w:tcPr>
            <w:tcW w:w="0" w:type="auto"/>
            <w:hideMark/>
          </w:tcPr>
          <w:p w14:paraId="7C90B53B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Vanguard Total Intl Stock Index Inv</w:t>
            </w:r>
          </w:p>
        </w:tc>
        <w:tc>
          <w:tcPr>
            <w:tcW w:w="0" w:type="auto"/>
            <w:hideMark/>
          </w:tcPr>
          <w:p w14:paraId="56858A66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VGTSX</w:t>
            </w:r>
          </w:p>
        </w:tc>
        <w:tc>
          <w:tcPr>
            <w:tcW w:w="0" w:type="auto"/>
            <w:hideMark/>
          </w:tcPr>
          <w:p w14:paraId="5C1B4F88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Foreign Large Blend</w:t>
            </w:r>
          </w:p>
        </w:tc>
        <w:tc>
          <w:tcPr>
            <w:tcW w:w="0" w:type="auto"/>
            <w:hideMark/>
          </w:tcPr>
          <w:p w14:paraId="1EC70480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0.17%</w:t>
            </w:r>
          </w:p>
        </w:tc>
        <w:tc>
          <w:tcPr>
            <w:tcW w:w="0" w:type="auto"/>
            <w:hideMark/>
          </w:tcPr>
          <w:p w14:paraId="54047226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$0</w:t>
            </w:r>
          </w:p>
        </w:tc>
      </w:tr>
      <w:tr w:rsidR="00C841DC" w:rsidRPr="00C841DC" w14:paraId="5AD95C00" w14:textId="77777777" w:rsidTr="00C841DC">
        <w:tc>
          <w:tcPr>
            <w:tcW w:w="0" w:type="auto"/>
            <w:hideMark/>
          </w:tcPr>
          <w:p w14:paraId="7FA7270C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Vanguard Total World Stock Admiral</w:t>
            </w:r>
          </w:p>
        </w:tc>
        <w:tc>
          <w:tcPr>
            <w:tcW w:w="0" w:type="auto"/>
            <w:hideMark/>
          </w:tcPr>
          <w:p w14:paraId="4A9205B9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VTWAX</w:t>
            </w:r>
          </w:p>
        </w:tc>
        <w:tc>
          <w:tcPr>
            <w:tcW w:w="0" w:type="auto"/>
            <w:hideMark/>
          </w:tcPr>
          <w:p w14:paraId="5EF2688A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Global Large Blend</w:t>
            </w:r>
          </w:p>
        </w:tc>
        <w:tc>
          <w:tcPr>
            <w:tcW w:w="0" w:type="auto"/>
            <w:hideMark/>
          </w:tcPr>
          <w:p w14:paraId="14A16A46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0.10%</w:t>
            </w:r>
          </w:p>
        </w:tc>
        <w:tc>
          <w:tcPr>
            <w:tcW w:w="0" w:type="auto"/>
            <w:hideMark/>
          </w:tcPr>
          <w:p w14:paraId="0F76C7BD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$3,000</w:t>
            </w:r>
          </w:p>
        </w:tc>
      </w:tr>
    </w:tbl>
    <w:p w14:paraId="5FAB4AA2" w14:textId="77777777" w:rsidR="00C841DC" w:rsidRPr="00C841DC" w:rsidRDefault="00AB3883" w:rsidP="00C84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83">
        <w:rPr>
          <w:rFonts w:ascii="Times New Roman" w:eastAsia="Times New Roman" w:hAnsi="Times New Roman" w:cs="Times New Roman"/>
          <w:noProof/>
          <w:kern w:val="0"/>
        </w:rPr>
        <w:pict w14:anchorId="1F43DF4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95B1280" w14:textId="77777777" w:rsidR="00C841DC" w:rsidRPr="00C841DC" w:rsidRDefault="00C841DC" w:rsidP="00C841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41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Best Actively Managed Funds</w:t>
      </w:r>
      <w:r w:rsidRPr="00C841DC">
        <w:rPr>
          <w:rFonts w:ascii="PingFang TC" w:eastAsia="PingFang TC" w:hAnsi="PingFang TC" w:cs="PingFang TC" w:hint="eastAsia"/>
          <w:b/>
          <w:bCs/>
          <w:kern w:val="36"/>
          <w:sz w:val="48"/>
          <w:szCs w:val="48"/>
          <w14:ligatures w14:val="none"/>
        </w:rPr>
        <w:t>｜高评级主动基</w:t>
      </w:r>
      <w:r w:rsidRPr="00C841DC">
        <w:rPr>
          <w:rFonts w:ascii="PingFang TC" w:eastAsia="PingFang TC" w:hAnsi="PingFang TC" w:cs="PingFang TC"/>
          <w:b/>
          <w:bCs/>
          <w:kern w:val="36"/>
          <w:sz w:val="48"/>
          <w:szCs w:val="48"/>
          <w14:ligatures w14:val="none"/>
        </w:rPr>
        <w:t>金</w:t>
      </w:r>
    </w:p>
    <w:p w14:paraId="45E196AF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5E9DC6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（</w:t>
      </w:r>
      <w:r w:rsidRPr="00C841DC">
        <w:rPr>
          <w:rFonts w:ascii="Times New Roman" w:eastAsia="Times New Roman" w:hAnsi="Times New Roman" w:cs="Times New Roman"/>
          <w:kern w:val="0"/>
          <w14:ligatures w14:val="none"/>
        </w:rPr>
        <w:t>Morningstar</w:t>
      </w: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，</w:t>
      </w:r>
      <w:r w:rsidRPr="00C841DC">
        <w:rPr>
          <w:rFonts w:ascii="Times New Roman" w:eastAsia="Times New Roman" w:hAnsi="Times New Roman" w:cs="Times New Roman"/>
          <w:kern w:val="0"/>
          <w14:ligatures w14:val="none"/>
        </w:rPr>
        <w:t>2025/10</w:t>
      </w: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）</w:t>
      </w:r>
      <w:r w:rsidRPr="00C841DC">
        <w:rPr>
          <w:rFonts w:ascii="Times New Roman" w:eastAsia="Times New Roman" w:hAnsi="Times New Roman" w:cs="Times New Roman"/>
          <w:kern w:val="0"/>
          <w14:ligatures w14:val="none"/>
        </w:rPr>
        <w:t xml:space="preserve"> 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68"/>
        <w:gridCol w:w="1136"/>
        <w:gridCol w:w="2600"/>
        <w:gridCol w:w="1070"/>
        <w:gridCol w:w="876"/>
      </w:tblGrid>
      <w:tr w:rsidR="00C841DC" w:rsidRPr="00C841DC" w14:paraId="54480C73" w14:textId="77777777" w:rsidTr="00C841DC">
        <w:tc>
          <w:tcPr>
            <w:tcW w:w="0" w:type="auto"/>
            <w:hideMark/>
          </w:tcPr>
          <w:p w14:paraId="1AD7ABD8" w14:textId="77777777" w:rsidR="00C841DC" w:rsidRPr="00C841DC" w:rsidRDefault="00C841DC" w:rsidP="00C841D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5EE83B22" w14:textId="77777777" w:rsidR="00C841DC" w:rsidRPr="00C841DC" w:rsidRDefault="00C841DC" w:rsidP="00C841D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Ticker</w:t>
            </w:r>
          </w:p>
        </w:tc>
        <w:tc>
          <w:tcPr>
            <w:tcW w:w="0" w:type="auto"/>
            <w:hideMark/>
          </w:tcPr>
          <w:p w14:paraId="0E317400" w14:textId="77777777" w:rsidR="00C841DC" w:rsidRPr="00C841DC" w:rsidRDefault="00C841DC" w:rsidP="00C841D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hideMark/>
          </w:tcPr>
          <w:p w14:paraId="1A3BE604" w14:textId="77777777" w:rsidR="00C841DC" w:rsidRPr="00C841DC" w:rsidRDefault="00C841DC" w:rsidP="00C841D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Expense</w:t>
            </w:r>
          </w:p>
        </w:tc>
        <w:tc>
          <w:tcPr>
            <w:tcW w:w="0" w:type="auto"/>
            <w:hideMark/>
          </w:tcPr>
          <w:p w14:paraId="06F3DBE8" w14:textId="77777777" w:rsidR="00C841DC" w:rsidRPr="00C841DC" w:rsidRDefault="00C841DC" w:rsidP="00C841D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Min</w:t>
            </w:r>
          </w:p>
        </w:tc>
      </w:tr>
      <w:tr w:rsidR="00C841DC" w:rsidRPr="00C841DC" w14:paraId="1498AD23" w14:textId="77777777" w:rsidTr="00C841DC">
        <w:tc>
          <w:tcPr>
            <w:tcW w:w="0" w:type="auto"/>
            <w:hideMark/>
          </w:tcPr>
          <w:p w14:paraId="6B128851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American Funds New Perspective A</w:t>
            </w:r>
          </w:p>
        </w:tc>
        <w:tc>
          <w:tcPr>
            <w:tcW w:w="0" w:type="auto"/>
            <w:hideMark/>
          </w:tcPr>
          <w:p w14:paraId="410484E3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ANWPX</w:t>
            </w:r>
          </w:p>
        </w:tc>
        <w:tc>
          <w:tcPr>
            <w:tcW w:w="0" w:type="auto"/>
            <w:hideMark/>
          </w:tcPr>
          <w:p w14:paraId="656ABCDF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Global Large Growth</w:t>
            </w:r>
          </w:p>
        </w:tc>
        <w:tc>
          <w:tcPr>
            <w:tcW w:w="0" w:type="auto"/>
            <w:hideMark/>
          </w:tcPr>
          <w:p w14:paraId="4ADCB0FF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0.73%</w:t>
            </w:r>
          </w:p>
        </w:tc>
        <w:tc>
          <w:tcPr>
            <w:tcW w:w="0" w:type="auto"/>
            <w:hideMark/>
          </w:tcPr>
          <w:p w14:paraId="0F7EF564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$250</w:t>
            </w:r>
          </w:p>
        </w:tc>
      </w:tr>
      <w:tr w:rsidR="00C841DC" w:rsidRPr="00C841DC" w14:paraId="3270E4DF" w14:textId="77777777" w:rsidTr="00C841DC">
        <w:tc>
          <w:tcPr>
            <w:tcW w:w="0" w:type="auto"/>
            <w:hideMark/>
          </w:tcPr>
          <w:p w14:paraId="4036C6D8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American Funds New World A</w:t>
            </w:r>
          </w:p>
        </w:tc>
        <w:tc>
          <w:tcPr>
            <w:tcW w:w="0" w:type="auto"/>
            <w:hideMark/>
          </w:tcPr>
          <w:p w14:paraId="10772FFA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NEWFX</w:t>
            </w:r>
          </w:p>
        </w:tc>
        <w:tc>
          <w:tcPr>
            <w:tcW w:w="0" w:type="auto"/>
            <w:hideMark/>
          </w:tcPr>
          <w:p w14:paraId="477845B0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Emerging Mkts</w:t>
            </w:r>
          </w:p>
        </w:tc>
        <w:tc>
          <w:tcPr>
            <w:tcW w:w="0" w:type="auto"/>
            <w:hideMark/>
          </w:tcPr>
          <w:p w14:paraId="6C164FCB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0.98%</w:t>
            </w:r>
          </w:p>
        </w:tc>
        <w:tc>
          <w:tcPr>
            <w:tcW w:w="0" w:type="auto"/>
            <w:hideMark/>
          </w:tcPr>
          <w:p w14:paraId="2F001D4D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$250</w:t>
            </w:r>
          </w:p>
        </w:tc>
      </w:tr>
      <w:tr w:rsidR="00C841DC" w:rsidRPr="00C841DC" w14:paraId="2ABB9830" w14:textId="77777777" w:rsidTr="00C841DC">
        <w:tc>
          <w:tcPr>
            <w:tcW w:w="0" w:type="auto"/>
            <w:hideMark/>
          </w:tcPr>
          <w:p w14:paraId="300906F2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American Funds SMALLCAP World A</w:t>
            </w:r>
          </w:p>
        </w:tc>
        <w:tc>
          <w:tcPr>
            <w:tcW w:w="0" w:type="auto"/>
            <w:hideMark/>
          </w:tcPr>
          <w:p w14:paraId="655C33C6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SMCWX</w:t>
            </w:r>
          </w:p>
        </w:tc>
        <w:tc>
          <w:tcPr>
            <w:tcW w:w="0" w:type="auto"/>
            <w:hideMark/>
          </w:tcPr>
          <w:p w14:paraId="1D3B262C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Global Small/Mid</w:t>
            </w:r>
          </w:p>
        </w:tc>
        <w:tc>
          <w:tcPr>
            <w:tcW w:w="0" w:type="auto"/>
            <w:hideMark/>
          </w:tcPr>
          <w:p w14:paraId="01342767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1.04%</w:t>
            </w:r>
          </w:p>
        </w:tc>
        <w:tc>
          <w:tcPr>
            <w:tcW w:w="0" w:type="auto"/>
            <w:hideMark/>
          </w:tcPr>
          <w:p w14:paraId="48D83D7C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$250</w:t>
            </w:r>
          </w:p>
        </w:tc>
      </w:tr>
      <w:tr w:rsidR="00C841DC" w:rsidRPr="00C841DC" w14:paraId="41ED4AB8" w14:textId="77777777" w:rsidTr="00C841DC">
        <w:tc>
          <w:tcPr>
            <w:tcW w:w="0" w:type="auto"/>
            <w:hideMark/>
          </w:tcPr>
          <w:p w14:paraId="79CA3C15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Dodge &amp; Cox Global Stock I</w:t>
            </w:r>
          </w:p>
        </w:tc>
        <w:tc>
          <w:tcPr>
            <w:tcW w:w="0" w:type="auto"/>
            <w:hideMark/>
          </w:tcPr>
          <w:p w14:paraId="5E6FD8E1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DODWX</w:t>
            </w:r>
          </w:p>
        </w:tc>
        <w:tc>
          <w:tcPr>
            <w:tcW w:w="0" w:type="auto"/>
            <w:hideMark/>
          </w:tcPr>
          <w:p w14:paraId="03E0151F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Global Large Value</w:t>
            </w:r>
          </w:p>
        </w:tc>
        <w:tc>
          <w:tcPr>
            <w:tcW w:w="0" w:type="auto"/>
            <w:hideMark/>
          </w:tcPr>
          <w:p w14:paraId="4696F085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0.62%</w:t>
            </w:r>
          </w:p>
        </w:tc>
        <w:tc>
          <w:tcPr>
            <w:tcW w:w="0" w:type="auto"/>
            <w:hideMark/>
          </w:tcPr>
          <w:p w14:paraId="2796093E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$2,500</w:t>
            </w:r>
          </w:p>
        </w:tc>
      </w:tr>
      <w:tr w:rsidR="00C841DC" w:rsidRPr="00C841DC" w14:paraId="36C7E33B" w14:textId="77777777" w:rsidTr="00C841DC">
        <w:tc>
          <w:tcPr>
            <w:tcW w:w="0" w:type="auto"/>
            <w:hideMark/>
          </w:tcPr>
          <w:p w14:paraId="47583B5A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Dodge &amp; Cox International Stock I</w:t>
            </w:r>
          </w:p>
        </w:tc>
        <w:tc>
          <w:tcPr>
            <w:tcW w:w="0" w:type="auto"/>
            <w:hideMark/>
          </w:tcPr>
          <w:p w14:paraId="1EE9C29D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DODFX</w:t>
            </w:r>
          </w:p>
        </w:tc>
        <w:tc>
          <w:tcPr>
            <w:tcW w:w="0" w:type="auto"/>
            <w:hideMark/>
          </w:tcPr>
          <w:p w14:paraId="08DBCF7D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Foreign Large Value</w:t>
            </w:r>
          </w:p>
        </w:tc>
        <w:tc>
          <w:tcPr>
            <w:tcW w:w="0" w:type="auto"/>
            <w:hideMark/>
          </w:tcPr>
          <w:p w14:paraId="73B3A8B4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0.62%</w:t>
            </w:r>
          </w:p>
        </w:tc>
        <w:tc>
          <w:tcPr>
            <w:tcW w:w="0" w:type="auto"/>
            <w:hideMark/>
          </w:tcPr>
          <w:p w14:paraId="4E5BE75E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$2,500</w:t>
            </w:r>
          </w:p>
        </w:tc>
      </w:tr>
      <w:tr w:rsidR="00C841DC" w:rsidRPr="00C841DC" w14:paraId="2BA08BF2" w14:textId="77777777" w:rsidTr="00C841DC">
        <w:tc>
          <w:tcPr>
            <w:tcW w:w="0" w:type="auto"/>
            <w:hideMark/>
          </w:tcPr>
          <w:p w14:paraId="2D651F5C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Fidelity Advisor Intl </w:t>
            </w:r>
            <w:proofErr w:type="spellStart"/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</w:t>
            </w:r>
            <w:proofErr w:type="spellEnd"/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Cap Opps Z</w:t>
            </w:r>
          </w:p>
        </w:tc>
        <w:tc>
          <w:tcPr>
            <w:tcW w:w="0" w:type="auto"/>
            <w:hideMark/>
          </w:tcPr>
          <w:p w14:paraId="1B70C67E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FIQJX</w:t>
            </w:r>
          </w:p>
        </w:tc>
        <w:tc>
          <w:tcPr>
            <w:tcW w:w="0" w:type="auto"/>
            <w:hideMark/>
          </w:tcPr>
          <w:p w14:paraId="507BA0D8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Foreign Small/Mid Growth</w:t>
            </w:r>
          </w:p>
        </w:tc>
        <w:tc>
          <w:tcPr>
            <w:tcW w:w="0" w:type="auto"/>
            <w:hideMark/>
          </w:tcPr>
          <w:p w14:paraId="31D66CD7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0.87%</w:t>
            </w:r>
          </w:p>
        </w:tc>
        <w:tc>
          <w:tcPr>
            <w:tcW w:w="0" w:type="auto"/>
            <w:hideMark/>
          </w:tcPr>
          <w:p w14:paraId="0A1A3CF0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n/a</w:t>
            </w:r>
          </w:p>
        </w:tc>
      </w:tr>
      <w:tr w:rsidR="00C841DC" w:rsidRPr="00C841DC" w14:paraId="7842CA95" w14:textId="77777777" w:rsidTr="00C841DC">
        <w:tc>
          <w:tcPr>
            <w:tcW w:w="0" w:type="auto"/>
            <w:hideMark/>
          </w:tcPr>
          <w:p w14:paraId="492584B3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Fidelity Diversified International</w:t>
            </w:r>
          </w:p>
        </w:tc>
        <w:tc>
          <w:tcPr>
            <w:tcW w:w="0" w:type="auto"/>
            <w:hideMark/>
          </w:tcPr>
          <w:p w14:paraId="3F60B34D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FDIVX</w:t>
            </w:r>
          </w:p>
        </w:tc>
        <w:tc>
          <w:tcPr>
            <w:tcW w:w="0" w:type="auto"/>
            <w:hideMark/>
          </w:tcPr>
          <w:p w14:paraId="7BCB5681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Foreign Large Growth</w:t>
            </w:r>
          </w:p>
        </w:tc>
        <w:tc>
          <w:tcPr>
            <w:tcW w:w="0" w:type="auto"/>
            <w:hideMark/>
          </w:tcPr>
          <w:p w14:paraId="42C28248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0.60%</w:t>
            </w:r>
          </w:p>
        </w:tc>
        <w:tc>
          <w:tcPr>
            <w:tcW w:w="0" w:type="auto"/>
            <w:hideMark/>
          </w:tcPr>
          <w:p w14:paraId="3B0CE1E4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n/a</w:t>
            </w:r>
          </w:p>
        </w:tc>
      </w:tr>
      <w:tr w:rsidR="00C841DC" w:rsidRPr="00C841DC" w14:paraId="46D022B2" w14:textId="77777777" w:rsidTr="00C841DC">
        <w:tc>
          <w:tcPr>
            <w:tcW w:w="0" w:type="auto"/>
            <w:hideMark/>
          </w:tcPr>
          <w:p w14:paraId="35629F67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Fidelity International Discovery</w:t>
            </w:r>
          </w:p>
        </w:tc>
        <w:tc>
          <w:tcPr>
            <w:tcW w:w="0" w:type="auto"/>
            <w:hideMark/>
          </w:tcPr>
          <w:p w14:paraId="238A1434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FIGRX</w:t>
            </w:r>
          </w:p>
        </w:tc>
        <w:tc>
          <w:tcPr>
            <w:tcW w:w="0" w:type="auto"/>
            <w:hideMark/>
          </w:tcPr>
          <w:p w14:paraId="0335C3F2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Foreign Large Growth</w:t>
            </w:r>
          </w:p>
        </w:tc>
        <w:tc>
          <w:tcPr>
            <w:tcW w:w="0" w:type="auto"/>
            <w:hideMark/>
          </w:tcPr>
          <w:p w14:paraId="40AABF1B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0.58%</w:t>
            </w:r>
          </w:p>
        </w:tc>
        <w:tc>
          <w:tcPr>
            <w:tcW w:w="0" w:type="auto"/>
            <w:hideMark/>
          </w:tcPr>
          <w:p w14:paraId="71723E62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n/a</w:t>
            </w:r>
          </w:p>
        </w:tc>
      </w:tr>
      <w:tr w:rsidR="00C841DC" w:rsidRPr="00C841DC" w14:paraId="3280ABDE" w14:textId="77777777" w:rsidTr="00C841DC">
        <w:tc>
          <w:tcPr>
            <w:tcW w:w="0" w:type="auto"/>
            <w:hideMark/>
          </w:tcPr>
          <w:p w14:paraId="39CFF27D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Fidelity Overseas</w:t>
            </w:r>
          </w:p>
        </w:tc>
        <w:tc>
          <w:tcPr>
            <w:tcW w:w="0" w:type="auto"/>
            <w:hideMark/>
          </w:tcPr>
          <w:p w14:paraId="7996677E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FOSFX</w:t>
            </w:r>
          </w:p>
        </w:tc>
        <w:tc>
          <w:tcPr>
            <w:tcW w:w="0" w:type="auto"/>
            <w:hideMark/>
          </w:tcPr>
          <w:p w14:paraId="1A0D54EC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Foreign Large Growth</w:t>
            </w:r>
          </w:p>
        </w:tc>
        <w:tc>
          <w:tcPr>
            <w:tcW w:w="0" w:type="auto"/>
            <w:hideMark/>
          </w:tcPr>
          <w:p w14:paraId="0C7F96DD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0.69%</w:t>
            </w:r>
          </w:p>
        </w:tc>
        <w:tc>
          <w:tcPr>
            <w:tcW w:w="0" w:type="auto"/>
            <w:hideMark/>
          </w:tcPr>
          <w:p w14:paraId="15CB4772" w14:textId="77777777" w:rsidR="00C841DC" w:rsidRPr="00C841DC" w:rsidRDefault="00C841DC" w:rsidP="00C841D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1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n/a</w:t>
            </w:r>
          </w:p>
        </w:tc>
      </w:tr>
    </w:tbl>
    <w:p w14:paraId="0D4E3A1E" w14:textId="77777777" w:rsidR="00C841DC" w:rsidRPr="00C841DC" w:rsidRDefault="00AB3883" w:rsidP="00C84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83">
        <w:rPr>
          <w:rFonts w:ascii="Times New Roman" w:eastAsia="Times New Roman" w:hAnsi="Times New Roman" w:cs="Times New Roman"/>
          <w:noProof/>
          <w:kern w:val="0"/>
        </w:rPr>
        <w:pict w14:anchorId="09DA5B4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D185BE8" w14:textId="77777777" w:rsidR="00C841DC" w:rsidRPr="00C841DC" w:rsidRDefault="00C841DC" w:rsidP="00C841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41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Pairs Well</w:t>
      </w:r>
      <w:r w:rsidRPr="00C841DC">
        <w:rPr>
          <w:rFonts w:ascii="PingFang TC" w:eastAsia="PingFang TC" w:hAnsi="PingFang TC" w:cs="PingFang TC" w:hint="eastAsia"/>
          <w:b/>
          <w:bCs/>
          <w:kern w:val="36"/>
          <w:sz w:val="48"/>
          <w:szCs w:val="48"/>
          <w14:ligatures w14:val="none"/>
        </w:rPr>
        <w:t>｜哪些资产与国际股票搭配良好</w:t>
      </w:r>
      <w:r w:rsidRPr="00C841DC">
        <w:rPr>
          <w:rFonts w:ascii="PingFang TC" w:eastAsia="PingFang TC" w:hAnsi="PingFang TC" w:cs="PingFang TC"/>
          <w:b/>
          <w:bCs/>
          <w:kern w:val="36"/>
          <w:sz w:val="48"/>
          <w:szCs w:val="48"/>
          <w14:ligatures w14:val="none"/>
        </w:rPr>
        <w:t>？</w:t>
      </w:r>
    </w:p>
    <w:p w14:paraId="7A8A7FEF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5AFDEB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DC">
        <w:rPr>
          <w:rFonts w:ascii="Times New Roman" w:eastAsia="Times New Roman" w:hAnsi="Times New Roman" w:cs="Times New Roman"/>
          <w:kern w:val="0"/>
          <w14:ligatures w14:val="none"/>
        </w:rPr>
        <w:t xml:space="preserve">Morningstar </w:t>
      </w: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建议与以下资产搭配</w:t>
      </w:r>
      <w:r w:rsidRPr="00C841DC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73CBF137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F1CACE" w14:textId="77777777" w:rsidR="00C841DC" w:rsidRPr="00C841DC" w:rsidRDefault="00C841DC" w:rsidP="00C84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41DC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（</w:t>
      </w:r>
      <w:r w:rsidRPr="00C841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 w:rsidRPr="00C841DC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）债券基</w:t>
      </w:r>
      <w:r w:rsidRPr="00C841DC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金</w:t>
      </w:r>
    </w:p>
    <w:p w14:paraId="63FE3C64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5FB666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在股票下跌时通常提供缓冲（</w:t>
      </w:r>
      <w:r w:rsidRPr="00C841DC">
        <w:rPr>
          <w:rFonts w:ascii="Times New Roman" w:eastAsia="Times New Roman" w:hAnsi="Times New Roman" w:cs="Times New Roman"/>
          <w:kern w:val="0"/>
          <w14:ligatures w14:val="none"/>
        </w:rPr>
        <w:t xml:space="preserve">2022 </w:t>
      </w: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年因通胀而例外）</w:t>
      </w:r>
      <w:r w:rsidRPr="00C841DC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11E53A61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FD4E1E" w14:textId="77777777" w:rsidR="00C841DC" w:rsidRPr="00C841DC" w:rsidRDefault="00C841DC" w:rsidP="00C841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41DC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（</w:t>
      </w:r>
      <w:r w:rsidRPr="00C841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</w:t>
      </w:r>
      <w:r w:rsidRPr="00C841DC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）美国大盘股票基</w:t>
      </w:r>
      <w:r w:rsidRPr="00C841DC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金</w:t>
      </w:r>
    </w:p>
    <w:p w14:paraId="0DAA9531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2A266E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美国股票占全球股市市值约</w:t>
      </w:r>
      <w:r w:rsidRPr="00C841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41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60%</w:t>
      </w: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，是大多数投资者的核心配置</w:t>
      </w:r>
      <w:r w:rsidRPr="00C841DC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40113B8D" w14:textId="77777777" w:rsidR="00C841DC" w:rsidRPr="00C841DC" w:rsidRDefault="00AB3883" w:rsidP="00C84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3883">
        <w:rPr>
          <w:rFonts w:ascii="Times New Roman" w:eastAsia="Times New Roman" w:hAnsi="Times New Roman" w:cs="Times New Roman"/>
          <w:noProof/>
          <w:kern w:val="0"/>
        </w:rPr>
        <w:pict w14:anchorId="18EC5F2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0267825" w14:textId="77777777" w:rsidR="00C841DC" w:rsidRPr="00C841DC" w:rsidRDefault="00C841DC" w:rsidP="00C841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41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Conclusion</w:t>
      </w:r>
      <w:r w:rsidRPr="00C841DC">
        <w:rPr>
          <w:rFonts w:ascii="PingFang TC" w:eastAsia="PingFang TC" w:hAnsi="PingFang TC" w:cs="PingFang TC" w:hint="eastAsia"/>
          <w:b/>
          <w:bCs/>
          <w:kern w:val="36"/>
          <w:sz w:val="48"/>
          <w:szCs w:val="48"/>
          <w14:ligatures w14:val="none"/>
        </w:rPr>
        <w:t>｜是否应该投资国际股票</w:t>
      </w:r>
      <w:r w:rsidRPr="00C841DC">
        <w:rPr>
          <w:rFonts w:ascii="PingFang TC" w:eastAsia="PingFang TC" w:hAnsi="PingFang TC" w:cs="PingFang TC"/>
          <w:b/>
          <w:bCs/>
          <w:kern w:val="36"/>
          <w:sz w:val="48"/>
          <w:szCs w:val="48"/>
          <w14:ligatures w14:val="none"/>
        </w:rPr>
        <w:t>？</w:t>
      </w:r>
    </w:p>
    <w:p w14:paraId="0EDC212D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F166E2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国际股票不会在每个时期表现最佳，但长期来看</w:t>
      </w:r>
      <w:r w:rsidRPr="00C841DC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2104B409" w14:textId="77777777" w:rsidR="00C841DC" w:rsidRPr="00C841DC" w:rsidRDefault="00C841DC" w:rsidP="00C841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回报</w:t>
      </w:r>
      <w:r w:rsidRPr="00C841DC">
        <w:rPr>
          <w:rFonts w:ascii="SimSun" w:eastAsia="SimSun" w:hAnsi="SimSun" w:cs="SimSun" w:hint="eastAsia"/>
          <w:kern w:val="0"/>
          <w14:ligatures w14:val="none"/>
        </w:rPr>
        <w:t>稳</w:t>
      </w:r>
      <w:r w:rsidRPr="00C841DC">
        <w:rPr>
          <w:rFonts w:ascii="PingFang TC" w:eastAsia="PingFang TC" w:hAnsi="PingFang TC" w:cs="PingFang TC"/>
          <w:kern w:val="0"/>
          <w14:ligatures w14:val="none"/>
        </w:rPr>
        <w:t>健</w:t>
      </w:r>
    </w:p>
    <w:p w14:paraId="4C7B7F22" w14:textId="77777777" w:rsidR="00C841DC" w:rsidRPr="00C841DC" w:rsidRDefault="00C841DC" w:rsidP="00C841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提供美元弱势时的对</w:t>
      </w:r>
      <w:r w:rsidRPr="00C841DC">
        <w:rPr>
          <w:rFonts w:ascii="PingFang TC" w:eastAsia="PingFang TC" w:hAnsi="PingFang TC" w:cs="PingFang TC"/>
          <w:kern w:val="0"/>
          <w14:ligatures w14:val="none"/>
        </w:rPr>
        <w:t>冲</w:t>
      </w:r>
    </w:p>
    <w:p w14:paraId="38C9083B" w14:textId="77777777" w:rsidR="00C841DC" w:rsidRPr="00C841DC" w:rsidRDefault="00C841DC" w:rsidP="00C841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提供全球多元</w:t>
      </w:r>
      <w:r w:rsidRPr="00C841DC">
        <w:rPr>
          <w:rFonts w:ascii="PingFang TC" w:eastAsia="PingFang TC" w:hAnsi="PingFang TC" w:cs="PingFang TC"/>
          <w:kern w:val="0"/>
          <w14:ligatures w14:val="none"/>
        </w:rPr>
        <w:t>化</w:t>
      </w:r>
    </w:p>
    <w:p w14:paraId="134D80D9" w14:textId="77777777" w:rsidR="00C841DC" w:rsidRPr="00C841DC" w:rsidRDefault="00C841DC" w:rsidP="00C841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覆盖许多全球领先企业（</w:t>
      </w:r>
      <w:r w:rsidRPr="00C841DC">
        <w:rPr>
          <w:rFonts w:ascii="Times New Roman" w:eastAsia="Times New Roman" w:hAnsi="Times New Roman" w:cs="Times New Roman"/>
          <w:kern w:val="0"/>
          <w14:ligatures w14:val="none"/>
        </w:rPr>
        <w:t>Nestlé</w:t>
      </w: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、</w:t>
      </w:r>
      <w:r w:rsidRPr="00C841DC">
        <w:rPr>
          <w:rFonts w:ascii="Times New Roman" w:eastAsia="Times New Roman" w:hAnsi="Times New Roman" w:cs="Times New Roman"/>
          <w:kern w:val="0"/>
          <w14:ligatures w14:val="none"/>
        </w:rPr>
        <w:t>Samsung</w:t>
      </w: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、</w:t>
      </w:r>
      <w:r w:rsidRPr="00C841DC">
        <w:rPr>
          <w:rFonts w:ascii="Times New Roman" w:eastAsia="Times New Roman" w:hAnsi="Times New Roman" w:cs="Times New Roman"/>
          <w:kern w:val="0"/>
          <w14:ligatures w14:val="none"/>
        </w:rPr>
        <w:t>Novo Nordisk</w:t>
      </w: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等</w:t>
      </w:r>
      <w:r w:rsidRPr="00C841DC">
        <w:rPr>
          <w:rFonts w:ascii="PingFang TC" w:eastAsia="PingFang TC" w:hAnsi="PingFang TC" w:cs="PingFang TC"/>
          <w:kern w:val="0"/>
          <w14:ligatures w14:val="none"/>
        </w:rPr>
        <w:t>）</w:t>
      </w:r>
    </w:p>
    <w:p w14:paraId="1F54CE44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79BA7B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因此，</w:t>
      </w:r>
      <w:r w:rsidRPr="00C841DC">
        <w:rPr>
          <w:rFonts w:ascii="Times New Roman" w:eastAsia="Times New Roman" w:hAnsi="Times New Roman" w:cs="Times New Roman"/>
          <w:kern w:val="0"/>
          <w14:ligatures w14:val="none"/>
        </w:rPr>
        <w:t xml:space="preserve">Morningstar </w:t>
      </w:r>
      <w:r w:rsidRPr="00C841DC">
        <w:rPr>
          <w:rFonts w:ascii="PingFang TC" w:eastAsia="PingFang TC" w:hAnsi="PingFang TC" w:cs="PingFang TC" w:hint="eastAsia"/>
          <w:kern w:val="0"/>
          <w14:ligatures w14:val="none"/>
        </w:rPr>
        <w:t>的观点是</w:t>
      </w:r>
      <w:r w:rsidRPr="00C841DC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3FF3C7DE" w14:textId="77777777" w:rsidR="00C841DC" w:rsidRPr="00C841DC" w:rsidRDefault="00C841DC" w:rsidP="00C8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47588F" w14:textId="77777777" w:rsidR="00C841DC" w:rsidRPr="00C841DC" w:rsidRDefault="00C841DC" w:rsidP="00C841DC">
      <w:pPr>
        <w:spacing w:after="0" w:line="240" w:lineRule="auto"/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C841DC">
        <w:rPr>
          <w:rFonts w:ascii="PingFang TC" w:eastAsia="PingFang TC" w:hAnsi="PingFang TC" w:cs="PingFang TC" w:hint="eastAsia"/>
          <w:b/>
          <w:bCs/>
          <w:color w:val="0E0E0E"/>
          <w:kern w:val="0"/>
          <w:sz w:val="21"/>
          <w:szCs w:val="21"/>
          <w14:ligatures w14:val="none"/>
        </w:rPr>
        <w:t>大多数投资者应当在组合中持有一定比例的国际股票</w:t>
      </w:r>
      <w:r w:rsidRPr="00C841DC">
        <w:rPr>
          <w:rFonts w:ascii="PingFang TC" w:eastAsia="PingFang TC" w:hAnsi="PingFang TC" w:cs="PingFang TC"/>
          <w:b/>
          <w:bCs/>
          <w:color w:val="0E0E0E"/>
          <w:kern w:val="0"/>
          <w:sz w:val="21"/>
          <w:szCs w:val="21"/>
          <w14:ligatures w14:val="none"/>
        </w:rPr>
        <w:t>。</w:t>
      </w:r>
    </w:p>
    <w:p w14:paraId="7A1D0F4E" w14:textId="1AEC207A" w:rsidR="00C841DC" w:rsidRPr="00C841DC" w:rsidRDefault="00C841DC" w:rsidP="00C841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409608" w14:textId="77777777" w:rsidR="00C841DC" w:rsidRDefault="00C841DC"/>
    <w:sectPr w:rsidR="00C841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D05D5A"/>
    <w:multiLevelType w:val="multilevel"/>
    <w:tmpl w:val="0672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E78C2"/>
    <w:multiLevelType w:val="multilevel"/>
    <w:tmpl w:val="D648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946E1A"/>
    <w:multiLevelType w:val="multilevel"/>
    <w:tmpl w:val="795A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7C3F8E"/>
    <w:multiLevelType w:val="multilevel"/>
    <w:tmpl w:val="EAA2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A93425"/>
    <w:multiLevelType w:val="multilevel"/>
    <w:tmpl w:val="6F6E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2C602C"/>
    <w:multiLevelType w:val="multilevel"/>
    <w:tmpl w:val="6026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10350D"/>
    <w:multiLevelType w:val="multilevel"/>
    <w:tmpl w:val="F9FE2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4B4CF5"/>
    <w:multiLevelType w:val="multilevel"/>
    <w:tmpl w:val="5628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097498"/>
    <w:multiLevelType w:val="multilevel"/>
    <w:tmpl w:val="9068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888566">
    <w:abstractNumId w:val="3"/>
  </w:num>
  <w:num w:numId="2" w16cid:durableId="1568684788">
    <w:abstractNumId w:val="7"/>
  </w:num>
  <w:num w:numId="3" w16cid:durableId="686062788">
    <w:abstractNumId w:val="8"/>
  </w:num>
  <w:num w:numId="4" w16cid:durableId="1335836897">
    <w:abstractNumId w:val="4"/>
  </w:num>
  <w:num w:numId="5" w16cid:durableId="1584683004">
    <w:abstractNumId w:val="2"/>
  </w:num>
  <w:num w:numId="6" w16cid:durableId="681661921">
    <w:abstractNumId w:val="1"/>
  </w:num>
  <w:num w:numId="7" w16cid:durableId="2061398278">
    <w:abstractNumId w:val="0"/>
  </w:num>
  <w:num w:numId="8" w16cid:durableId="722868379">
    <w:abstractNumId w:val="5"/>
  </w:num>
  <w:num w:numId="9" w16cid:durableId="668068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1DC"/>
    <w:rsid w:val="0035146F"/>
    <w:rsid w:val="00AB3883"/>
    <w:rsid w:val="00C84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6D86F"/>
  <w15:chartTrackingRefBased/>
  <w15:docId w15:val="{4CAC7E73-E317-0F47-9ADB-91023DF37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4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4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4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4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1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1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1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1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1D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841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C841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C841DC"/>
  </w:style>
  <w:style w:type="paragraph" w:customStyle="1" w:styleId="p3">
    <w:name w:val="p3"/>
    <w:basedOn w:val="Normal"/>
    <w:rsid w:val="00C841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C841DC"/>
  </w:style>
  <w:style w:type="character" w:customStyle="1" w:styleId="s3">
    <w:name w:val="s3"/>
    <w:basedOn w:val="DefaultParagraphFont"/>
    <w:rsid w:val="00C841DC"/>
  </w:style>
  <w:style w:type="character" w:customStyle="1" w:styleId="apple-converted-space">
    <w:name w:val="apple-converted-space"/>
    <w:basedOn w:val="DefaultParagraphFont"/>
    <w:rsid w:val="00C841DC"/>
  </w:style>
  <w:style w:type="paragraph" w:customStyle="1" w:styleId="p4">
    <w:name w:val="p4"/>
    <w:basedOn w:val="Normal"/>
    <w:rsid w:val="00C841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4">
    <w:name w:val="s4"/>
    <w:basedOn w:val="DefaultParagraphFont"/>
    <w:rsid w:val="00C841DC"/>
  </w:style>
  <w:style w:type="table" w:styleId="TableGrid">
    <w:name w:val="Table Grid"/>
    <w:basedOn w:val="TableNormal"/>
    <w:uiPriority w:val="39"/>
    <w:rsid w:val="00C841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915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9833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3711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563</Words>
  <Characters>3214</Characters>
  <Application>Microsoft Office Word</Application>
  <DocSecurity>0</DocSecurity>
  <Lines>26</Lines>
  <Paragraphs>7</Paragraphs>
  <ScaleCrop>false</ScaleCrop>
  <Company/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Wu</dc:creator>
  <cp:keywords/>
  <dc:description/>
  <cp:lastModifiedBy>Derek Wu</cp:lastModifiedBy>
  <cp:revision>1</cp:revision>
  <dcterms:created xsi:type="dcterms:W3CDTF">2025-11-20T01:36:00Z</dcterms:created>
  <dcterms:modified xsi:type="dcterms:W3CDTF">2025-11-20T01:44:00Z</dcterms:modified>
</cp:coreProperties>
</file>