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84905" w14:textId="77777777" w:rsidR="000849F4" w:rsidRDefault="000E3B4E" w:rsidP="000849F4">
      <w:pPr>
        <w:jc w:val="center"/>
        <w:rPr>
          <w:rFonts w:ascii="KaiTi" w:eastAsia="KaiTi" w:hAnsi="KaiTi"/>
          <w:b/>
          <w:bCs/>
          <w:sz w:val="36"/>
          <w:szCs w:val="36"/>
        </w:rPr>
      </w:pPr>
      <w:r w:rsidRPr="000E3B4E">
        <w:rPr>
          <w:rFonts w:ascii="KaiTi" w:eastAsia="KaiTi" w:hAnsi="KaiTi" w:hint="eastAsia"/>
          <w:b/>
          <w:bCs/>
          <w:sz w:val="36"/>
          <w:szCs w:val="36"/>
        </w:rPr>
        <w:t>为什么柏瑞环球重点基金长期年化只有6%？</w:t>
      </w:r>
    </w:p>
    <w:p w14:paraId="4F9A1537" w14:textId="52D42BF2" w:rsidR="00EC4F70" w:rsidRPr="000849F4" w:rsidRDefault="000849F4" w:rsidP="000849F4">
      <w:pPr>
        <w:jc w:val="center"/>
        <w:rPr>
          <w:rFonts w:ascii="KaiTi" w:eastAsia="KaiTi" w:hAnsi="KaiTi"/>
          <w:b/>
          <w:bCs/>
          <w:sz w:val="36"/>
          <w:szCs w:val="36"/>
        </w:rPr>
      </w:pPr>
      <w:r>
        <w:rPr>
          <w:rFonts w:ascii="KaiTi" w:eastAsia="KaiTi" w:hAnsi="KaiTi" w:hint="eastAsia"/>
          <w:b/>
          <w:bCs/>
          <w:sz w:val="36"/>
          <w:szCs w:val="36"/>
        </w:rPr>
        <w:t>投资时点</w:t>
      </w:r>
      <w:r w:rsidR="000E3B4E" w:rsidRPr="000E3B4E">
        <w:rPr>
          <w:rFonts w:ascii="KaiTi" w:eastAsia="KaiTi" w:hAnsi="KaiTi" w:hint="eastAsia"/>
          <w:b/>
          <w:bCs/>
          <w:sz w:val="36"/>
          <w:szCs w:val="36"/>
        </w:rPr>
        <w:t>与全球配置的启示</w:t>
      </w:r>
    </w:p>
    <w:p w14:paraId="7FB176E4" w14:textId="77777777" w:rsidR="00A8001C" w:rsidRDefault="00A8001C" w:rsidP="000E3B4E">
      <w:pPr>
        <w:rPr>
          <w:rFonts w:ascii="KaiTi" w:eastAsia="KaiTi" w:hAnsi="KaiTi"/>
        </w:rPr>
      </w:pPr>
    </w:p>
    <w:p w14:paraId="11E2CE84" w14:textId="77D69F7D" w:rsidR="000E3B4E" w:rsidRPr="000E3B4E" w:rsidRDefault="000E3B4E" w:rsidP="000E3B4E">
      <w:pPr>
        <w:rPr>
          <w:rFonts w:ascii="KaiTi" w:eastAsia="KaiTi" w:hAnsi="KaiTi"/>
        </w:rPr>
      </w:pPr>
      <w:r w:rsidRPr="000E3B4E">
        <w:rPr>
          <w:rFonts w:ascii="KaiTi" w:eastAsia="KaiTi" w:hAnsi="KaiTi"/>
        </w:rPr>
        <w:t>在我上一篇文章《全球资产配置：穿越周期的科学之道》中，我们谈到：真正能够穿越周期的，不是押注某个单一市场，而是通过全球分散来跟随世界经济的长期增长轨迹。</w:t>
      </w:r>
    </w:p>
    <w:p w14:paraId="77C5D596" w14:textId="2C7DF96D" w:rsidR="000E3B4E" w:rsidRPr="000E3B4E" w:rsidRDefault="000E3B4E" w:rsidP="000E3B4E">
      <w:pPr>
        <w:rPr>
          <w:rFonts w:ascii="KaiTi" w:eastAsia="KaiTi" w:hAnsi="KaiTi"/>
        </w:rPr>
      </w:pPr>
      <w:r w:rsidRPr="000E3B4E">
        <w:rPr>
          <w:rFonts w:ascii="KaiTi" w:eastAsia="KaiTi" w:hAnsi="KaiTi"/>
        </w:rPr>
        <w:t>带着这个思路，我也在投</w:t>
      </w:r>
      <w:r w:rsidR="00A8001C">
        <w:rPr>
          <w:rFonts w:ascii="KaiTi" w:eastAsia="KaiTi" w:hAnsi="KaiTi" w:hint="eastAsia"/>
        </w:rPr>
        <w:t>连</w:t>
      </w:r>
      <w:r w:rsidRPr="000E3B4E">
        <w:rPr>
          <w:rFonts w:ascii="KaiTi" w:eastAsia="KaiTi" w:hAnsi="KaiTi"/>
        </w:rPr>
        <w:t>险基金平台上寻找能够体现全球大型、优质公司暴露的基金。最终，我找到了柏瑞环球重点股票基金。这只基金的历史表现总体不错，但也引出了一个耐人寻味的问题：</w:t>
      </w:r>
    </w:p>
    <w:p w14:paraId="7B9FD3F9" w14:textId="01B7F403" w:rsidR="000E3B4E" w:rsidRDefault="008A667D" w:rsidP="000E3B4E">
      <w:pPr>
        <w:rPr>
          <w:rFonts w:ascii="KaiTi" w:eastAsia="KaiTi" w:hAnsi="KaiTi"/>
        </w:rPr>
      </w:pPr>
      <w:r w:rsidRPr="008A667D">
        <w:rPr>
          <w:rFonts w:ascii="KaiTi" w:eastAsia="KaiTi" w:hAnsi="KaiTi"/>
        </w:rPr>
        <w:drawing>
          <wp:inline distT="0" distB="0" distL="0" distR="0" wp14:anchorId="0918C314" wp14:editId="67914818">
            <wp:extent cx="5943600" cy="2163445"/>
            <wp:effectExtent l="0" t="0" r="0" b="0"/>
            <wp:docPr id="1696497489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7489" name="Picture 1" descr="A screenshot of a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C1C6" w14:textId="68F01CFD" w:rsidR="008A667D" w:rsidRPr="000E3B4E" w:rsidRDefault="008A667D" w:rsidP="000E3B4E">
      <w:pPr>
        <w:rPr>
          <w:rFonts w:ascii="KaiTi" w:eastAsia="KaiTi" w:hAnsi="KaiTi"/>
        </w:rPr>
      </w:pPr>
      <w:r w:rsidRPr="008A667D">
        <w:rPr>
          <w:rFonts w:ascii="KaiTi" w:eastAsia="KaiTi" w:hAnsi="KaiTi"/>
        </w:rPr>
        <w:lastRenderedPageBreak/>
        <w:drawing>
          <wp:inline distT="0" distB="0" distL="0" distR="0" wp14:anchorId="5E94FB49" wp14:editId="0F53295A">
            <wp:extent cx="5943600" cy="5167630"/>
            <wp:effectExtent l="0" t="0" r="0" b="1270"/>
            <wp:docPr id="818170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014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F269" w14:textId="625473BB" w:rsidR="008A667D" w:rsidRPr="00412879" w:rsidRDefault="008A667D" w:rsidP="008A667D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柏瑞环球重点股票基金，</w:t>
      </w:r>
      <w:r>
        <w:rPr>
          <w:rFonts w:ascii="KaiTi" w:eastAsia="KaiTi" w:hAnsi="KaiTi" w:hint="eastAsia"/>
        </w:rPr>
        <w:t>近5年的年化收益率高达16.4%。但如果追溯自</w:t>
      </w:r>
      <w:r w:rsidRPr="00412879">
        <w:rPr>
          <w:rFonts w:ascii="KaiTi" w:eastAsia="KaiTi" w:hAnsi="KaiTi" w:hint="eastAsia"/>
        </w:rPr>
        <w:t>1999年1月7日成立以来，年化收益仅为6%，与对标指数一致。</w:t>
      </w:r>
    </w:p>
    <w:p w14:paraId="351C7462" w14:textId="62F8D0BF" w:rsidR="000E3B4E" w:rsidRDefault="000E3B4E">
      <w:pPr>
        <w:rPr>
          <w:rFonts w:ascii="KaiTi" w:eastAsia="KaiTi" w:hAnsi="KaiTi"/>
        </w:rPr>
      </w:pPr>
      <w:r w:rsidRPr="000E3B4E">
        <w:rPr>
          <w:rFonts w:ascii="KaiTi" w:eastAsia="KaiTi" w:hAnsi="KaiTi"/>
        </w:rPr>
        <w:t>通常来说，股权类资产的长期平均年化收益率应在10%左右。那么，为什么这只基金的表现看似“不尽如人意”呢？</w:t>
      </w:r>
    </w:p>
    <w:p w14:paraId="35F5D56F" w14:textId="50EC41D8" w:rsidR="00412879" w:rsidRPr="00412879" w:rsidRDefault="007C3C73" w:rsidP="00412879">
      <w:pPr>
        <w:rPr>
          <w:rFonts w:ascii="KaiTi" w:eastAsia="KaiTi" w:hAnsi="KaiTi"/>
          <w:b/>
          <w:bCs/>
          <w:sz w:val="18"/>
          <w:szCs w:val="18"/>
        </w:rPr>
      </w:pPr>
      <w:r w:rsidRPr="00412879">
        <w:rPr>
          <w:rFonts w:ascii="KaiTi" w:eastAsia="KaiTi" w:hAnsi="KaiTi" w:hint="eastAsia"/>
        </w:rPr>
        <w:t>根据基金资料页披露，</w:t>
      </w:r>
      <w:r w:rsidR="00412879" w:rsidRPr="00412879">
        <w:rPr>
          <w:rFonts w:ascii="KaiTi" w:eastAsia="KaiTi" w:hAnsi="KaiTi" w:hint="eastAsia"/>
        </w:rPr>
        <w:t>基金目前对标指数为：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</w:p>
    <w:p w14:paraId="4CF8589A" w14:textId="0D9EFBC9" w:rsidR="007C3C73" w:rsidRPr="00412879" w:rsidRDefault="007C3C73" w:rsidP="007C3C73">
      <w:pPr>
        <w:rPr>
          <w:rFonts w:ascii="KaiTi" w:eastAsia="KaiTi" w:hAnsi="KaiTi"/>
          <w:sz w:val="18"/>
          <w:szCs w:val="18"/>
        </w:rPr>
      </w:pPr>
      <w:r w:rsidRPr="00412879">
        <w:rPr>
          <w:rFonts w:ascii="KaiTi" w:eastAsia="KaiTi" w:hAnsi="KaiTi" w:hint="eastAsia"/>
          <w:b/>
          <w:bCs/>
          <w:sz w:val="18"/>
          <w:szCs w:val="18"/>
        </w:rPr>
        <w:t>MSCI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All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Country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World Index (ACWI)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Daily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Total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Return</w:t>
      </w:r>
      <w:r w:rsidR="00412879" w:rsidRPr="00412879">
        <w:rPr>
          <w:rFonts w:ascii="KaiTi" w:eastAsia="KaiTi" w:hAnsi="KaiTi" w:hint="eastAsia"/>
          <w:b/>
          <w:bCs/>
          <w:sz w:val="18"/>
          <w:szCs w:val="18"/>
        </w:rPr>
        <w:t xml:space="preserve"> </w:t>
      </w:r>
      <w:r w:rsidRPr="00412879">
        <w:rPr>
          <w:rFonts w:ascii="KaiTi" w:eastAsia="KaiTi" w:hAnsi="KaiTi" w:hint="eastAsia"/>
          <w:b/>
          <w:bCs/>
          <w:sz w:val="18"/>
          <w:szCs w:val="18"/>
        </w:rPr>
        <w:t>Net</w:t>
      </w:r>
    </w:p>
    <w:p w14:paraId="01F38C0D" w14:textId="2C917FCF" w:rsidR="00412879" w:rsidRDefault="007C3C73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与该指数对应的ETF有</w:t>
      </w:r>
      <w:r w:rsidRPr="00412879">
        <w:rPr>
          <w:rFonts w:ascii="KaiTi" w:eastAsia="KaiTi" w:hAnsi="KaiTi"/>
        </w:rPr>
        <w:t xml:space="preserve">SPDR MSCI All Country World UCITS ETF (Acc) </w:t>
      </w:r>
      <w:r w:rsidR="008A667D">
        <w:rPr>
          <w:rFonts w:ascii="KaiTi" w:eastAsia="KaiTi" w:hAnsi="KaiTi" w:hint="eastAsia"/>
        </w:rPr>
        <w:t>和</w:t>
      </w:r>
      <w:r w:rsidRPr="00412879">
        <w:rPr>
          <w:rFonts w:ascii="KaiTi" w:eastAsia="KaiTi" w:hAnsi="KaiTi"/>
          <w:b/>
          <w:bCs/>
          <w:color w:val="FF0000"/>
        </w:rPr>
        <w:t>iShares MSCI ACWI UCITS ETF</w:t>
      </w:r>
      <w:r w:rsidR="000A6AC6" w:rsidRPr="00412879">
        <w:rPr>
          <w:rFonts w:ascii="KaiTi" w:eastAsia="KaiTi" w:hAnsi="KaiTi" w:hint="eastAsia"/>
          <w:color w:val="FF0000"/>
        </w:rPr>
        <w:t>（代码：ACWI）</w:t>
      </w:r>
      <w:r w:rsidRPr="00412879">
        <w:rPr>
          <w:rFonts w:ascii="KaiTi" w:eastAsia="KaiTi" w:hAnsi="KaiTi" w:hint="eastAsia"/>
        </w:rPr>
        <w:t>。</w:t>
      </w:r>
    </w:p>
    <w:p w14:paraId="0FA6E4D6" w14:textId="1C54F2CE" w:rsidR="007C3C73" w:rsidRPr="00412879" w:rsidRDefault="00AA30F2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鉴于资料可获取性，</w:t>
      </w:r>
      <w:r w:rsidR="007C3C73" w:rsidRPr="00412879">
        <w:rPr>
          <w:rFonts w:ascii="KaiTi" w:eastAsia="KaiTi" w:hAnsi="KaiTi" w:hint="eastAsia"/>
        </w:rPr>
        <w:t>我们采取后者进行业绩</w:t>
      </w:r>
      <w:r w:rsidRPr="00412879">
        <w:rPr>
          <w:rFonts w:ascii="KaiTi" w:eastAsia="KaiTi" w:hAnsi="KaiTi" w:hint="eastAsia"/>
        </w:rPr>
        <w:t>对比</w:t>
      </w:r>
      <w:r w:rsidR="007C3C73" w:rsidRPr="00412879">
        <w:rPr>
          <w:rFonts w:ascii="KaiTi" w:eastAsia="KaiTi" w:hAnsi="KaiTi" w:hint="eastAsia"/>
        </w:rPr>
        <w:t>分析。</w:t>
      </w:r>
    </w:p>
    <w:p w14:paraId="30543E32" w14:textId="77777777" w:rsidR="00EE6E8D" w:rsidRPr="00412879" w:rsidRDefault="00EE6E8D" w:rsidP="007C3C73">
      <w:pPr>
        <w:rPr>
          <w:rFonts w:ascii="KaiTi" w:eastAsia="KaiTi" w:hAnsi="KaiTi"/>
        </w:rPr>
      </w:pPr>
    </w:p>
    <w:p w14:paraId="1A69D5B6" w14:textId="2E41354F" w:rsidR="007C3C73" w:rsidRPr="00412879" w:rsidRDefault="00EE6E8D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  <w:b/>
          <w:bCs/>
        </w:rPr>
        <w:lastRenderedPageBreak/>
        <w:t>柏瑞环球重点股票基金历史业绩表现</w:t>
      </w:r>
      <w:r w:rsidR="00412879">
        <w:rPr>
          <w:rFonts w:ascii="KaiTi" w:eastAsia="KaiTi" w:hAnsi="KaiTi" w:hint="eastAsia"/>
          <w:b/>
          <w:bCs/>
        </w:rPr>
        <w:t>（截止2025年6月30日）</w:t>
      </w:r>
      <w:r w:rsidRPr="00412879">
        <w:rPr>
          <w:rFonts w:ascii="KaiTi" w:eastAsia="KaiTi" w:hAnsi="KaiTi"/>
          <w:noProof/>
        </w:rPr>
        <w:drawing>
          <wp:inline distT="0" distB="0" distL="0" distR="0" wp14:anchorId="23C02B4B" wp14:editId="45B414BD">
            <wp:extent cx="5943600" cy="2239645"/>
            <wp:effectExtent l="0" t="0" r="0" b="0"/>
            <wp:docPr id="12329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DFD9" w14:textId="77777777" w:rsidR="007C3C73" w:rsidRPr="00412879" w:rsidRDefault="007C3C73" w:rsidP="007C3C73">
      <w:pPr>
        <w:rPr>
          <w:rFonts w:ascii="KaiTi" w:eastAsia="KaiTi" w:hAnsi="KaiTi"/>
        </w:rPr>
      </w:pPr>
    </w:p>
    <w:p w14:paraId="6421C701" w14:textId="4BB98AFE" w:rsidR="00EE6E8D" w:rsidRPr="00412879" w:rsidRDefault="00EE6E8D" w:rsidP="007C3C73">
      <w:pPr>
        <w:rPr>
          <w:rFonts w:ascii="KaiTi" w:eastAsia="KaiTi" w:hAnsi="KaiTi"/>
          <w:b/>
          <w:bCs/>
        </w:rPr>
      </w:pPr>
      <w:r w:rsidRPr="00412879">
        <w:rPr>
          <w:rFonts w:ascii="KaiTi" w:eastAsia="KaiTi" w:hAnsi="KaiTi" w:hint="eastAsia"/>
          <w:b/>
          <w:bCs/>
        </w:rPr>
        <w:t>对标指数</w:t>
      </w:r>
      <w:r w:rsidRPr="00412879">
        <w:rPr>
          <w:rFonts w:ascii="KaiTi" w:eastAsia="KaiTi" w:hAnsi="KaiTi"/>
          <w:b/>
          <w:bCs/>
        </w:rPr>
        <w:t>iShares MSCI ACWI UCITS ETF</w:t>
      </w:r>
      <w:r w:rsidR="00412879" w:rsidRPr="00412879">
        <w:rPr>
          <w:rFonts w:ascii="KaiTi" w:eastAsia="KaiTi" w:hAnsi="KaiTi" w:hint="eastAsia"/>
          <w:b/>
          <w:bCs/>
        </w:rPr>
        <w:t>历史业绩表现</w:t>
      </w:r>
      <w:r w:rsidR="00412879">
        <w:rPr>
          <w:rFonts w:ascii="KaiTi" w:eastAsia="KaiTi" w:hAnsi="KaiTi" w:hint="eastAsia"/>
          <w:b/>
          <w:bCs/>
        </w:rPr>
        <w:t>（截止2025年6月30日）</w:t>
      </w:r>
    </w:p>
    <w:p w14:paraId="47410286" w14:textId="2C6BEF09" w:rsidR="00EE6E8D" w:rsidRPr="00412879" w:rsidRDefault="00EE6E8D" w:rsidP="007C3C73">
      <w:pPr>
        <w:rPr>
          <w:rFonts w:ascii="KaiTi" w:eastAsia="KaiTi" w:hAnsi="KaiTi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43BDF1BA" wp14:editId="77251672">
            <wp:extent cx="5943600" cy="2616200"/>
            <wp:effectExtent l="0" t="0" r="0" b="0"/>
            <wp:docPr id="16888118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1899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0553" w14:textId="4D29D767" w:rsidR="000A6AC6" w:rsidRDefault="00B42F4F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从</w:t>
      </w:r>
      <w:r w:rsidR="0005346F" w:rsidRPr="00412879">
        <w:rPr>
          <w:rFonts w:ascii="KaiTi" w:eastAsia="KaiTi" w:hAnsi="KaiTi" w:hint="eastAsia"/>
        </w:rPr>
        <w:t>过往</w:t>
      </w:r>
      <w:r w:rsidRPr="00412879">
        <w:rPr>
          <w:rFonts w:ascii="KaiTi" w:eastAsia="KaiTi" w:hAnsi="KaiTi" w:hint="eastAsia"/>
        </w:rPr>
        <w:t>15年、10年、5年和3年的回报数据来看，基金都优于对标</w:t>
      </w:r>
      <w:r w:rsidR="00412879">
        <w:rPr>
          <w:rFonts w:ascii="KaiTi" w:eastAsia="KaiTi" w:hAnsi="KaiTi" w:hint="eastAsia"/>
        </w:rPr>
        <w:t>ETF</w:t>
      </w:r>
      <w:r w:rsidRPr="00412879">
        <w:rPr>
          <w:rFonts w:ascii="KaiTi" w:eastAsia="KaiTi" w:hAnsi="KaiTi" w:hint="eastAsia"/>
        </w:rPr>
        <w:t>。</w:t>
      </w:r>
    </w:p>
    <w:p w14:paraId="7244FE8B" w14:textId="77777777" w:rsidR="000E3B4E" w:rsidRPr="000E3B4E" w:rsidRDefault="000E3B4E" w:rsidP="000E3B4E">
      <w:pPr>
        <w:numPr>
          <w:ilvl w:val="0"/>
          <w:numId w:val="2"/>
        </w:numPr>
        <w:rPr>
          <w:rFonts w:ascii="KaiTi" w:eastAsia="KaiTi" w:hAnsi="KaiTi"/>
        </w:rPr>
      </w:pPr>
      <w:r w:rsidRPr="000E3B4E">
        <w:rPr>
          <w:rFonts w:ascii="KaiTi" w:eastAsia="KaiTi" w:hAnsi="KaiTi"/>
          <w:b/>
          <w:bCs/>
        </w:rPr>
        <w:t>15年数据</w:t>
      </w:r>
      <w:r w:rsidRPr="000E3B4E">
        <w:rPr>
          <w:rFonts w:ascii="KaiTi" w:eastAsia="KaiTi" w:hAnsi="KaiTi"/>
        </w:rPr>
        <w:t xml:space="preserve">：基金年化收益率 </w:t>
      </w:r>
      <w:r w:rsidRPr="000E3B4E">
        <w:rPr>
          <w:rFonts w:ascii="KaiTi" w:eastAsia="KaiTi" w:hAnsi="KaiTi"/>
          <w:b/>
          <w:bCs/>
        </w:rPr>
        <w:t>10.84%</w:t>
      </w:r>
      <w:r w:rsidRPr="000E3B4E">
        <w:rPr>
          <w:rFonts w:ascii="KaiTi" w:eastAsia="KaiTi" w:hAnsi="KaiTi"/>
        </w:rPr>
        <w:t xml:space="preserve">，对标指数 </w:t>
      </w:r>
      <w:r w:rsidRPr="000E3B4E">
        <w:rPr>
          <w:rFonts w:ascii="KaiTi" w:eastAsia="KaiTi" w:hAnsi="KaiTi"/>
          <w:b/>
          <w:bCs/>
        </w:rPr>
        <w:t>10.79%</w:t>
      </w:r>
      <w:r w:rsidRPr="000E3B4E">
        <w:rPr>
          <w:rFonts w:ascii="KaiTi" w:eastAsia="KaiTi" w:hAnsi="KaiTi"/>
        </w:rPr>
        <w:t>。</w:t>
      </w:r>
    </w:p>
    <w:p w14:paraId="5BE6069E" w14:textId="77777777" w:rsidR="000E3B4E" w:rsidRPr="000E3B4E" w:rsidRDefault="000E3B4E" w:rsidP="000E3B4E">
      <w:pPr>
        <w:numPr>
          <w:ilvl w:val="0"/>
          <w:numId w:val="2"/>
        </w:numPr>
        <w:rPr>
          <w:rFonts w:ascii="KaiTi" w:eastAsia="KaiTi" w:hAnsi="KaiTi"/>
        </w:rPr>
      </w:pPr>
      <w:r w:rsidRPr="000E3B4E">
        <w:rPr>
          <w:rFonts w:ascii="KaiTi" w:eastAsia="KaiTi" w:hAnsi="KaiTi"/>
          <w:b/>
          <w:bCs/>
        </w:rPr>
        <w:t>10年、5年、3年</w:t>
      </w:r>
      <w:r w:rsidRPr="000E3B4E">
        <w:rPr>
          <w:rFonts w:ascii="KaiTi" w:eastAsia="KaiTi" w:hAnsi="KaiTi"/>
        </w:rPr>
        <w:t>：基金表现也均优于对标ETF。</w:t>
      </w:r>
    </w:p>
    <w:p w14:paraId="617086F5" w14:textId="77777777" w:rsidR="000E3B4E" w:rsidRPr="00412879" w:rsidRDefault="000E3B4E" w:rsidP="007C3C73">
      <w:pPr>
        <w:rPr>
          <w:rFonts w:ascii="KaiTi" w:eastAsia="KaiTi" w:hAnsi="KaiTi" w:hint="eastAsia"/>
        </w:rPr>
      </w:pPr>
    </w:p>
    <w:p w14:paraId="4860F367" w14:textId="60971BC7" w:rsidR="009A1C33" w:rsidRPr="00412879" w:rsidRDefault="009A1C33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其中基金15年年化收益率为10.84%，而对标指数的年化收益率为10.79%。</w:t>
      </w:r>
      <w:r w:rsidR="000A6AC6" w:rsidRPr="00412879">
        <w:rPr>
          <w:rFonts w:ascii="KaiTi" w:eastAsia="KaiTi" w:hAnsi="KaiTi" w:hint="eastAsia"/>
        </w:rPr>
        <w:t>考虑到基金的费率显著高于对标ETF，基金实际收益情况还是令人满意的。</w:t>
      </w:r>
    </w:p>
    <w:p w14:paraId="2200A7C2" w14:textId="77777777" w:rsidR="000E3B4E" w:rsidRDefault="000A6AC6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lastRenderedPageBreak/>
        <w:t>但</w:t>
      </w:r>
      <w:r w:rsidR="00C271E3" w:rsidRPr="00412879">
        <w:rPr>
          <w:rFonts w:ascii="KaiTi" w:eastAsia="KaiTi" w:hAnsi="KaiTi" w:hint="eastAsia"/>
        </w:rPr>
        <w:t>如果我们</w:t>
      </w:r>
      <w:r w:rsidRPr="00412879">
        <w:rPr>
          <w:rFonts w:ascii="KaiTi" w:eastAsia="KaiTi" w:hAnsi="KaiTi" w:hint="eastAsia"/>
        </w:rPr>
        <w:t>从基金设立时点开始计算，</w:t>
      </w:r>
      <w:r w:rsidR="00C271E3" w:rsidRPr="00412879">
        <w:rPr>
          <w:rFonts w:ascii="KaiTi" w:eastAsia="KaiTi" w:hAnsi="KaiTi" w:hint="eastAsia"/>
        </w:rPr>
        <w:t>基金成立以来的</w:t>
      </w:r>
      <w:r w:rsidRPr="00412879">
        <w:rPr>
          <w:rFonts w:ascii="KaiTi" w:eastAsia="KaiTi" w:hAnsi="KaiTi" w:hint="eastAsia"/>
        </w:rPr>
        <w:t>年化收益率</w:t>
      </w:r>
      <w:r w:rsidR="00C271E3" w:rsidRPr="00412879">
        <w:rPr>
          <w:rFonts w:ascii="KaiTi" w:eastAsia="KaiTi" w:hAnsi="KaiTi" w:hint="eastAsia"/>
        </w:rPr>
        <w:t>仅有5.75%，而对标ETF为7.7%</w:t>
      </w:r>
      <w:r w:rsidR="0005346F" w:rsidRPr="00412879">
        <w:rPr>
          <w:rFonts w:ascii="KaiTi" w:eastAsia="KaiTi" w:hAnsi="KaiTi" w:hint="eastAsia"/>
        </w:rPr>
        <w:t>，基金较基准指数有近2%的差异</w:t>
      </w:r>
      <w:r w:rsidR="00C271E3" w:rsidRPr="00412879">
        <w:rPr>
          <w:rFonts w:ascii="KaiTi" w:eastAsia="KaiTi" w:hAnsi="KaiTi" w:hint="eastAsia"/>
        </w:rPr>
        <w:t>。</w:t>
      </w:r>
    </w:p>
    <w:p w14:paraId="1D907F00" w14:textId="729A3C1A" w:rsidR="00C271E3" w:rsidRPr="00412879" w:rsidRDefault="00C271E3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为什么差异会</w:t>
      </w:r>
      <w:r w:rsidR="000A6AC6" w:rsidRPr="00412879">
        <w:rPr>
          <w:rFonts w:ascii="KaiTi" w:eastAsia="KaiTi" w:hAnsi="KaiTi" w:hint="eastAsia"/>
        </w:rPr>
        <w:t>这么</w:t>
      </w:r>
      <w:r w:rsidRPr="00412879">
        <w:rPr>
          <w:rFonts w:ascii="KaiTi" w:eastAsia="KaiTi" w:hAnsi="KaiTi" w:hint="eastAsia"/>
        </w:rPr>
        <w:t>大</w:t>
      </w:r>
      <w:r w:rsidR="000A6AC6" w:rsidRPr="00412879">
        <w:rPr>
          <w:rFonts w:ascii="KaiTi" w:eastAsia="KaiTi" w:hAnsi="KaiTi" w:hint="eastAsia"/>
        </w:rPr>
        <w:t>呢？</w:t>
      </w:r>
      <w:r w:rsidRPr="00412879">
        <w:rPr>
          <w:rFonts w:ascii="KaiTi" w:eastAsia="KaiTi" w:hAnsi="KaiTi" w:hint="eastAsia"/>
        </w:rPr>
        <w:t>仅仅是因为基金收取的管理费用过高吗？</w:t>
      </w:r>
      <w:r w:rsidR="00A66089" w:rsidRPr="00412879">
        <w:rPr>
          <w:rFonts w:ascii="KaiTi" w:eastAsia="KaiTi" w:hAnsi="KaiTi" w:hint="eastAsia"/>
        </w:rPr>
        <w:t>那为什么15年的年化收益率却又不支持这个推论呢？</w:t>
      </w:r>
    </w:p>
    <w:p w14:paraId="644D1372" w14:textId="77777777" w:rsidR="00A66089" w:rsidRPr="00412879" w:rsidRDefault="00A66089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看来，问题很可能出现在</w:t>
      </w:r>
      <w:r w:rsidR="00B42F4F" w:rsidRPr="00412879">
        <w:rPr>
          <w:rFonts w:ascii="KaiTi" w:eastAsia="KaiTi" w:hAnsi="KaiTi" w:hint="eastAsia"/>
        </w:rPr>
        <w:t>2010年</w:t>
      </w:r>
      <w:r w:rsidR="009A1C33" w:rsidRPr="00412879">
        <w:rPr>
          <w:rFonts w:ascii="KaiTi" w:eastAsia="KaiTi" w:hAnsi="KaiTi" w:hint="eastAsia"/>
        </w:rPr>
        <w:t>6月30日</w:t>
      </w:r>
      <w:r w:rsidRPr="00412879">
        <w:rPr>
          <w:rFonts w:ascii="KaiTi" w:eastAsia="KaiTi" w:hAnsi="KaiTi" w:hint="eastAsia"/>
        </w:rPr>
        <w:t>之前市场发生的事情。</w:t>
      </w:r>
    </w:p>
    <w:p w14:paraId="149EACEC" w14:textId="37F8918E" w:rsidR="00A66089" w:rsidRPr="00412879" w:rsidRDefault="00A66089" w:rsidP="00A66089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基金成立时间1999年1月，对标ETF设立时间</w:t>
      </w:r>
      <w:r w:rsidR="004250D5" w:rsidRPr="00412879">
        <w:rPr>
          <w:rFonts w:ascii="KaiTi" w:eastAsia="KaiTi" w:hAnsi="KaiTi" w:hint="eastAsia"/>
        </w:rPr>
        <w:t>为</w:t>
      </w:r>
      <w:r w:rsidRPr="00412879">
        <w:rPr>
          <w:rFonts w:ascii="KaiTi" w:eastAsia="KaiTi" w:hAnsi="KaiTi" w:hint="eastAsia"/>
        </w:rPr>
        <w:t>2008年3月26日。</w:t>
      </w:r>
    </w:p>
    <w:p w14:paraId="3BDB8333" w14:textId="1C98CC39" w:rsidR="00A66089" w:rsidRPr="00412879" w:rsidRDefault="00A66089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2008年至2009年，由于美国次贷危机导致的泡沫破裂巨震全球市场，全球股指大幅下挫近50%。上述的基金及对标指数都受到了</w:t>
      </w:r>
      <w:r w:rsidR="00412879">
        <w:rPr>
          <w:rFonts w:ascii="KaiTi" w:eastAsia="KaiTi" w:hAnsi="KaiTi" w:hint="eastAsia"/>
        </w:rPr>
        <w:t>这次</w:t>
      </w:r>
      <w:r w:rsidRPr="00412879">
        <w:rPr>
          <w:rFonts w:ascii="KaiTi" w:eastAsia="KaiTi" w:hAnsi="KaiTi" w:hint="eastAsia"/>
        </w:rPr>
        <w:t>次</w:t>
      </w:r>
      <w:r w:rsidR="00412879">
        <w:rPr>
          <w:rFonts w:ascii="KaiTi" w:eastAsia="KaiTi" w:hAnsi="KaiTi" w:hint="eastAsia"/>
        </w:rPr>
        <w:t>股灾</w:t>
      </w:r>
      <w:r w:rsidRPr="00412879">
        <w:rPr>
          <w:rFonts w:ascii="KaiTi" w:eastAsia="KaiTi" w:hAnsi="KaiTi" w:hint="eastAsia"/>
        </w:rPr>
        <w:t>的重大影响，出现了大幅的下跌。</w:t>
      </w:r>
    </w:p>
    <w:p w14:paraId="0785965E" w14:textId="13D0C20A" w:rsidR="00B42F4F" w:rsidRPr="00412879" w:rsidRDefault="00B42F4F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对标</w:t>
      </w:r>
      <w:r w:rsidR="009A1C33" w:rsidRPr="00412879">
        <w:rPr>
          <w:rFonts w:ascii="KaiTi" w:eastAsia="KaiTi" w:hAnsi="KaiTi" w:hint="eastAsia"/>
        </w:rPr>
        <w:t>ETF</w:t>
      </w:r>
      <w:r w:rsidRPr="00412879">
        <w:rPr>
          <w:rFonts w:ascii="KaiTi" w:eastAsia="KaiTi" w:hAnsi="KaiTi" w:hint="eastAsia"/>
        </w:rPr>
        <w:t>自成立日2008年3月26日到20</w:t>
      </w:r>
      <w:r w:rsidR="009A1C33" w:rsidRPr="00412879">
        <w:rPr>
          <w:rFonts w:ascii="KaiTi" w:eastAsia="KaiTi" w:hAnsi="KaiTi" w:hint="eastAsia"/>
        </w:rPr>
        <w:t>10</w:t>
      </w:r>
      <w:r w:rsidRPr="00412879">
        <w:rPr>
          <w:rFonts w:ascii="KaiTi" w:eastAsia="KaiTi" w:hAnsi="KaiTi" w:hint="eastAsia"/>
        </w:rPr>
        <w:t>年</w:t>
      </w:r>
      <w:r w:rsidR="009A1C33" w:rsidRPr="00412879">
        <w:rPr>
          <w:rFonts w:ascii="KaiTi" w:eastAsia="KaiTi" w:hAnsi="KaiTi" w:hint="eastAsia"/>
        </w:rPr>
        <w:t>6</w:t>
      </w:r>
      <w:r w:rsidRPr="00412879">
        <w:rPr>
          <w:rFonts w:ascii="KaiTi" w:eastAsia="KaiTi" w:hAnsi="KaiTi" w:hint="eastAsia"/>
        </w:rPr>
        <w:t>月3</w:t>
      </w:r>
      <w:r w:rsidR="009A1C33" w:rsidRPr="00412879">
        <w:rPr>
          <w:rFonts w:ascii="KaiTi" w:eastAsia="KaiTi" w:hAnsi="KaiTi" w:hint="eastAsia"/>
        </w:rPr>
        <w:t>0</w:t>
      </w:r>
      <w:r w:rsidRPr="00412879">
        <w:rPr>
          <w:rFonts w:ascii="KaiTi" w:eastAsia="KaiTi" w:hAnsi="KaiTi" w:hint="eastAsia"/>
        </w:rPr>
        <w:t>日，累计回报-</w:t>
      </w:r>
      <w:r w:rsidR="009A1C33" w:rsidRPr="00412879">
        <w:rPr>
          <w:rFonts w:ascii="KaiTi" w:eastAsia="KaiTi" w:hAnsi="KaiTi" w:hint="eastAsia"/>
        </w:rPr>
        <w:t>21.98</w:t>
      </w:r>
      <w:r w:rsidRPr="00412879">
        <w:rPr>
          <w:rFonts w:ascii="KaiTi" w:eastAsia="KaiTi" w:hAnsi="KaiTi" w:hint="eastAsia"/>
        </w:rPr>
        <w:t>%</w:t>
      </w:r>
      <w:r w:rsidR="000A6AC6" w:rsidRPr="00412879">
        <w:rPr>
          <w:rFonts w:ascii="KaiTi" w:eastAsia="KaiTi" w:hAnsi="KaiTi" w:hint="eastAsia"/>
        </w:rPr>
        <w:t>。对应指数的回报</w:t>
      </w:r>
      <w:r w:rsidR="009A1C33" w:rsidRPr="00412879">
        <w:rPr>
          <w:rFonts w:ascii="KaiTi" w:eastAsia="KaiTi" w:hAnsi="KaiTi" w:hint="eastAsia"/>
        </w:rPr>
        <w:t>-22.63%</w:t>
      </w:r>
      <w:r w:rsidR="00081BC0" w:rsidRPr="00412879">
        <w:rPr>
          <w:rFonts w:ascii="KaiTi" w:eastAsia="KaiTi" w:hAnsi="KaiTi" w:hint="eastAsia"/>
        </w:rPr>
        <w:t>。</w:t>
      </w:r>
    </w:p>
    <w:p w14:paraId="26C74991" w14:textId="4FDDA783" w:rsidR="00B42F4F" w:rsidRPr="00412879" w:rsidRDefault="009A1C33" w:rsidP="007C3C73">
      <w:pPr>
        <w:rPr>
          <w:rFonts w:ascii="KaiTi" w:eastAsia="KaiTi" w:hAnsi="KaiTi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05702A41" wp14:editId="5724D852">
            <wp:extent cx="5943600" cy="3824605"/>
            <wp:effectExtent l="0" t="0" r="0" b="0"/>
            <wp:docPr id="11669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1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C588" w14:textId="77777777" w:rsidR="00B42F4F" w:rsidRPr="00412879" w:rsidRDefault="00B42F4F" w:rsidP="007C3C73">
      <w:pPr>
        <w:rPr>
          <w:rFonts w:ascii="KaiTi" w:eastAsia="KaiTi" w:hAnsi="KaiTi"/>
        </w:rPr>
      </w:pPr>
    </w:p>
    <w:p w14:paraId="59B4F130" w14:textId="0A421D82" w:rsidR="00081BC0" w:rsidRPr="00412879" w:rsidRDefault="000A6AC6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而柏瑞</w:t>
      </w:r>
      <w:r w:rsidR="00B42F4F" w:rsidRPr="00412879">
        <w:rPr>
          <w:rFonts w:ascii="KaiTi" w:eastAsia="KaiTi" w:hAnsi="KaiTi" w:hint="eastAsia"/>
        </w:rPr>
        <w:t>基金</w:t>
      </w:r>
      <w:r w:rsidR="00A66089" w:rsidRPr="00412879">
        <w:rPr>
          <w:rFonts w:ascii="KaiTi" w:eastAsia="KaiTi" w:hAnsi="KaiTi" w:hint="eastAsia"/>
        </w:rPr>
        <w:t>好像影响更多一些，不仅其受到了08年金融危机的影响，它在</w:t>
      </w:r>
      <w:r w:rsidR="00B42F4F" w:rsidRPr="00412879">
        <w:rPr>
          <w:rFonts w:ascii="KaiTi" w:eastAsia="KaiTi" w:hAnsi="KaiTi" w:hint="eastAsia"/>
        </w:rPr>
        <w:t>1999年1月7日</w:t>
      </w:r>
      <w:r w:rsidR="00A66089" w:rsidRPr="00412879">
        <w:rPr>
          <w:rFonts w:ascii="KaiTi" w:eastAsia="KaiTi" w:hAnsi="KaiTi" w:hint="eastAsia"/>
        </w:rPr>
        <w:t>成立后，还直接遇上了2000年的互联网泡沫破裂，真是的牛市末期</w:t>
      </w:r>
      <w:r w:rsidR="00081BC0" w:rsidRPr="00412879">
        <w:rPr>
          <w:rFonts w:ascii="KaiTi" w:eastAsia="KaiTi" w:hAnsi="KaiTi" w:hint="eastAsia"/>
        </w:rPr>
        <w:t>启动</w:t>
      </w:r>
      <w:r w:rsidR="00A66089" w:rsidRPr="00412879">
        <w:rPr>
          <w:rFonts w:ascii="KaiTi" w:eastAsia="KaiTi" w:hAnsi="KaiTi" w:hint="eastAsia"/>
        </w:rPr>
        <w:t>基金</w:t>
      </w:r>
      <w:r w:rsidR="00412879">
        <w:rPr>
          <w:rFonts w:ascii="KaiTi" w:eastAsia="KaiTi" w:hAnsi="KaiTi" w:hint="eastAsia"/>
        </w:rPr>
        <w:t>，开局即巅峰</w:t>
      </w:r>
      <w:r w:rsidR="00A66089" w:rsidRPr="00412879">
        <w:rPr>
          <w:rFonts w:ascii="KaiTi" w:eastAsia="KaiTi" w:hAnsi="KaiTi" w:hint="eastAsia"/>
        </w:rPr>
        <w:t>。</w:t>
      </w:r>
    </w:p>
    <w:p w14:paraId="36D4CB49" w14:textId="6D2FB162" w:rsidR="009A1C33" w:rsidRPr="00412879" w:rsidRDefault="00A66089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lastRenderedPageBreak/>
        <w:t>基金运行</w:t>
      </w:r>
      <w:r w:rsidR="00B42F4F" w:rsidRPr="00412879">
        <w:rPr>
          <w:rFonts w:ascii="KaiTi" w:eastAsia="KaiTi" w:hAnsi="KaiTi" w:hint="eastAsia"/>
        </w:rPr>
        <w:t>至20</w:t>
      </w:r>
      <w:r w:rsidR="009A1C33" w:rsidRPr="00412879">
        <w:rPr>
          <w:rFonts w:ascii="KaiTi" w:eastAsia="KaiTi" w:hAnsi="KaiTi" w:hint="eastAsia"/>
        </w:rPr>
        <w:t>10</w:t>
      </w:r>
      <w:r w:rsidR="00B42F4F" w:rsidRPr="00412879">
        <w:rPr>
          <w:rFonts w:ascii="KaiTi" w:eastAsia="KaiTi" w:hAnsi="KaiTi" w:hint="eastAsia"/>
        </w:rPr>
        <w:t>年</w:t>
      </w:r>
      <w:r w:rsidR="009A1C33" w:rsidRPr="00412879">
        <w:rPr>
          <w:rFonts w:ascii="KaiTi" w:eastAsia="KaiTi" w:hAnsi="KaiTi" w:hint="eastAsia"/>
        </w:rPr>
        <w:t>6</w:t>
      </w:r>
      <w:r w:rsidR="00B42F4F" w:rsidRPr="00412879">
        <w:rPr>
          <w:rFonts w:ascii="KaiTi" w:eastAsia="KaiTi" w:hAnsi="KaiTi" w:hint="eastAsia"/>
        </w:rPr>
        <w:t>月3</w:t>
      </w:r>
      <w:r w:rsidR="009A1C33" w:rsidRPr="00412879">
        <w:rPr>
          <w:rFonts w:ascii="KaiTi" w:eastAsia="KaiTi" w:hAnsi="KaiTi" w:hint="eastAsia"/>
        </w:rPr>
        <w:t>0</w:t>
      </w:r>
      <w:r w:rsidR="00B42F4F" w:rsidRPr="00412879">
        <w:rPr>
          <w:rFonts w:ascii="KaiTi" w:eastAsia="KaiTi" w:hAnsi="KaiTi" w:hint="eastAsia"/>
        </w:rPr>
        <w:t>日，</w:t>
      </w:r>
      <w:r w:rsidRPr="00412879">
        <w:rPr>
          <w:rFonts w:ascii="KaiTi" w:eastAsia="KaiTi" w:hAnsi="KaiTi" w:hint="eastAsia"/>
        </w:rPr>
        <w:t>在两次金融危机的摧残下，运行超过10年，</w:t>
      </w:r>
      <w:r w:rsidR="00B42F4F" w:rsidRPr="00412879">
        <w:rPr>
          <w:rFonts w:ascii="KaiTi" w:eastAsia="KaiTi" w:hAnsi="KaiTi" w:hint="eastAsia"/>
        </w:rPr>
        <w:t>累计回报</w:t>
      </w:r>
      <w:r w:rsidRPr="00412879">
        <w:rPr>
          <w:rFonts w:ascii="KaiTi" w:eastAsia="KaiTi" w:hAnsi="KaiTi" w:hint="eastAsia"/>
        </w:rPr>
        <w:t>近</w:t>
      </w:r>
      <w:r w:rsidR="009A1C33" w:rsidRPr="00412879">
        <w:rPr>
          <w:rFonts w:ascii="KaiTi" w:eastAsia="KaiTi" w:hAnsi="KaiTi" w:hint="eastAsia"/>
        </w:rPr>
        <w:t>-6.51</w:t>
      </w:r>
      <w:r w:rsidR="00B42F4F" w:rsidRPr="00412879">
        <w:rPr>
          <w:rFonts w:ascii="KaiTi" w:eastAsia="KaiTi" w:hAnsi="KaiTi" w:hint="eastAsia"/>
        </w:rPr>
        <w:t>%。</w:t>
      </w:r>
    </w:p>
    <w:p w14:paraId="75726DE9" w14:textId="5C65B238" w:rsidR="00081BC0" w:rsidRPr="00412879" w:rsidRDefault="00081BC0" w:rsidP="007C3C73">
      <w:pPr>
        <w:rPr>
          <w:rFonts w:ascii="KaiTi" w:eastAsia="KaiTi" w:hAnsi="KaiTi"/>
        </w:rPr>
      </w:pPr>
      <w:r w:rsidRPr="00412879">
        <w:rPr>
          <w:rFonts w:ascii="KaiTi" w:eastAsia="KaiTi" w:hAnsi="KaiTi"/>
          <w:noProof/>
        </w:rPr>
        <w:drawing>
          <wp:inline distT="0" distB="0" distL="0" distR="0" wp14:anchorId="447308A0" wp14:editId="78FB0CD7">
            <wp:extent cx="5943600" cy="3145155"/>
            <wp:effectExtent l="0" t="0" r="0" b="4445"/>
            <wp:docPr id="1134338475" name="Picture 1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8475" name="Picture 1" descr="A graph showing the growth of the stock marke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0390" w14:textId="77777777" w:rsidR="00081BC0" w:rsidRPr="00412879" w:rsidRDefault="00081BC0" w:rsidP="007C3C73">
      <w:pPr>
        <w:rPr>
          <w:rFonts w:ascii="KaiTi" w:eastAsia="KaiTi" w:hAnsi="KaiTi"/>
        </w:rPr>
      </w:pPr>
    </w:p>
    <w:p w14:paraId="7C2B2EAE" w14:textId="2E3D8B33" w:rsidR="00081BC0" w:rsidRPr="00412879" w:rsidRDefault="00081BC0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同样是10000美金，在1999年1月7日投入柏瑞环球基金，持有约26年至2025年6月30日净值43968.51，年化回报仅5.75%。</w:t>
      </w:r>
    </w:p>
    <w:p w14:paraId="54D5D47F" w14:textId="02D91D17" w:rsidR="00081BC0" w:rsidRPr="00412879" w:rsidRDefault="00081BC0" w:rsidP="007C3C73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而ACWI指数ETF的投资人在2008年3月26日投入10000美金，持有17年，目前净值37496，年化回报有7.7%。</w:t>
      </w:r>
    </w:p>
    <w:p w14:paraId="281EF765" w14:textId="637D544D" w:rsidR="004250D5" w:rsidRPr="00412879" w:rsidRDefault="00315389" w:rsidP="004250D5">
      <w:pPr>
        <w:rPr>
          <w:rFonts w:ascii="KaiTi" w:eastAsia="KaiTi" w:hAnsi="KaiTi"/>
        </w:rPr>
      </w:pPr>
      <w:r w:rsidRPr="00412879">
        <w:rPr>
          <w:rFonts w:ascii="KaiTi" w:eastAsia="KaiTi" w:hAnsi="KaiTi"/>
          <w:noProof/>
        </w:rPr>
        <w:lastRenderedPageBreak/>
        <w:drawing>
          <wp:inline distT="0" distB="0" distL="0" distR="0" wp14:anchorId="5A17E94F" wp14:editId="79D821D9">
            <wp:extent cx="5943600" cy="3167380"/>
            <wp:effectExtent l="0" t="0" r="0" b="0"/>
            <wp:docPr id="808180327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0327" name="Picture 1" descr="A graph of a stock marke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71F7" w14:textId="77777777" w:rsidR="004250D5" w:rsidRPr="00412879" w:rsidRDefault="00081BC0" w:rsidP="004250D5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由于年化收益率公式中，早期的负回报需要很长的时间去摊薄，基金成立以来经历的两次股灾一直压制了长期年化回报。</w:t>
      </w:r>
    </w:p>
    <w:p w14:paraId="79EB9826" w14:textId="0C46B2CF" w:rsidR="00081BC0" w:rsidRPr="00412879" w:rsidRDefault="00081BC0" w:rsidP="004250D5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这就是所谓的 “时间成本效应”：越早成立的产品，如果在早期遇到重大熊市，哪怕后期表现不错，长期年化都会被拉低。</w:t>
      </w:r>
    </w:p>
    <w:p w14:paraId="2691173C" w14:textId="0E4D75D9" w:rsidR="00081BC0" w:rsidRPr="00412879" w:rsidRDefault="00081BC0" w:rsidP="004250D5">
      <w:pPr>
        <w:rPr>
          <w:rFonts w:ascii="KaiTi" w:eastAsia="KaiTi" w:hAnsi="KaiTi"/>
        </w:rPr>
      </w:pPr>
      <w:r w:rsidRPr="00412879">
        <w:rPr>
          <w:rFonts w:ascii="KaiTi" w:eastAsia="KaiTi" w:hAnsi="KaiTi" w:hint="eastAsia"/>
        </w:rPr>
        <w:t>为什么15年、10年、5年回报相近？因为这些窗口的起点都在 2010年以后，已经甩开了过往两次历史包袱，是在同一起跑线上比较。从2010年往后，基金与指数的表现差距几乎消失 → 所以这几段期间的年化回报趋同。</w:t>
      </w:r>
    </w:p>
    <w:p w14:paraId="7DFBE379" w14:textId="77777777" w:rsidR="00081BC0" w:rsidRPr="00412879" w:rsidRDefault="00081BC0" w:rsidP="007C3C73">
      <w:pPr>
        <w:rPr>
          <w:rFonts w:ascii="KaiTi" w:eastAsia="KaiTi" w:hAnsi="KaiTi"/>
        </w:rPr>
      </w:pPr>
    </w:p>
    <w:p w14:paraId="541DBC61" w14:textId="3435F5C2" w:rsidR="00081BC0" w:rsidRDefault="002A709F" w:rsidP="007C3C73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投资启示</w:t>
      </w:r>
      <w:r w:rsidR="004250D5" w:rsidRPr="00412879">
        <w:rPr>
          <w:rFonts w:ascii="KaiTi" w:eastAsia="KaiTi" w:hAnsi="KaiTi" w:hint="eastAsia"/>
        </w:rPr>
        <w:t>：</w:t>
      </w:r>
    </w:p>
    <w:p w14:paraId="0F8B6BE4" w14:textId="2B02AC4B" w:rsidR="002A709F" w:rsidRPr="002A709F" w:rsidRDefault="002A709F" w:rsidP="002A709F">
      <w:pPr>
        <w:numPr>
          <w:ilvl w:val="0"/>
          <w:numId w:val="3"/>
        </w:numPr>
        <w:rPr>
          <w:rFonts w:ascii="KaiTi" w:eastAsia="KaiTi" w:hAnsi="KaiTi"/>
        </w:rPr>
      </w:pPr>
      <w:r w:rsidRPr="002A709F">
        <w:rPr>
          <w:rFonts w:ascii="KaiTi" w:eastAsia="KaiTi" w:hAnsi="KaiTi"/>
          <w:b/>
          <w:bCs/>
        </w:rPr>
        <w:t>长期投资</w:t>
      </w:r>
      <w:r w:rsidR="00315389">
        <w:rPr>
          <w:rFonts w:ascii="KaiTi" w:eastAsia="KaiTi" w:hAnsi="KaiTi" w:hint="eastAsia"/>
          <w:b/>
          <w:bCs/>
        </w:rPr>
        <w:t>也要踩准时点</w:t>
      </w:r>
    </w:p>
    <w:p w14:paraId="72B6B8A8" w14:textId="6EC8AFDD" w:rsidR="002A709F" w:rsidRDefault="002A709F" w:rsidP="002A709F">
      <w:pPr>
        <w:rPr>
          <w:rFonts w:ascii="KaiTi" w:eastAsia="KaiTi" w:hAnsi="KaiTi"/>
        </w:rPr>
      </w:pPr>
      <w:r w:rsidRPr="002A709F">
        <w:rPr>
          <w:rFonts w:ascii="KaiTi" w:eastAsia="KaiTi" w:hAnsi="KaiTi"/>
        </w:rPr>
        <w:t>风险不在产品，而在起点。如果投资开局正好遇到牛市末期，可能要很长时间才能“回本”。</w:t>
      </w:r>
      <w:r>
        <w:rPr>
          <w:rFonts w:ascii="KaiTi" w:eastAsia="KaiTi" w:hAnsi="KaiTi" w:hint="eastAsia"/>
        </w:rPr>
        <w:t>所以投入时的估值其实挺重要的。</w:t>
      </w:r>
    </w:p>
    <w:p w14:paraId="0458F0CA" w14:textId="13E9A3AB" w:rsidR="002A709F" w:rsidRPr="002A709F" w:rsidRDefault="002A709F" w:rsidP="002A709F">
      <w:pPr>
        <w:rPr>
          <w:rFonts w:ascii="KaiTi" w:eastAsia="KaiTi" w:hAnsi="KaiTi" w:hint="eastAsia"/>
        </w:rPr>
      </w:pPr>
      <w:r w:rsidRPr="00412879">
        <w:rPr>
          <w:rFonts w:ascii="KaiTi" w:eastAsia="KaiTi" w:hAnsi="KaiTi" w:hint="eastAsia"/>
        </w:rPr>
        <w:t>柏瑞环球重点股票基金自成立起仅有约6%的年化回报，并不是因为其收取了过高的管理费率造成，而是因为其计算区间涵盖了两次股灾，在长达10年的时间里没有创造正收益，严重拖累了年化收益；</w:t>
      </w:r>
    </w:p>
    <w:p w14:paraId="66D6F306" w14:textId="77777777" w:rsidR="002A709F" w:rsidRPr="002A709F" w:rsidRDefault="002A709F" w:rsidP="002A709F">
      <w:pPr>
        <w:numPr>
          <w:ilvl w:val="0"/>
          <w:numId w:val="3"/>
        </w:numPr>
        <w:rPr>
          <w:rFonts w:ascii="KaiTi" w:eastAsia="KaiTi" w:hAnsi="KaiTi"/>
        </w:rPr>
      </w:pPr>
      <w:r w:rsidRPr="002A709F">
        <w:rPr>
          <w:rFonts w:ascii="KaiTi" w:eastAsia="KaiTi" w:hAnsi="KaiTi"/>
          <w:b/>
          <w:bCs/>
        </w:rPr>
        <w:t>全球配置的逻辑依然成立</w:t>
      </w:r>
    </w:p>
    <w:p w14:paraId="672DBA99" w14:textId="77777777" w:rsidR="002A709F" w:rsidRDefault="002A709F" w:rsidP="002A709F">
      <w:pPr>
        <w:rPr>
          <w:rFonts w:ascii="KaiTi" w:eastAsia="KaiTi" w:hAnsi="KaiTi"/>
        </w:rPr>
      </w:pPr>
      <w:r w:rsidRPr="002A709F">
        <w:rPr>
          <w:rFonts w:ascii="KaiTi" w:eastAsia="KaiTi" w:hAnsi="KaiTi"/>
        </w:rPr>
        <w:lastRenderedPageBreak/>
        <w:t>柏瑞基金能够长期跑赢对标指数，说明其结构是有效的，真正的问题只是时间窗口的偶然性。</w:t>
      </w:r>
    </w:p>
    <w:p w14:paraId="643879C5" w14:textId="71410A1C" w:rsidR="002A709F" w:rsidRPr="00412879" w:rsidRDefault="002A709F" w:rsidP="002A709F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基金开局遇上两次股灾，但长期年化回报依然接近6%，其实也侧面验证了长期持有股权的回报其实是非常不错的，而且持有时间越长，长期年化收益越贴近历史均值。</w:t>
      </w:r>
    </w:p>
    <w:p w14:paraId="5F361FE5" w14:textId="65A4759E" w:rsidR="002A709F" w:rsidRPr="002A709F" w:rsidRDefault="002A709F" w:rsidP="002A709F">
      <w:pPr>
        <w:rPr>
          <w:rFonts w:ascii="KaiTi" w:eastAsia="KaiTi" w:hAnsi="KaiTi"/>
        </w:rPr>
      </w:pPr>
    </w:p>
    <w:p w14:paraId="3A72718D" w14:textId="77777777" w:rsidR="002A709F" w:rsidRPr="002A709F" w:rsidRDefault="002A709F" w:rsidP="002A709F">
      <w:pPr>
        <w:numPr>
          <w:ilvl w:val="0"/>
          <w:numId w:val="3"/>
        </w:numPr>
        <w:rPr>
          <w:rFonts w:ascii="KaiTi" w:eastAsia="KaiTi" w:hAnsi="KaiTi"/>
        </w:rPr>
      </w:pPr>
      <w:r w:rsidRPr="002A709F">
        <w:rPr>
          <w:rFonts w:ascii="KaiTi" w:eastAsia="KaiTi" w:hAnsi="KaiTi"/>
          <w:b/>
          <w:bCs/>
        </w:rPr>
        <w:t>资产配置与风险对冲的重要性</w:t>
      </w:r>
    </w:p>
    <w:p w14:paraId="68557001" w14:textId="539FC1BB" w:rsidR="004250D5" w:rsidRDefault="002A709F" w:rsidP="007C3C73">
      <w:pPr>
        <w:rPr>
          <w:rFonts w:ascii="KaiTi" w:eastAsia="KaiTi" w:hAnsi="KaiTi"/>
        </w:rPr>
      </w:pPr>
      <w:r w:rsidRPr="002A709F">
        <w:rPr>
          <w:rFonts w:ascii="KaiTi" w:eastAsia="KaiTi" w:hAnsi="KaiTi"/>
        </w:rPr>
        <w:t>如果在2000年和2008年这样的周期里，投资组合中有一定比例的债券配置，哪怕是最简单的股债平衡，也能显著降低“时间成本”，加快回本速度。</w:t>
      </w:r>
    </w:p>
    <w:p w14:paraId="245C3A58" w14:textId="77777777" w:rsidR="002A709F" w:rsidRDefault="002A709F" w:rsidP="007C3C73">
      <w:pPr>
        <w:rPr>
          <w:rFonts w:ascii="KaiTi" w:eastAsia="KaiTi" w:hAnsi="KaiTi"/>
        </w:rPr>
      </w:pPr>
    </w:p>
    <w:p w14:paraId="72D71C04" w14:textId="77777777" w:rsidR="002A709F" w:rsidRPr="002A709F" w:rsidRDefault="002A709F" w:rsidP="002A709F">
      <w:pPr>
        <w:rPr>
          <w:rFonts w:ascii="KaiTi" w:eastAsia="KaiTi" w:hAnsi="KaiTi"/>
          <w:b/>
          <w:bCs/>
        </w:rPr>
      </w:pPr>
      <w:r w:rsidRPr="002A709F">
        <w:rPr>
          <w:rFonts w:ascii="KaiTi" w:eastAsia="KaiTi" w:hAnsi="KaiTi"/>
          <w:b/>
          <w:bCs/>
        </w:rPr>
        <w:t>结语</w:t>
      </w:r>
    </w:p>
    <w:p w14:paraId="415ABA6B" w14:textId="77777777" w:rsidR="002A709F" w:rsidRPr="002A709F" w:rsidRDefault="002A709F" w:rsidP="002A709F">
      <w:pPr>
        <w:rPr>
          <w:rFonts w:ascii="KaiTi" w:eastAsia="KaiTi" w:hAnsi="KaiTi"/>
        </w:rPr>
      </w:pPr>
    </w:p>
    <w:p w14:paraId="50AE632D" w14:textId="77777777" w:rsidR="002A709F" w:rsidRPr="002A709F" w:rsidRDefault="002A709F" w:rsidP="002A709F">
      <w:pPr>
        <w:rPr>
          <w:rFonts w:ascii="KaiTi" w:eastAsia="KaiTi" w:hAnsi="KaiTi"/>
        </w:rPr>
      </w:pPr>
      <w:r w:rsidRPr="002A709F">
        <w:rPr>
          <w:rFonts w:ascii="KaiTi" w:eastAsia="KaiTi" w:hAnsi="KaiTi"/>
        </w:rPr>
        <w:t xml:space="preserve">柏瑞环球重点基金长期年化只有6%，并不是因为它“不行”，而是因为它 </w:t>
      </w:r>
      <w:r w:rsidRPr="002A709F">
        <w:rPr>
          <w:rFonts w:ascii="KaiTi" w:eastAsia="KaiTi" w:hAnsi="KaiTi"/>
          <w:b/>
          <w:bCs/>
        </w:rPr>
        <w:t>起点不佳，生不逢时</w:t>
      </w:r>
      <w:r w:rsidRPr="002A709F">
        <w:rPr>
          <w:rFonts w:ascii="KaiTi" w:eastAsia="KaiTi" w:hAnsi="KaiTi"/>
        </w:rPr>
        <w:t>。两次历史级别的股灾压制了成立以来的回报，但如果单看2010年以来的表现，它其实与全球指数不相上下，甚至在部分阶段更优。</w:t>
      </w:r>
    </w:p>
    <w:p w14:paraId="4D1F9A0D" w14:textId="77777777" w:rsidR="002A709F" w:rsidRPr="002A709F" w:rsidRDefault="002A709F" w:rsidP="002A709F">
      <w:pPr>
        <w:rPr>
          <w:rFonts w:ascii="KaiTi" w:eastAsia="KaiTi" w:hAnsi="KaiTi"/>
        </w:rPr>
      </w:pPr>
    </w:p>
    <w:p w14:paraId="5065C35B" w14:textId="77777777" w:rsidR="002A709F" w:rsidRPr="002A709F" w:rsidRDefault="002A709F" w:rsidP="002A709F">
      <w:pPr>
        <w:rPr>
          <w:rFonts w:ascii="KaiTi" w:eastAsia="KaiTi" w:hAnsi="KaiTi"/>
        </w:rPr>
      </w:pPr>
      <w:r w:rsidRPr="002A709F">
        <w:rPr>
          <w:rFonts w:ascii="KaiTi" w:eastAsia="KaiTi" w:hAnsi="KaiTi"/>
        </w:rPr>
        <w:t>这再次印证了一个朴素的道理：</w:t>
      </w:r>
    </w:p>
    <w:p w14:paraId="2271F4F1" w14:textId="77777777" w:rsidR="002A709F" w:rsidRPr="002A709F" w:rsidRDefault="002A709F" w:rsidP="002A709F">
      <w:pPr>
        <w:rPr>
          <w:rFonts w:ascii="KaiTi" w:eastAsia="KaiTi" w:hAnsi="KaiTi"/>
          <w:b/>
          <w:bCs/>
        </w:rPr>
      </w:pPr>
      <w:r w:rsidRPr="002A709F">
        <w:rPr>
          <w:rFonts w:ascii="KaiTi" w:eastAsia="KaiTi" w:hAnsi="KaiTi"/>
          <w:b/>
          <w:bCs/>
        </w:rPr>
        <w:t>投资的确定性，不在于预测行情，而在于分散与耐心。</w:t>
      </w:r>
    </w:p>
    <w:p w14:paraId="363ED365" w14:textId="77777777" w:rsidR="002A709F" w:rsidRPr="00412879" w:rsidRDefault="002A709F" w:rsidP="007C3C73">
      <w:pPr>
        <w:rPr>
          <w:rFonts w:ascii="KaiTi" w:eastAsia="KaiTi" w:hAnsi="KaiTi"/>
        </w:rPr>
      </w:pPr>
    </w:p>
    <w:sectPr w:rsidR="002A709F" w:rsidRPr="00412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B2320"/>
    <w:multiLevelType w:val="hybridMultilevel"/>
    <w:tmpl w:val="09A206DE"/>
    <w:lvl w:ilvl="0" w:tplc="3D0203F4"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96B04"/>
    <w:multiLevelType w:val="multilevel"/>
    <w:tmpl w:val="B3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670B2"/>
    <w:multiLevelType w:val="multilevel"/>
    <w:tmpl w:val="7D92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835692">
    <w:abstractNumId w:val="0"/>
  </w:num>
  <w:num w:numId="2" w16cid:durableId="458299584">
    <w:abstractNumId w:val="1"/>
  </w:num>
  <w:num w:numId="3" w16cid:durableId="476806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56"/>
    <w:rsid w:val="0005346F"/>
    <w:rsid w:val="00081BC0"/>
    <w:rsid w:val="000849F4"/>
    <w:rsid w:val="000A6AC6"/>
    <w:rsid w:val="000E3B4E"/>
    <w:rsid w:val="001E7356"/>
    <w:rsid w:val="002A709F"/>
    <w:rsid w:val="00315389"/>
    <w:rsid w:val="00412879"/>
    <w:rsid w:val="004250D5"/>
    <w:rsid w:val="007C3C73"/>
    <w:rsid w:val="008A667D"/>
    <w:rsid w:val="008C7359"/>
    <w:rsid w:val="009029D9"/>
    <w:rsid w:val="009A1C33"/>
    <w:rsid w:val="00A66089"/>
    <w:rsid w:val="00A8001C"/>
    <w:rsid w:val="00AA30F2"/>
    <w:rsid w:val="00B42F4F"/>
    <w:rsid w:val="00C271E3"/>
    <w:rsid w:val="00C87878"/>
    <w:rsid w:val="00EC4F70"/>
    <w:rsid w:val="00EE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03967"/>
  <w15:chartTrackingRefBased/>
  <w15:docId w15:val="{B8201F15-919F-3144-AB4B-7FB06BFF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8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896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87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7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6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4</cp:revision>
  <dcterms:created xsi:type="dcterms:W3CDTF">2025-08-22T02:59:00Z</dcterms:created>
  <dcterms:modified xsi:type="dcterms:W3CDTF">2025-08-22T03:06:00Z</dcterms:modified>
</cp:coreProperties>
</file>