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12E02"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B8EEA80" w14:textId="77777777" w:rsidR="0029290D" w:rsidRDefault="0029290D" w:rsidP="0029290D">
      <w:pPr>
        <w:autoSpaceDE w:val="0"/>
        <w:autoSpaceDN w:val="0"/>
        <w:adjustRightInd w:val="0"/>
        <w:jc w:val="left"/>
        <w:rPr>
          <w:rFonts w:ascii="AppleSystemUIFont" w:hAnsi="AppleSystemUIFont" w:cs="AppleSystemUIFont"/>
          <w:b/>
          <w:bCs/>
          <w:kern w:val="0"/>
          <w:sz w:val="26"/>
          <w:szCs w:val="26"/>
        </w:rPr>
      </w:pPr>
      <w:r>
        <w:rPr>
          <w:rFonts w:ascii="AppleSystemUIFont" w:hAnsi="AppleSystemUIFont" w:cs="AppleSystemUIFont"/>
          <w:b/>
          <w:bCs/>
          <w:kern w:val="0"/>
          <w:sz w:val="26"/>
          <w:szCs w:val="26"/>
        </w:rPr>
        <w:t>四、税务身份规划：保单的递延税收优势</w:t>
      </w:r>
    </w:p>
    <w:p w14:paraId="64C7205E" w14:textId="77777777" w:rsidR="0029290D" w:rsidRDefault="0029290D" w:rsidP="0029290D">
      <w:pPr>
        <w:autoSpaceDE w:val="0"/>
        <w:autoSpaceDN w:val="0"/>
        <w:adjustRightInd w:val="0"/>
        <w:jc w:val="left"/>
        <w:rPr>
          <w:rFonts w:ascii="AppleSystemUIFont" w:hAnsi="AppleSystemUIFont" w:cs="AppleSystemUIFont"/>
          <w:b/>
          <w:bCs/>
          <w:kern w:val="0"/>
          <w:sz w:val="26"/>
          <w:szCs w:val="26"/>
        </w:rPr>
      </w:pPr>
    </w:p>
    <w:p w14:paraId="46319755"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海外投资中，税务问题无疑是投资者必须面对的复杂挑战，尤其对于高税负国家或地区的税务居民而言，资本利得税、红利税、遗产税等各类税收都可能对投资收益产生显著影响，甚至削弱长期财富积累的效果。虽然部分高净值人群可能通过移民等方式调整税务身份，但这种方式并不适用于大多数普通投资者。因此，如何在现有税务身份下合理规避税务负担，成为海外投资中的一个关键问题。</w:t>
      </w:r>
    </w:p>
    <w:p w14:paraId="778761E8"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1FC3ECCE"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此背景下，保险产品因其独特的法律结构和税务递延功能，成为了一种低成本且高效的税务筹划工具。通过保险，投资者不仅可以避免每年缴纳资本利得税，延后纳税责任，还能充分利用复利效应，最大化财富增值。</w:t>
      </w:r>
    </w:p>
    <w:p w14:paraId="3A60677D"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1F6EF948"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税收递延功能：如何提升长期回报？</w:t>
      </w:r>
    </w:p>
    <w:p w14:paraId="7F5E14F2"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5756874B"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普通投资者每年都需要对资本利得缴纳税款，这一税务负担直接影响了投资回报率，削弱了长期复利效应。相比之下，保险产品的税收递延功能允许投资者在保单持有期间无需缴税，只有在实际提取收益或退保时才需缴纳税款。这使得投资者能够将应缴税款继续用于投资，使资金在更长时间内实现复利增长。</w:t>
      </w:r>
    </w:p>
    <w:p w14:paraId="2D9119FF"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329F05A2"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案例：税务递延的长期价值</w:t>
      </w:r>
    </w:p>
    <w:p w14:paraId="19A7E1F5"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58944021"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假设投资者</w:t>
      </w:r>
      <w:r>
        <w:rPr>
          <w:rFonts w:ascii="AppleSystemUIFont" w:hAnsi="AppleSystemUIFont" w:cs="AppleSystemUIFont"/>
          <w:kern w:val="0"/>
          <w:sz w:val="26"/>
          <w:szCs w:val="26"/>
        </w:rPr>
        <w:t>A</w:t>
      </w:r>
      <w:r>
        <w:rPr>
          <w:rFonts w:ascii="AppleSystemUIFont" w:hAnsi="AppleSystemUIFont" w:cs="AppleSystemUIFont"/>
          <w:kern w:val="0"/>
          <w:sz w:val="26"/>
          <w:szCs w:val="26"/>
        </w:rPr>
        <w:t>投入</w:t>
      </w:r>
      <w:r>
        <w:rPr>
          <w:rFonts w:ascii="AppleSystemUIFont" w:hAnsi="AppleSystemUIFont" w:cs="AppleSystemUIFont"/>
          <w:kern w:val="0"/>
          <w:sz w:val="26"/>
          <w:szCs w:val="26"/>
        </w:rPr>
        <w:t>100</w:t>
      </w:r>
      <w:r>
        <w:rPr>
          <w:rFonts w:ascii="AppleSystemUIFont" w:hAnsi="AppleSystemUIFont" w:cs="AppleSystemUIFont"/>
          <w:kern w:val="0"/>
          <w:sz w:val="26"/>
          <w:szCs w:val="26"/>
        </w:rPr>
        <w:t>万元，每年获得</w:t>
      </w:r>
      <w:r>
        <w:rPr>
          <w:rFonts w:ascii="AppleSystemUIFont" w:hAnsi="AppleSystemUIFont" w:cs="AppleSystemUIFont"/>
          <w:kern w:val="0"/>
          <w:sz w:val="26"/>
          <w:szCs w:val="26"/>
        </w:rPr>
        <w:t>6%</w:t>
      </w:r>
      <w:r>
        <w:rPr>
          <w:rFonts w:ascii="AppleSystemUIFont" w:hAnsi="AppleSystemUIFont" w:cs="AppleSystemUIFont"/>
          <w:kern w:val="0"/>
          <w:sz w:val="26"/>
          <w:szCs w:val="26"/>
        </w:rPr>
        <w:t>的投资回报。在普通投资模式下，投资者</w:t>
      </w:r>
      <w:r>
        <w:rPr>
          <w:rFonts w:ascii="AppleSystemUIFont" w:hAnsi="AppleSystemUIFont" w:cs="AppleSystemUIFont"/>
          <w:kern w:val="0"/>
          <w:sz w:val="26"/>
          <w:szCs w:val="26"/>
        </w:rPr>
        <w:t>A</w:t>
      </w:r>
      <w:r>
        <w:rPr>
          <w:rFonts w:ascii="AppleSystemUIFont" w:hAnsi="AppleSystemUIFont" w:cs="AppleSystemUIFont"/>
          <w:kern w:val="0"/>
          <w:sz w:val="26"/>
          <w:szCs w:val="26"/>
        </w:rPr>
        <w:t>每年需缴纳</w:t>
      </w:r>
      <w:r>
        <w:rPr>
          <w:rFonts w:ascii="AppleSystemUIFont" w:hAnsi="AppleSystemUIFont" w:cs="AppleSystemUIFont"/>
          <w:kern w:val="0"/>
          <w:sz w:val="26"/>
          <w:szCs w:val="26"/>
        </w:rPr>
        <w:t>20%</w:t>
      </w:r>
      <w:r>
        <w:rPr>
          <w:rFonts w:ascii="AppleSystemUIFont" w:hAnsi="AppleSystemUIFont" w:cs="AppleSystemUIFont"/>
          <w:kern w:val="0"/>
          <w:sz w:val="26"/>
          <w:szCs w:val="26"/>
        </w:rPr>
        <w:t>的资本利得税，实际净增长率为</w:t>
      </w:r>
      <w:r>
        <w:rPr>
          <w:rFonts w:ascii="AppleSystemUIFont" w:hAnsi="AppleSystemUIFont" w:cs="AppleSystemUIFont"/>
          <w:kern w:val="0"/>
          <w:sz w:val="26"/>
          <w:szCs w:val="26"/>
        </w:rPr>
        <w:t>4.8%</w:t>
      </w:r>
      <w:r>
        <w:rPr>
          <w:rFonts w:ascii="AppleSystemUIFont" w:hAnsi="AppleSystemUIFont" w:cs="AppleSystemUIFont"/>
          <w:kern w:val="0"/>
          <w:sz w:val="26"/>
          <w:szCs w:val="26"/>
        </w:rPr>
        <w:t>。</w:t>
      </w:r>
      <w:r>
        <w:rPr>
          <w:rFonts w:ascii="AppleSystemUIFont" w:hAnsi="AppleSystemUIFont" w:cs="AppleSystemUIFont"/>
          <w:kern w:val="0"/>
          <w:sz w:val="26"/>
          <w:szCs w:val="26"/>
        </w:rPr>
        <w:t>20</w:t>
      </w:r>
      <w:r>
        <w:rPr>
          <w:rFonts w:ascii="AppleSystemUIFont" w:hAnsi="AppleSystemUIFont" w:cs="AppleSystemUIFont"/>
          <w:kern w:val="0"/>
          <w:sz w:val="26"/>
          <w:szCs w:val="26"/>
        </w:rPr>
        <w:t>年后，投资者</w:t>
      </w:r>
      <w:r>
        <w:rPr>
          <w:rFonts w:ascii="AppleSystemUIFont" w:hAnsi="AppleSystemUIFont" w:cs="AppleSystemUIFont"/>
          <w:kern w:val="0"/>
          <w:sz w:val="26"/>
          <w:szCs w:val="26"/>
        </w:rPr>
        <w:t>A</w:t>
      </w:r>
      <w:r>
        <w:rPr>
          <w:rFonts w:ascii="AppleSystemUIFont" w:hAnsi="AppleSystemUIFont" w:cs="AppleSystemUIFont"/>
          <w:kern w:val="0"/>
          <w:sz w:val="26"/>
          <w:szCs w:val="26"/>
        </w:rPr>
        <w:t>的资产总额将增至约</w:t>
      </w:r>
      <w:r>
        <w:rPr>
          <w:rFonts w:ascii="AppleSystemUIFont" w:hAnsi="AppleSystemUIFont" w:cs="AppleSystemUIFont"/>
          <w:kern w:val="0"/>
          <w:sz w:val="26"/>
          <w:szCs w:val="26"/>
        </w:rPr>
        <w:t>255</w:t>
      </w:r>
      <w:r>
        <w:rPr>
          <w:rFonts w:ascii="AppleSystemUIFont" w:hAnsi="AppleSystemUIFont" w:cs="AppleSystemUIFont"/>
          <w:kern w:val="0"/>
          <w:sz w:val="26"/>
          <w:szCs w:val="26"/>
        </w:rPr>
        <w:t>万元。</w:t>
      </w:r>
    </w:p>
    <w:p w14:paraId="4A6D20CF"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5790717A"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相比之下，若投资者选择通过保单进行相同的投资，由于保单享有税务递延功能，整个</w:t>
      </w:r>
      <w:r>
        <w:rPr>
          <w:rFonts w:ascii="AppleSystemUIFont" w:hAnsi="AppleSystemUIFont" w:cs="AppleSystemUIFont"/>
          <w:kern w:val="0"/>
          <w:sz w:val="26"/>
          <w:szCs w:val="26"/>
        </w:rPr>
        <w:t>20</w:t>
      </w:r>
      <w:r>
        <w:rPr>
          <w:rFonts w:ascii="AppleSystemUIFont" w:hAnsi="AppleSystemUIFont" w:cs="AppleSystemUIFont"/>
          <w:kern w:val="0"/>
          <w:sz w:val="26"/>
          <w:szCs w:val="26"/>
        </w:rPr>
        <w:t>年内的增长率维持在</w:t>
      </w:r>
      <w:r>
        <w:rPr>
          <w:rFonts w:ascii="AppleSystemUIFont" w:hAnsi="AppleSystemUIFont" w:cs="AppleSystemUIFont"/>
          <w:kern w:val="0"/>
          <w:sz w:val="26"/>
          <w:szCs w:val="26"/>
        </w:rPr>
        <w:t>6%</w:t>
      </w:r>
      <w:r>
        <w:rPr>
          <w:rFonts w:ascii="AppleSystemUIFont" w:hAnsi="AppleSystemUIFont" w:cs="AppleSystemUIFont"/>
          <w:kern w:val="0"/>
          <w:sz w:val="26"/>
          <w:szCs w:val="26"/>
        </w:rPr>
        <w:t>。到</w:t>
      </w:r>
      <w:r>
        <w:rPr>
          <w:rFonts w:ascii="AppleSystemUIFont" w:hAnsi="AppleSystemUIFont" w:cs="AppleSystemUIFont"/>
          <w:kern w:val="0"/>
          <w:sz w:val="26"/>
          <w:szCs w:val="26"/>
        </w:rPr>
        <w:t>20</w:t>
      </w:r>
      <w:r>
        <w:rPr>
          <w:rFonts w:ascii="AppleSystemUIFont" w:hAnsi="AppleSystemUIFont" w:cs="AppleSystemUIFont"/>
          <w:kern w:val="0"/>
          <w:sz w:val="26"/>
          <w:szCs w:val="26"/>
        </w:rPr>
        <w:t>年末，投资者的总资产可达约</w:t>
      </w:r>
      <w:r>
        <w:rPr>
          <w:rFonts w:ascii="AppleSystemUIFont" w:hAnsi="AppleSystemUIFont" w:cs="AppleSystemUIFont"/>
          <w:kern w:val="0"/>
          <w:sz w:val="26"/>
          <w:szCs w:val="26"/>
        </w:rPr>
        <w:t>320</w:t>
      </w:r>
      <w:r>
        <w:rPr>
          <w:rFonts w:ascii="AppleSystemUIFont" w:hAnsi="AppleSystemUIFont" w:cs="AppleSystemUIFont"/>
          <w:kern w:val="0"/>
          <w:sz w:val="26"/>
          <w:szCs w:val="26"/>
        </w:rPr>
        <w:t>万元。即便在取出时缴纳资本利得税，扣除后余额依然显著高于普通投资。这种差距在更长时间内会更加明显，例如在</w:t>
      </w:r>
      <w:r>
        <w:rPr>
          <w:rFonts w:ascii="AppleSystemUIFont" w:hAnsi="AppleSystemUIFont" w:cs="AppleSystemUIFont"/>
          <w:kern w:val="0"/>
          <w:sz w:val="26"/>
          <w:szCs w:val="26"/>
        </w:rPr>
        <w:t>30</w:t>
      </w:r>
      <w:r>
        <w:rPr>
          <w:rFonts w:ascii="AppleSystemUIFont" w:hAnsi="AppleSystemUIFont" w:cs="AppleSystemUIFont"/>
          <w:kern w:val="0"/>
          <w:sz w:val="26"/>
          <w:szCs w:val="26"/>
        </w:rPr>
        <w:t>年后，普通投资的净资产为约</w:t>
      </w:r>
      <w:r>
        <w:rPr>
          <w:rFonts w:ascii="AppleSystemUIFont" w:hAnsi="AppleSystemUIFont" w:cs="AppleSystemUIFont"/>
          <w:kern w:val="0"/>
          <w:sz w:val="26"/>
          <w:szCs w:val="26"/>
        </w:rPr>
        <w:t>408</w:t>
      </w:r>
      <w:r>
        <w:rPr>
          <w:rFonts w:ascii="AppleSystemUIFont" w:hAnsi="AppleSystemUIFont" w:cs="AppleSystemUIFont"/>
          <w:kern w:val="0"/>
          <w:sz w:val="26"/>
          <w:szCs w:val="26"/>
        </w:rPr>
        <w:t>万元，而保单投资的余额为约</w:t>
      </w:r>
      <w:r>
        <w:rPr>
          <w:rFonts w:ascii="AppleSystemUIFont" w:hAnsi="AppleSystemUIFont" w:cs="AppleSystemUIFont"/>
          <w:kern w:val="0"/>
          <w:sz w:val="26"/>
          <w:szCs w:val="26"/>
        </w:rPr>
        <w:t>479</w:t>
      </w:r>
      <w:r>
        <w:rPr>
          <w:rFonts w:ascii="AppleSystemUIFont" w:hAnsi="AppleSystemUIFont" w:cs="AppleSystemUIFont"/>
          <w:kern w:val="0"/>
          <w:sz w:val="26"/>
          <w:szCs w:val="26"/>
        </w:rPr>
        <w:t>万元；</w:t>
      </w:r>
      <w:r>
        <w:rPr>
          <w:rFonts w:ascii="AppleSystemUIFont" w:hAnsi="AppleSystemUIFont" w:cs="AppleSystemUIFont"/>
          <w:kern w:val="0"/>
          <w:sz w:val="26"/>
          <w:szCs w:val="26"/>
        </w:rPr>
        <w:t>40</w:t>
      </w:r>
      <w:r>
        <w:rPr>
          <w:rFonts w:ascii="AppleSystemUIFont" w:hAnsi="AppleSystemUIFont" w:cs="AppleSystemUIFont"/>
          <w:kern w:val="0"/>
          <w:sz w:val="26"/>
          <w:szCs w:val="26"/>
        </w:rPr>
        <w:t>年后，两者差距则进一步拉大至</w:t>
      </w:r>
      <w:r>
        <w:rPr>
          <w:rFonts w:ascii="AppleSystemUIFont" w:hAnsi="AppleSystemUIFont" w:cs="AppleSystemUIFont"/>
          <w:kern w:val="0"/>
          <w:sz w:val="26"/>
          <w:szCs w:val="26"/>
        </w:rPr>
        <w:t>652</w:t>
      </w:r>
      <w:r>
        <w:rPr>
          <w:rFonts w:ascii="AppleSystemUIFont" w:hAnsi="AppleSystemUIFont" w:cs="AppleSystemUIFont"/>
          <w:kern w:val="0"/>
          <w:sz w:val="26"/>
          <w:szCs w:val="26"/>
        </w:rPr>
        <w:t>万元对比</w:t>
      </w:r>
      <w:r>
        <w:rPr>
          <w:rFonts w:ascii="AppleSystemUIFont" w:hAnsi="AppleSystemUIFont" w:cs="AppleSystemUIFont"/>
          <w:kern w:val="0"/>
          <w:sz w:val="26"/>
          <w:szCs w:val="26"/>
        </w:rPr>
        <w:t>842</w:t>
      </w:r>
      <w:r>
        <w:rPr>
          <w:rFonts w:ascii="AppleSystemUIFont" w:hAnsi="AppleSystemUIFont" w:cs="AppleSystemUIFont"/>
          <w:kern w:val="0"/>
          <w:sz w:val="26"/>
          <w:szCs w:val="26"/>
        </w:rPr>
        <w:t>万元。</w:t>
      </w:r>
    </w:p>
    <w:p w14:paraId="5B5E2BB6"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46BFCF84"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灵活提取的税务优势：第</w:t>
      </w:r>
      <w:r>
        <w:rPr>
          <w:rFonts w:ascii="AppleSystemUIFont" w:hAnsi="AppleSystemUIFont" w:cs="AppleSystemUIFont"/>
          <w:kern w:val="0"/>
          <w:sz w:val="26"/>
          <w:szCs w:val="26"/>
        </w:rPr>
        <w:t>10</w:t>
      </w:r>
      <w:r>
        <w:rPr>
          <w:rFonts w:ascii="AppleSystemUIFont" w:hAnsi="AppleSystemUIFont" w:cs="AppleSystemUIFont"/>
          <w:kern w:val="0"/>
          <w:sz w:val="26"/>
          <w:szCs w:val="26"/>
        </w:rPr>
        <w:t>年开始提取资金</w:t>
      </w:r>
    </w:p>
    <w:p w14:paraId="4788D218"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6F0C612"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在保单税务递延的基础上，保险产品还提供了灵活的提取机制，帮助投资者优化现金流管理。假设投资者在保单持有第</w:t>
      </w:r>
      <w:r>
        <w:rPr>
          <w:rFonts w:ascii="AppleSystemUIFont" w:hAnsi="AppleSystemUIFont" w:cs="AppleSystemUIFont"/>
          <w:kern w:val="0"/>
          <w:sz w:val="26"/>
          <w:szCs w:val="26"/>
        </w:rPr>
        <w:t>10</w:t>
      </w:r>
      <w:r>
        <w:rPr>
          <w:rFonts w:ascii="AppleSystemUIFont" w:hAnsi="AppleSystemUIFont" w:cs="AppleSystemUIFont"/>
          <w:kern w:val="0"/>
          <w:sz w:val="26"/>
          <w:szCs w:val="26"/>
        </w:rPr>
        <w:t>年开始每年提取</w:t>
      </w:r>
      <w:r>
        <w:rPr>
          <w:rFonts w:ascii="AppleSystemUIFont" w:hAnsi="AppleSystemUIFont" w:cs="AppleSystemUIFont"/>
          <w:kern w:val="0"/>
          <w:sz w:val="26"/>
          <w:szCs w:val="26"/>
        </w:rPr>
        <w:t>6%</w:t>
      </w:r>
      <w:r>
        <w:rPr>
          <w:rFonts w:ascii="AppleSystemUIFont" w:hAnsi="AppleSystemUIFont" w:cs="AppleSystemUIFont"/>
          <w:kern w:val="0"/>
          <w:sz w:val="26"/>
          <w:szCs w:val="26"/>
        </w:rPr>
        <w:t>的初始投资金额，用于日常生活开支，只有当提取金额超过初始投资</w:t>
      </w:r>
      <w:r>
        <w:rPr>
          <w:rFonts w:ascii="AppleSystemUIFont" w:hAnsi="AppleSystemUIFont" w:cs="AppleSystemUIFont"/>
          <w:kern w:val="0"/>
          <w:sz w:val="26"/>
          <w:szCs w:val="26"/>
        </w:rPr>
        <w:t>100</w:t>
      </w:r>
      <w:r>
        <w:rPr>
          <w:rFonts w:ascii="AppleSystemUIFont" w:hAnsi="AppleSystemUIFont" w:cs="AppleSystemUIFont"/>
          <w:kern w:val="0"/>
          <w:sz w:val="26"/>
          <w:szCs w:val="26"/>
        </w:rPr>
        <w:t>万元时，才需缴纳资本利得税。这种灵活的提取方式不仅让投资者享受持续的无税增长，还可以通过税务规划在</w:t>
      </w:r>
      <w:r>
        <w:rPr>
          <w:rFonts w:ascii="AppleSystemUIFont" w:hAnsi="AppleSystemUIFont" w:cs="AppleSystemUIFont"/>
          <w:kern w:val="0"/>
          <w:sz w:val="26"/>
          <w:szCs w:val="26"/>
        </w:rPr>
        <w:t>26</w:t>
      </w:r>
      <w:r>
        <w:rPr>
          <w:rFonts w:ascii="AppleSystemUIFont" w:hAnsi="AppleSystemUIFont" w:cs="AppleSystemUIFont"/>
          <w:kern w:val="0"/>
          <w:sz w:val="26"/>
          <w:szCs w:val="26"/>
        </w:rPr>
        <w:t>年后仅对于每年提取的金额缴纳利得税，延缓纳税，最大化复利效果。</w:t>
      </w:r>
    </w:p>
    <w:p w14:paraId="3DEB9B32"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12ADB445"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保单在财富传承中的税务优势</w:t>
      </w:r>
    </w:p>
    <w:p w14:paraId="2CE96C25"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11E6A04F"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除了税收递延外，保险产品在财富传承中也有显著的优势。通过保单，投资者可以指定受益人，确保保单收益不受繁琐的法律程序和高额遗产税的影响，实现无缝传承。这为高净值投资者提供了一种合法且高效的财富传承工具，减少税务负担的同时，确保资产顺利传递给下一代。</w:t>
      </w:r>
    </w:p>
    <w:p w14:paraId="57A0BA82"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4C1FF5D3"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总结：税务递延与财富增长的完美结合</w:t>
      </w:r>
    </w:p>
    <w:p w14:paraId="01268F60"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3F5702AF"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产品不仅是风险管理工具，更是有效的税务筹划载体。通过其税务递延功能，投资者可以将税务责任延后，利用未缴税的资金实现更高的复利回报。同时，灵活的提取机制让投资者能够在需要现金流时进行提取，并通过合理规划延迟纳税，最大化长期财富积累。</w:t>
      </w:r>
    </w:p>
    <w:p w14:paraId="080EBEE2"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38BD91BC"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在第</w:t>
      </w:r>
      <w:r>
        <w:rPr>
          <w:rFonts w:ascii="AppleSystemUIFont" w:hAnsi="AppleSystemUIFont" w:cs="AppleSystemUIFont"/>
          <w:kern w:val="0"/>
          <w:sz w:val="26"/>
          <w:szCs w:val="26"/>
        </w:rPr>
        <w:t>10</w:t>
      </w:r>
      <w:r>
        <w:rPr>
          <w:rFonts w:ascii="AppleSystemUIFont" w:hAnsi="AppleSystemUIFont" w:cs="AppleSystemUIFont"/>
          <w:kern w:val="0"/>
          <w:sz w:val="26"/>
          <w:szCs w:val="26"/>
        </w:rPr>
        <w:t>年开始提取的案例中，保单的税收递延和复利增长效果明显优于普通投资，即便提取部分资金，保单依然能够保持较高的资产余额。此外，保单在财富传承中的独特优势，使其成为全球资产配置中不可或缺的战略工具，帮助投资者在复杂的税务环境中实现财富的稳健增长与有效传承。</w:t>
      </w:r>
    </w:p>
    <w:p w14:paraId="5B8CA486"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3D90909B"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五、一站式管理，简化投资流程</w:t>
      </w:r>
    </w:p>
    <w:p w14:paraId="6E0861AC"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5297FBBE"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全球化的投资环境中，投资者面临的不仅是如何选择优质资产，还包括如何应对投资流程的复杂性，尤其是对于那些希望涉足海外市场的投资者而言。传统的海外投资流程，通常涉及到多方账户管理、资金出入、跨境操作、监管要求等一系列繁琐的步骤。对于普通投资者来说，这不仅增加了操作成本，也带来了潜在的风险和不确定性。</w:t>
      </w:r>
    </w:p>
    <w:p w14:paraId="2BA19665"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71136985"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相比之下，保险产品提供了一个简化且高效的解决方案，通过一站式管理功能，投资者可以在一个账户内完成全球资产配置，无需处理复杂的券商账户和资金管理问题。保险公司以其专业的团队、透明的管理架构以及严格的监管，帮助投资者减轻了许多海外投资中的繁琐操作和风险。</w:t>
      </w:r>
    </w:p>
    <w:p w14:paraId="10C40270"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4A9E448D"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一站式管理：简化全球资产配置</w:t>
      </w:r>
    </w:p>
    <w:p w14:paraId="34B8A21A"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2A2F80DC"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传统的海外投资通常需要在多个平台上开设不同的账户。比如，投资者可能需要在不同国家的券商开户，用来买卖股票、债券、基金等金融产品。这不仅意味着繁琐的跨境开户程序，还可能面临出入金、汇率转换等复杂操作。更重要的是，投资者还需要随时关注不同账户之间的资金流动和安全性，稍有不慎，可能就会导致资金损失或操作失误。</w:t>
      </w:r>
    </w:p>
    <w:p w14:paraId="7B6F4159"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762AF3D5"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保险产品则通过一站式管理大幅简化了这一过程。投资者只需通过一个</w:t>
      </w:r>
      <w:r>
        <w:rPr>
          <w:rFonts w:ascii="AppleSystemUIFont" w:hAnsi="AppleSystemUIFont" w:cs="AppleSystemUIFont"/>
          <w:kern w:val="0"/>
          <w:sz w:val="26"/>
          <w:szCs w:val="26"/>
        </w:rPr>
        <w:lastRenderedPageBreak/>
        <w:t>账户，便可以实现全球资产的灵活配置，保险公司在背后负责资金的调配和管理。无论是股票型基金、债券型基金，还是另类投资工具，投资者可以根据自身的需求和风险偏好，选择适合的资产组合，而无需操心繁琐的操作细节。</w:t>
      </w:r>
    </w:p>
    <w:p w14:paraId="68D91FFF"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CAD6FF2"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例如，某大型国际保险公司的投资型保单允许投资者在全球范围内选择基金经理和投资标的，无需另行开设多个海外账户。所有的投资管理工作都由保险公司来处理，投资者只需通过一个简单的平台，就可以轻松实现全球化的资产配置。这种简化的操作大大降低了投资的复杂性，使得海外投资变得更加便捷和透明。</w:t>
      </w:r>
    </w:p>
    <w:p w14:paraId="54AC8FD9"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7B17581D"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降低中介风险：保险产品的稳定性与安全性</w:t>
      </w:r>
    </w:p>
    <w:p w14:paraId="499C3A09"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096B3B85"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近年来，海外券商违约事件时有发生，特别是在一些金融市场监管较为薄弱的国家和地区。这种违约事件不仅会导致投资者资金无法取回，还可能让投资者面临法律和监管上的复杂问题，进一步增加投资风险。面对这些风险，许多投资者在选择海外券商时，往往会对其资质产生疑虑和不安。</w:t>
      </w:r>
    </w:p>
    <w:p w14:paraId="71D72565"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5C289DA"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通过保险产品进行投资，投资者的资金不再直接依赖于中介机构的信用风险，而是由实力雄厚且受严格监管的保险公司进行管理。这一方面大大降低了因中介违约而造成资金损失的风险，另一方面也让投资者享有</w:t>
      </w:r>
      <w:r>
        <w:rPr>
          <w:rFonts w:ascii="AppleSystemUIFont" w:hAnsi="AppleSystemUIFont" w:cs="AppleSystemUIFont"/>
          <w:kern w:val="0"/>
          <w:sz w:val="26"/>
          <w:szCs w:val="26"/>
        </w:rPr>
        <w:lastRenderedPageBreak/>
        <w:t>更高的资金安全保障。</w:t>
      </w:r>
    </w:p>
    <w:p w14:paraId="732F5B44"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7ACD2F31"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公司通常具有高度透明的资产管理结构，并且受全球范围内严格的金融监管机构监管。例如，在香港、新加坡等地区，保险公司必须符合当地金融监管部门的严格监管规定，确保资金安全。这为投资者提供了更高的资金安全性和信心。</w:t>
      </w:r>
    </w:p>
    <w:p w14:paraId="2C9875CB"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FEBC47C"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透明管理与合规监管：投资者的保障</w:t>
      </w:r>
    </w:p>
    <w:p w14:paraId="42DDBDC9"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4FC6A1B5"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除了简化操作和降低中介风险，保险产品还具备透明的管理架构和合规的监管体系，为投资者提供了更高的安全保障。保险公司的资金运作透明，投资者可以随时查询账户的资金流动、投资组合的表现，以及资金的去向。这种透明性和可追溯性，极大增强了投资者对资金安全的信任。</w:t>
      </w:r>
    </w:p>
    <w:p w14:paraId="123686DB"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50E03AD3"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此外，保险公司通常受当地或国际金融监管机构的严格监督。以香港为例，当地的保险公司不仅要满足香港保险监管局（</w:t>
      </w:r>
      <w:r>
        <w:rPr>
          <w:rFonts w:ascii="AppleSystemUIFont" w:hAnsi="AppleSystemUIFont" w:cs="AppleSystemUIFont"/>
          <w:kern w:val="0"/>
          <w:sz w:val="26"/>
          <w:szCs w:val="26"/>
        </w:rPr>
        <w:t>IA</w:t>
      </w:r>
      <w:r>
        <w:rPr>
          <w:rFonts w:ascii="AppleSystemUIFont" w:hAnsi="AppleSystemUIFont" w:cs="AppleSystemUIFont"/>
          <w:kern w:val="0"/>
          <w:sz w:val="26"/>
          <w:szCs w:val="26"/>
        </w:rPr>
        <w:t>）的要求，还必须定期披露资金的流向和运作情况，确保所有操作合规。这种严格的监管体系，确保了投资者资金的安全和透明，使得投资者无需担心因市场或公司运营不当带来的风险。</w:t>
      </w:r>
    </w:p>
    <w:p w14:paraId="453DA47E"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8DC4891"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5D8D7DD"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对于希望在全球范围内进行资产配置的投资者而言，保险产品无疑提供了一种高效、简便且安全的投资管理方式。在这个日益复杂的金融环境中，一站式管理不仅提高了投资效率，也为投资者提供了稳健的财富管理平台。</w:t>
      </w:r>
    </w:p>
    <w:p w14:paraId="4ADE166C"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总结</w:t>
      </w:r>
    </w:p>
    <w:p w14:paraId="450EFE9B"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6B4A6430" w14:textId="77777777" w:rsidR="0029290D" w:rsidRDefault="0029290D" w:rsidP="0029290D">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产品不仅是财富保障工具，更是一种多功能的海外投资解决方案。从风险管理、资产传承到税务规划，保险产品能够帮助投资者解决几乎所有海外金融投资中的问题。通过借助保险公司的专业团队和全球视野，投资者可以以较低的成本享受全球优秀的投资管理服务，确保自己的长期投资目标不受各种不确定性因素的干扰。</w:t>
      </w:r>
    </w:p>
    <w:p w14:paraId="1FF26426" w14:textId="77777777" w:rsidR="0029290D" w:rsidRDefault="0029290D" w:rsidP="0029290D">
      <w:pPr>
        <w:autoSpaceDE w:val="0"/>
        <w:autoSpaceDN w:val="0"/>
        <w:adjustRightInd w:val="0"/>
        <w:jc w:val="left"/>
        <w:rPr>
          <w:rFonts w:ascii="AppleSystemUIFont" w:hAnsi="AppleSystemUIFont" w:cs="AppleSystemUIFont"/>
          <w:kern w:val="0"/>
          <w:sz w:val="26"/>
          <w:szCs w:val="26"/>
        </w:rPr>
      </w:pPr>
    </w:p>
    <w:p w14:paraId="30F8D00F" w14:textId="77777777" w:rsidR="0029290D" w:rsidRDefault="0029290D" w:rsidP="0029290D">
      <w:r>
        <w:rPr>
          <w:rFonts w:ascii="AppleExternalUIFontSimplifiedCh" w:eastAsia="AppleExternalUIFontSimplifiedCh" w:hAnsi="AppleSystemUIFont" w:cs="AppleExternalUIFontSimplifiedCh" w:hint="eastAsia"/>
          <w:kern w:val="0"/>
          <w:sz w:val="26"/>
          <w:szCs w:val="26"/>
        </w:rPr>
        <w:t>在全球化的金融环境中，合理运用保险产品，将为投资者提供更加稳健、高效的投资方式，为未来财富的积累和传承奠定坚实基础。</w:t>
      </w:r>
    </w:p>
    <w:p w14:paraId="616D6716" w14:textId="77777777" w:rsidR="00E36783" w:rsidRPr="0029290D" w:rsidRDefault="00E36783"/>
    <w:sectPr w:rsidR="00E36783" w:rsidRPr="002929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0D"/>
    <w:rsid w:val="000207C7"/>
    <w:rsid w:val="0029290D"/>
    <w:rsid w:val="00D64B7D"/>
    <w:rsid w:val="00D90ED2"/>
    <w:rsid w:val="00E36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27A474"/>
  <w15:chartTrackingRefBased/>
  <w15:docId w15:val="{63EF8123-8732-1345-8A37-0F06D5825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90D"/>
    <w:pPr>
      <w:widowControl w:val="0"/>
      <w:jc w:val="both"/>
    </w:pPr>
  </w:style>
  <w:style w:type="paragraph" w:styleId="1">
    <w:name w:val="heading 1"/>
    <w:basedOn w:val="a"/>
    <w:next w:val="a"/>
    <w:link w:val="10"/>
    <w:uiPriority w:val="9"/>
    <w:qFormat/>
    <w:rsid w:val="002929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29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29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29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29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29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29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29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29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29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29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29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290D"/>
    <w:rPr>
      <w:rFonts w:cstheme="majorBidi"/>
      <w:color w:val="0F4761" w:themeColor="accent1" w:themeShade="BF"/>
      <w:sz w:val="28"/>
      <w:szCs w:val="28"/>
    </w:rPr>
  </w:style>
  <w:style w:type="character" w:customStyle="1" w:styleId="50">
    <w:name w:val="标题 5 字符"/>
    <w:basedOn w:val="a0"/>
    <w:link w:val="5"/>
    <w:uiPriority w:val="9"/>
    <w:semiHidden/>
    <w:rsid w:val="0029290D"/>
    <w:rPr>
      <w:rFonts w:cstheme="majorBidi"/>
      <w:color w:val="0F4761" w:themeColor="accent1" w:themeShade="BF"/>
      <w:sz w:val="24"/>
    </w:rPr>
  </w:style>
  <w:style w:type="character" w:customStyle="1" w:styleId="60">
    <w:name w:val="标题 6 字符"/>
    <w:basedOn w:val="a0"/>
    <w:link w:val="6"/>
    <w:uiPriority w:val="9"/>
    <w:semiHidden/>
    <w:rsid w:val="0029290D"/>
    <w:rPr>
      <w:rFonts w:cstheme="majorBidi"/>
      <w:b/>
      <w:bCs/>
      <w:color w:val="0F4761" w:themeColor="accent1" w:themeShade="BF"/>
    </w:rPr>
  </w:style>
  <w:style w:type="character" w:customStyle="1" w:styleId="70">
    <w:name w:val="标题 7 字符"/>
    <w:basedOn w:val="a0"/>
    <w:link w:val="7"/>
    <w:uiPriority w:val="9"/>
    <w:semiHidden/>
    <w:rsid w:val="0029290D"/>
    <w:rPr>
      <w:rFonts w:cstheme="majorBidi"/>
      <w:b/>
      <w:bCs/>
      <w:color w:val="595959" w:themeColor="text1" w:themeTint="A6"/>
    </w:rPr>
  </w:style>
  <w:style w:type="character" w:customStyle="1" w:styleId="80">
    <w:name w:val="标题 8 字符"/>
    <w:basedOn w:val="a0"/>
    <w:link w:val="8"/>
    <w:uiPriority w:val="9"/>
    <w:semiHidden/>
    <w:rsid w:val="0029290D"/>
    <w:rPr>
      <w:rFonts w:cstheme="majorBidi"/>
      <w:color w:val="595959" w:themeColor="text1" w:themeTint="A6"/>
    </w:rPr>
  </w:style>
  <w:style w:type="character" w:customStyle="1" w:styleId="90">
    <w:name w:val="标题 9 字符"/>
    <w:basedOn w:val="a0"/>
    <w:link w:val="9"/>
    <w:uiPriority w:val="9"/>
    <w:semiHidden/>
    <w:rsid w:val="0029290D"/>
    <w:rPr>
      <w:rFonts w:eastAsiaTheme="majorEastAsia" w:cstheme="majorBidi"/>
      <w:color w:val="595959" w:themeColor="text1" w:themeTint="A6"/>
    </w:rPr>
  </w:style>
  <w:style w:type="paragraph" w:styleId="a3">
    <w:name w:val="Title"/>
    <w:basedOn w:val="a"/>
    <w:next w:val="a"/>
    <w:link w:val="a4"/>
    <w:uiPriority w:val="10"/>
    <w:qFormat/>
    <w:rsid w:val="002929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29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9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29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290D"/>
    <w:pPr>
      <w:spacing w:before="160" w:after="160"/>
      <w:jc w:val="center"/>
    </w:pPr>
    <w:rPr>
      <w:i/>
      <w:iCs/>
      <w:color w:val="404040" w:themeColor="text1" w:themeTint="BF"/>
    </w:rPr>
  </w:style>
  <w:style w:type="character" w:customStyle="1" w:styleId="a8">
    <w:name w:val="引用 字符"/>
    <w:basedOn w:val="a0"/>
    <w:link w:val="a7"/>
    <w:uiPriority w:val="29"/>
    <w:rsid w:val="0029290D"/>
    <w:rPr>
      <w:i/>
      <w:iCs/>
      <w:color w:val="404040" w:themeColor="text1" w:themeTint="BF"/>
    </w:rPr>
  </w:style>
  <w:style w:type="paragraph" w:styleId="a9">
    <w:name w:val="List Paragraph"/>
    <w:basedOn w:val="a"/>
    <w:uiPriority w:val="34"/>
    <w:qFormat/>
    <w:rsid w:val="0029290D"/>
    <w:pPr>
      <w:ind w:left="720"/>
      <w:contextualSpacing/>
    </w:pPr>
  </w:style>
  <w:style w:type="character" w:styleId="aa">
    <w:name w:val="Intense Emphasis"/>
    <w:basedOn w:val="a0"/>
    <w:uiPriority w:val="21"/>
    <w:qFormat/>
    <w:rsid w:val="0029290D"/>
    <w:rPr>
      <w:i/>
      <w:iCs/>
      <w:color w:val="0F4761" w:themeColor="accent1" w:themeShade="BF"/>
    </w:rPr>
  </w:style>
  <w:style w:type="paragraph" w:styleId="ab">
    <w:name w:val="Intense Quote"/>
    <w:basedOn w:val="a"/>
    <w:next w:val="a"/>
    <w:link w:val="ac"/>
    <w:uiPriority w:val="30"/>
    <w:qFormat/>
    <w:rsid w:val="00292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290D"/>
    <w:rPr>
      <w:i/>
      <w:iCs/>
      <w:color w:val="0F4761" w:themeColor="accent1" w:themeShade="BF"/>
    </w:rPr>
  </w:style>
  <w:style w:type="character" w:styleId="ad">
    <w:name w:val="Intense Reference"/>
    <w:basedOn w:val="a0"/>
    <w:uiPriority w:val="32"/>
    <w:qFormat/>
    <w:rsid w:val="00292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Xu</dc:creator>
  <cp:keywords/>
  <dc:description/>
  <cp:lastModifiedBy>April Xu</cp:lastModifiedBy>
  <cp:revision>1</cp:revision>
  <dcterms:created xsi:type="dcterms:W3CDTF">2024-10-20T03:47:00Z</dcterms:created>
  <dcterms:modified xsi:type="dcterms:W3CDTF">2024-10-20T03:47:00Z</dcterms:modified>
</cp:coreProperties>
</file>