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0991A" w14:textId="6EA482FE" w:rsidR="00066626" w:rsidRPr="003E2671" w:rsidRDefault="00C1656C" w:rsidP="00066626">
      <w:pPr>
        <w:rPr>
          <w:rFonts w:ascii="System Font" w:hAnsi="System Font" w:cs="System Font"/>
          <w:color w:val="0E0E0E"/>
          <w:kern w:val="0"/>
          <w:sz w:val="24"/>
        </w:rPr>
      </w:pPr>
      <w:r w:rsidRPr="003E2671">
        <w:rPr>
          <w:rFonts w:ascii="System Font" w:hAnsi="System Font" w:cs="System Font"/>
          <w:color w:val="0E0E0E"/>
          <w:kern w:val="0"/>
          <w:sz w:val="24"/>
        </w:rPr>
        <w:t>穿越风浪：如何在波动的市场中实现长期稳健收益</w:t>
      </w:r>
    </w:p>
    <w:p w14:paraId="5CDEEB7F" w14:textId="77777777" w:rsidR="00C1656C" w:rsidRPr="003E2671" w:rsidRDefault="00C1656C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42B6E93" w14:textId="77777777" w:rsidR="00C1656C" w:rsidRPr="003E2671" w:rsidRDefault="00C1656C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F0D10C5" w14:textId="77777777" w:rsidR="00C1656C" w:rsidRPr="003E2671" w:rsidRDefault="00C1656C" w:rsidP="00C16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4"/>
        </w:rPr>
      </w:pPr>
      <w:r w:rsidRPr="003E2671">
        <w:rPr>
          <w:rFonts w:ascii="System Font" w:hAnsi="System Font" w:cs="System Font"/>
          <w:color w:val="0E0E0E"/>
          <w:kern w:val="0"/>
          <w:sz w:val="24"/>
        </w:rPr>
        <w:t>在资本市场中，投资犹如航海。我们都知道，投资是一个长期游戏，但只有少数人能真正驾驭市场的风浪，持续获得稳健收益。市场的波动、心理的恐惧、以及黑天鹅事件常常让投资者感到无所适从。然而，那些在暴风雨中依然能坚定信念的人，最终将驶向财富的彼岸。本文将从多个角度探讨如何在波动的市场中获得长期收益，包括市场波动的理解、人性的心理弱点、风险管理工具、以及如何构建一个能够长期增长的投资组合。</w:t>
      </w:r>
    </w:p>
    <w:p w14:paraId="06F0F6D4" w14:textId="77777777" w:rsidR="00C1656C" w:rsidRPr="003E2671" w:rsidRDefault="00C1656C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E7E5BDA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一、权益市场：长期收益巨大，波动却不可避免</w:t>
      </w:r>
    </w:p>
    <w:p w14:paraId="6096992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C7D6627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1.1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美股市场：从危机到辉煌</w:t>
      </w:r>
    </w:p>
    <w:p w14:paraId="41C48D8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C75759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在谈及长期投资时，权益市场往往是首选。美股市场的历史表明，尽管其间有着剧烈的波动，但长期来看，权益类资产的增长潜力不可否认。从上世纪初到今天，标普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500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指数的复合年均增长率接近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10%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。这个数字背后，不仅仅是经济增长的推动，还有企业盈利能力的逐步提升。</w:t>
      </w:r>
    </w:p>
    <w:p w14:paraId="312BFE23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FC162F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长期投资的关键在于穿越周期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2008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年全球金融危机期间，道琼斯指数从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14000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点暴跌至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6500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点，市值几乎蒸发一半。对于很多短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期投机者来说，这样的市场冲击是无法承受的，许多投资者在恐慌中抛售资产，导致巨大的损失。然而，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2009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年之后，市场开始复苏，随后迎来了长达十年的牛市。那些坚持持有优质资产的长期投资者不仅收复了损失，甚至获得了丰厚的回报。</w:t>
      </w:r>
    </w:p>
    <w:p w14:paraId="38FED7A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3A307F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扩展到更深层次，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美股的结构性优势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使其在全球投资市场中表现尤为突出。美国不仅拥有世界上最完善的资本市场体系，还有强大的企业盈利能力、创新驱动的产业结构，以及全球资金流入的吸引力。对于长期投资者而言，选择美股作为核心权益配置有其内在的逻辑基础。</w:t>
      </w:r>
    </w:p>
    <w:p w14:paraId="4076603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855AF4B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#### 1.2 A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股市场：从狂热到冷静</w:t>
      </w:r>
    </w:p>
    <w:p w14:paraId="2A32822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EB7C49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相比于美股，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A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股市场的波动性更大，且市场结构更具投机性。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2015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年上证指数的快速升温和暴跌让无数投资者损失惨重。这种剧烈的波动很大程度上源于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A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股市场中散户占比较大，投机氛围浓厚，短期资金推动市场剧烈波动。</w:t>
      </w:r>
    </w:p>
    <w:p w14:paraId="1AFDDE6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84AC1F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尽管如此，从长期角度来看，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**A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股市场的机会同样不可忽视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。中国经济增长的潜力巨大，尤其是在科技创新、消费升级、产业转型等领域，许多优质企业正在逐步走向国际化，成为全球市场的竞争者。对于长期投资者而言，通过沪深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300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指数等宽基指数基金，能够更好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地分散单个股票的波动，享受中国经济增长带来的红利。</w:t>
      </w:r>
    </w:p>
    <w:p w14:paraId="06FF9CF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736463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扩展到全球投资视角，投资者可以通过组合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中美两大市场的核心资产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，实现全球权益市场的多元配置。美股的稳定性和创新驱动与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A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股的成长性相互补充，构建出一个具备长期收益潜力的全球权益组合。</w:t>
      </w:r>
    </w:p>
    <w:p w14:paraId="1831721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9A5DA04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AA9B805" w14:textId="5FA972D3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二、人性本能：恐惧与损失厌恶</w:t>
      </w:r>
    </w:p>
    <w:p w14:paraId="5C059F9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EC81C6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2.1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恐惧心理驱使短期操作</w:t>
      </w:r>
    </w:p>
    <w:p w14:paraId="3DF760C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647C02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市场波动时，投资者往往面临的最大挑战不是市场本身，而是自身的心理。这种心理反应在行为金融学中被称为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损失厌恶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，即人们对损失的感知远比对收益的感知更为强烈。在市场急剧下跌时，恐惧往往占据了主导地位，许多投资者选择在市场低点卖出，最终错失反弹机会。</w:t>
      </w:r>
    </w:p>
    <w:p w14:paraId="19A4660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2EBC32F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为什么恐惧会在市场下跌时占据主导？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**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这是因为，当市场持续下跌时，投资者会产生一种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心理锚定效应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，即将当前的市场价格与之前的高点作比较，导致他们无法承受账面损失，从而在恐慌中抛售资产。然而，历史一再证明，市场的上涨往往发生在投资者最恐惧的时刻。当绝大多数人选择离场时，往往就是市场即将反弹的前兆。</w:t>
      </w:r>
    </w:p>
    <w:p w14:paraId="39ABC05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CFE6A0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2.2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提升心理素质，克服短期波动</w:t>
      </w:r>
    </w:p>
    <w:p w14:paraId="17374127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DCB332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对于长期投资者而言，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心理建设至关重要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。如何避免在市场波动中做出错误决策？关键在于通过长期视角来淡化短期波动。这里有两个核心策略：</w:t>
      </w:r>
    </w:p>
    <w:p w14:paraId="3775818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1F6301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第一，认识市场波动的必然性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。市场波动是正常的经济现象，没有哪个市场能够保持永远的上涨或下跌。理解这一点，投资者才能够在市场低谷时保持冷静，而不是因短期损失而失去信心。</w:t>
      </w:r>
    </w:p>
    <w:p w14:paraId="4CA0CB3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第二，建立长期的投资目标和计划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。当投资者有了明确的长期目标，短期波动就不再显得那么重要。投资的本质是为了实现财务自由、养老保障或子女教育等长远目标，而这些目标的实现并不会因为一两次市场波动而发生改变。</w:t>
      </w:r>
    </w:p>
    <w:p w14:paraId="4FA0A810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15C58A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因此，克服短期的恐惧和损失厌恶，关键在于对市场的深刻理解和对投资目标的坚定信念。只有这样，投资者才能够在波动中坚持长期投资策略，实现财富的稳步增值。</w:t>
      </w:r>
    </w:p>
    <w:p w14:paraId="2EC225FC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937FF2C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---</w:t>
      </w:r>
    </w:p>
    <w:p w14:paraId="244537E4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E7DF7C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三、即使是现金流投资法也有挑战：黑天鹅事件的冲击</w:t>
      </w:r>
    </w:p>
    <w:p w14:paraId="11984260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9371A9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现金流投资法是一种相对保守的投资策略，通常通过投资于高分红股票或债券等固定收益类资产，来获得稳定的现金流。然而，黑天鹅事件的到来有时会对这一策略产生重大冲击。即便是稳健的现金流投资法，也可能在极端情况下受到影响。</w:t>
      </w:r>
    </w:p>
    <w:p w14:paraId="7204ECA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1F7808F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3.1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以汇丰银行为例：取消股息的风险</w:t>
      </w:r>
    </w:p>
    <w:p w14:paraId="4F0BC923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2301FBB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2020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年新冠疫情爆发后，汇丰银行这样的高股息公司在面临巨大压力时取消了股息派发计划。这对于依赖股息收入的投资者来说，无疑是一个巨大的打击。这也提醒投资者，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即便是看似稳健的现金流投资法，在极端市场环境下也无法完全规避风险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</w:t>
      </w:r>
    </w:p>
    <w:p w14:paraId="5B3DFE8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459963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通过这个例子，投资者需要认识到：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即使是高股息股票，也存在风险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。当经济下行压力加大，或者公司本身遇到财务困难时，股息削减或取消的情况并不罕见。因此，单纯依赖现金流投资并不足以应对极端市场环境，投资者仍然需要使用多种工具进行分散投资。</w:t>
      </w:r>
    </w:p>
    <w:p w14:paraId="2BE3D54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E78F767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3.2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多元资产配置应对黑天鹅事件</w:t>
      </w:r>
    </w:p>
    <w:p w14:paraId="61B80D9F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CEF797B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面对黑天鹅事件，投资者可以通过多元资产配置来应对。将一部分资金投入现金流稳定的资产（如高股息股票、债券等），同时配置一定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比例的避险资产（如黄金、抗通胀债券），可以有效减少单一资产类别波动带来的冲击。</w:t>
      </w:r>
    </w:p>
    <w:p w14:paraId="3A145307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8C20A3C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---</w:t>
      </w:r>
    </w:p>
    <w:p w14:paraId="070F7FB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8A3096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四、对抗极端风险的工具与策略</w:t>
      </w:r>
    </w:p>
    <w:p w14:paraId="21ACE600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100543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4.1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储蓄分红险：在波动中提供稳定现金流</w:t>
      </w:r>
    </w:p>
    <w:p w14:paraId="04AB56AA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C28705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储蓄分红险是一种兼具保险保障和长期收益的产品，其特点在于能够为投资者提供稳定的分红收益，尤其适合那些风险厌恶型投资者。无论市场如何波动，储蓄分红险能够每年提供一定的分红收益，帮助投资者在市场动荡时获得稳定的现金流。</w:t>
      </w:r>
    </w:p>
    <w:p w14:paraId="766A312C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2ED67BC" w14:textId="454ACC80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4.2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风险分散：通过宽基</w:t>
      </w:r>
      <w:r w:rsidR="00DF7813">
        <w:rPr>
          <w:rFonts w:ascii="System Font" w:hAnsi="System Font" w:cs="System Font" w:hint="eastAsia"/>
          <w:color w:val="0E0E0E"/>
          <w:kern w:val="0"/>
          <w:sz w:val="28"/>
          <w:szCs w:val="28"/>
        </w:rPr>
        <w:t>基金组合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实现多元化</w:t>
      </w:r>
    </w:p>
    <w:p w14:paraId="48B16FC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A1A5FB7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扩展后的全球配置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：前面我们提到了全球分散的重要性，这里可以进一步强调，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全球经济的多样性为长期投资者提供了独特的机会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。例如，美国市场长期表现强劲，但新兴市场也往往在特定阶段展现出更快的增长速度。通过全球配置，投资者不仅能够参与发达市场的稳健增长，还能享受到新兴市场高速成长带来的红利。</w:t>
      </w:r>
    </w:p>
    <w:p w14:paraId="40D6C653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A8325A3" w14:textId="0BCE0A94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通过全球宽基</w:t>
      </w:r>
      <w:r w:rsidR="00DF7813">
        <w:rPr>
          <w:rFonts w:ascii="System Font" w:hAnsi="System Font" w:cs="System Font" w:hint="eastAsia"/>
          <w:color w:val="0E0E0E"/>
          <w:kern w:val="0"/>
          <w:sz w:val="28"/>
          <w:szCs w:val="28"/>
        </w:rPr>
        <w:t>基金组合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进行投资，投资者可以轻松分散到多个国家和地区，覆盖多个经济体的企业增长，从而降低因单一国家经济波动而带来的风险。例如，投资者可以通过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MSCI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全球指数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ETF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实现对全球主要市场的分散投资，既能捕捉美国、欧洲等发达市场的长期增长，也能分享中国、印度等新兴市场的高增长潜力。</w:t>
      </w:r>
    </w:p>
    <w:p w14:paraId="64479CA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A50B21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4.3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提升认知，理性投资</w:t>
      </w:r>
    </w:p>
    <w:p w14:paraId="74CD01E1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7CE19A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除了利用工具对抗市场风险，投资者自身的认知和心理素质也是对抗极端市场风险的关键要素。投资者需要具备的认知包括：理解市场波动的不可避免性、长期经济增长的潜力，以及通过理性分析和长期布局实现财富增值的可能性。通过系统的投资教育和经验积累，投资者能够逐渐提高心理抗压能力，在市场波动中做出更理性的决策。</w:t>
      </w:r>
    </w:p>
    <w:p w14:paraId="38BB4B13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43BFA4A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---</w:t>
      </w:r>
    </w:p>
    <w:p w14:paraId="0BFD88F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87BC89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五、构建合适的组合，长期走向胜利</w:t>
      </w:r>
    </w:p>
    <w:p w14:paraId="5FCB1B6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DE804E2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5.1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多元化配置：全球化资产组合</w:t>
      </w:r>
    </w:p>
    <w:p w14:paraId="1910153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90B956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一个稳健的投资组合应当在多种资产类别中进行分散配置，包括股票、债券、房地产、黄金等不同资产类别。特别是对于权益市场的配置，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全球化视角的多元化投资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显得尤为重要。通过在不同国家和地区配置权益类资产，投资者可以减少单一市场波动的影响，并且分享全球经济增长的红利。</w:t>
      </w:r>
    </w:p>
    <w:p w14:paraId="6C6FA53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22271DF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例如，美国市场以创新驱动的科技公司为主，而新兴市场则以制造业和资源类企业为主。通过在这些不同的市场中进行配置，投资者既能够获得科技创新带来的高回报，又能够享受到资源类企业的周期性上涨。</w:t>
      </w:r>
    </w:p>
    <w:p w14:paraId="4E773CB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F614E5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5.2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定期检视与调整</w:t>
      </w:r>
    </w:p>
    <w:p w14:paraId="63071DD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311CBAE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投资组合需要动态调整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。市场的波动、个人的风险偏好变化以及宏观经济的变化，都会影响投资组合的表现。因此，投资者应定期检视自己的投资组合，并根据市场状况和个人需求进行调整。例如，当股票市场经历大幅上涨后，股票在投资组合中的权重可能会超出预期，投资者可以通过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再平衡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来适度减少股票仓位，增加债券或其他避险资产。</w:t>
      </w:r>
    </w:p>
    <w:p w14:paraId="7CBF999D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D752035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#### 5.3 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长期视角，克服短期波动</w:t>
      </w:r>
    </w:p>
    <w:p w14:paraId="71617AFA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3B7ADF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投资者最常犯的错误是过度关注短期波动，而忽略了长期投资的本质。真正成功的长期投资者懂得将短期波动视为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噪音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，他们能够以长期</w:t>
      </w: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视角来判断市场趋势，并在市场低迷时果断加仓。这种长期投资的智慧，不仅帮助投资者克服短期市场波动，还能让他们在市场反弹时获得丰厚回报。</w:t>
      </w:r>
    </w:p>
    <w:p w14:paraId="789A0B89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6312264" w14:textId="6BA1BAAE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结语</w:t>
      </w:r>
    </w:p>
    <w:p w14:paraId="16011E56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3F59213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E2671">
        <w:rPr>
          <w:rFonts w:ascii="System Font" w:hAnsi="System Font" w:cs="System Font"/>
          <w:color w:val="0E0E0E"/>
          <w:kern w:val="0"/>
          <w:sz w:val="28"/>
          <w:szCs w:val="28"/>
        </w:rPr>
        <w:t>通过深入理解市场波动、管理人性弱点、并使用全球化的多元化配置策略，投资者可以在波涛汹涌的市场中获得长期稳健的收益。成功的长期投资不在于预测市场的短期波动，而在于建立稳健的投资组合，保持理性和耐心，并在市场风浪中坚持既定策略。这样的投资理念，将帮助投资者最终实现财富的长期增值。</w:t>
      </w:r>
    </w:p>
    <w:p w14:paraId="3EF1ABA8" w14:textId="77777777" w:rsidR="00066626" w:rsidRPr="003E2671" w:rsidRDefault="00066626" w:rsidP="00066626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8F87043" w14:textId="3683A51D" w:rsidR="00E36783" w:rsidRPr="003E2671" w:rsidRDefault="00E36783" w:rsidP="00066626">
      <w:pPr>
        <w:rPr>
          <w:sz w:val="20"/>
          <w:szCs w:val="22"/>
        </w:rPr>
      </w:pPr>
    </w:p>
    <w:sectPr w:rsidR="00E36783" w:rsidRPr="003E2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E5"/>
    <w:rsid w:val="000207C7"/>
    <w:rsid w:val="00066626"/>
    <w:rsid w:val="003E2671"/>
    <w:rsid w:val="005722E5"/>
    <w:rsid w:val="00C1656C"/>
    <w:rsid w:val="00D64B7D"/>
    <w:rsid w:val="00D71550"/>
    <w:rsid w:val="00D90ED2"/>
    <w:rsid w:val="00DF7813"/>
    <w:rsid w:val="00E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74AAF"/>
  <w15:chartTrackingRefBased/>
  <w15:docId w15:val="{C2C239E2-BE28-9A49-9ABE-7DA857A8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2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2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2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2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2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2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2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2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2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2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2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2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2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2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2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2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2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2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2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2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2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Xu</dc:creator>
  <cp:keywords/>
  <dc:description/>
  <cp:lastModifiedBy>April Xu</cp:lastModifiedBy>
  <cp:revision>6</cp:revision>
  <dcterms:created xsi:type="dcterms:W3CDTF">2024-10-09T07:44:00Z</dcterms:created>
  <dcterms:modified xsi:type="dcterms:W3CDTF">2024-10-15T06:39:00Z</dcterms:modified>
</cp:coreProperties>
</file>