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D18A4"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30"/>
          <w:szCs w:val="30"/>
        </w:rPr>
        <w:t>组合的奥秘：如何用科学与艺术打造定制化的投资组合</w:t>
      </w:r>
    </w:p>
    <w:p w14:paraId="64172544"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6FD8BCD"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在投资世界中，构建一个成功的投资组合被称为一门</w:t>
      </w:r>
      <w:r>
        <w:rPr>
          <w:rFonts w:ascii="System Font" w:hAnsi="System Font" w:cs="System Font"/>
          <w:color w:val="0E0E0E"/>
          <w:kern w:val="0"/>
          <w:sz w:val="28"/>
          <w:szCs w:val="28"/>
        </w:rPr>
        <w:t>“</w:t>
      </w:r>
      <w:r>
        <w:rPr>
          <w:rFonts w:ascii="System Font" w:hAnsi="System Font" w:cs="System Font"/>
          <w:color w:val="0E0E0E"/>
          <w:kern w:val="0"/>
          <w:sz w:val="28"/>
          <w:szCs w:val="28"/>
        </w:rPr>
        <w:t>科学</w:t>
      </w:r>
      <w:r>
        <w:rPr>
          <w:rFonts w:ascii="System Font" w:hAnsi="System Font" w:cs="System Font"/>
          <w:color w:val="0E0E0E"/>
          <w:kern w:val="0"/>
          <w:sz w:val="28"/>
          <w:szCs w:val="28"/>
        </w:rPr>
        <w:t>”</w:t>
      </w:r>
      <w:r>
        <w:rPr>
          <w:rFonts w:ascii="System Font" w:hAnsi="System Font" w:cs="System Font"/>
          <w:color w:val="0E0E0E"/>
          <w:kern w:val="0"/>
          <w:sz w:val="28"/>
          <w:szCs w:val="28"/>
        </w:rPr>
        <w:t>，也是一种</w:t>
      </w:r>
      <w:r>
        <w:rPr>
          <w:rFonts w:ascii="System Font" w:hAnsi="System Font" w:cs="System Font"/>
          <w:color w:val="0E0E0E"/>
          <w:kern w:val="0"/>
          <w:sz w:val="28"/>
          <w:szCs w:val="28"/>
        </w:rPr>
        <w:t>“</w:t>
      </w:r>
      <w:r>
        <w:rPr>
          <w:rFonts w:ascii="System Font" w:hAnsi="System Font" w:cs="System Font"/>
          <w:color w:val="0E0E0E"/>
          <w:kern w:val="0"/>
          <w:sz w:val="28"/>
          <w:szCs w:val="28"/>
        </w:rPr>
        <w:t>艺术</w:t>
      </w:r>
      <w:r>
        <w:rPr>
          <w:rFonts w:ascii="System Font" w:hAnsi="System Font" w:cs="System Font"/>
          <w:color w:val="0E0E0E"/>
          <w:kern w:val="0"/>
          <w:sz w:val="28"/>
          <w:szCs w:val="28"/>
        </w:rPr>
        <w:t>”</w:t>
      </w:r>
      <w:r>
        <w:rPr>
          <w:rFonts w:ascii="System Font" w:hAnsi="System Font" w:cs="System Font"/>
          <w:color w:val="0E0E0E"/>
          <w:kern w:val="0"/>
          <w:sz w:val="28"/>
          <w:szCs w:val="28"/>
        </w:rPr>
        <w:t>。为什么这么说？因为它既需要基于数据和逻辑的精确计算，也需要结合个人需求和风险偏好的感性分析。没有两个投资者是完全相同的，每一个人的资产、目标、生活状况以及风险承受能力都是独一无二的，因此，我们需要因人而异地设计出最适合的投资组合。</w:t>
      </w:r>
    </w:p>
    <w:p w14:paraId="27E9191B"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474EE49"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今天，我们就来探索这其中的奥秘，揭开如何科学地构建一个满足个性化需求的投资组合，如何在复杂的金融市场中找到既理性又感性的投资之路。</w:t>
      </w:r>
    </w:p>
    <w:p w14:paraId="04E63952"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F31A741"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一、因人而异：投资组合没有放之四海而皆准的公式</w:t>
      </w:r>
    </w:p>
    <w:p w14:paraId="7EEA1F62"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76C2EA55"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在打造投资组合时，第一个需要考虑的因素就是客户的个性化需求。每个人的财务状况、生活阶段、风险偏好和长期目标都不尽相同。正如《孙子兵法》所说，</w:t>
      </w:r>
      <w:r>
        <w:rPr>
          <w:rFonts w:ascii="System Font" w:hAnsi="System Font" w:cs="System Font"/>
          <w:color w:val="0E0E0E"/>
          <w:kern w:val="0"/>
          <w:sz w:val="28"/>
          <w:szCs w:val="28"/>
        </w:rPr>
        <w:t>“</w:t>
      </w:r>
      <w:r>
        <w:rPr>
          <w:rFonts w:ascii="System Font" w:hAnsi="System Font" w:cs="System Font"/>
          <w:color w:val="0E0E0E"/>
          <w:kern w:val="0"/>
          <w:sz w:val="28"/>
          <w:szCs w:val="28"/>
        </w:rPr>
        <w:t>知己知彼，百战不殆</w:t>
      </w:r>
      <w:r>
        <w:rPr>
          <w:rFonts w:ascii="System Font" w:hAnsi="System Font" w:cs="System Font"/>
          <w:color w:val="0E0E0E"/>
          <w:kern w:val="0"/>
          <w:sz w:val="28"/>
          <w:szCs w:val="28"/>
        </w:rPr>
        <w:t>”</w:t>
      </w:r>
      <w:r>
        <w:rPr>
          <w:rFonts w:ascii="System Font" w:hAnsi="System Font" w:cs="System Font"/>
          <w:color w:val="0E0E0E"/>
          <w:kern w:val="0"/>
          <w:sz w:val="28"/>
          <w:szCs w:val="28"/>
        </w:rPr>
        <w:t>，我们必须对每一位客户的独特情况了如指掌，才能制定出切合他们需求的投资策略。</w:t>
      </w:r>
    </w:p>
    <w:p w14:paraId="2EA4C91F"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2C4890D"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1.1 </w:t>
      </w:r>
      <w:r>
        <w:rPr>
          <w:rFonts w:ascii="System Font" w:hAnsi="System Font" w:cs="System Font"/>
          <w:b/>
          <w:bCs/>
          <w:color w:val="0E0E0E"/>
          <w:kern w:val="0"/>
          <w:sz w:val="26"/>
          <w:szCs w:val="26"/>
        </w:rPr>
        <w:t>因人制宜：客户情况的多样化需求</w:t>
      </w:r>
    </w:p>
    <w:p w14:paraId="48CA6295"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1734C414" w14:textId="77777777" w:rsidR="00677DBC" w:rsidRDefault="00677DBC" w:rsidP="00677DBC">
      <w:pPr>
        <w:tabs>
          <w:tab w:val="right" w:pos="100"/>
          <w:tab w:val="left" w:pos="260"/>
        </w:tabs>
        <w:autoSpaceDE w:val="0"/>
        <w:autoSpaceDN w:val="0"/>
        <w:adjustRightInd w:val="0"/>
        <w:spacing w:before="240" w:line="324" w:lineRule="auto"/>
        <w:ind w:left="260" w:hanging="260"/>
        <w:jc w:val="left"/>
        <w:rPr>
          <w:rFonts w:ascii="System Font" w:hAnsi="System Font" w:cs="System Font"/>
          <w:color w:val="0E0E0E"/>
          <w:kern w:val="0"/>
          <w:sz w:val="28"/>
          <w:szCs w:val="28"/>
        </w:rPr>
      </w:pPr>
      <w:r>
        <w:rPr>
          <w:rFonts w:ascii="System Font" w:hAnsi="System Font" w:cs="System Font"/>
          <w:color w:val="0E0E0E"/>
          <w:kern w:val="0"/>
          <w:sz w:val="28"/>
          <w:szCs w:val="28"/>
        </w:rPr>
        <w:tab/>
        <w:t>•</w:t>
      </w:r>
      <w:r>
        <w:rPr>
          <w:rFonts w:ascii="System Font" w:hAnsi="System Font" w:cs="System Font"/>
          <w:color w:val="0E0E0E"/>
          <w:kern w:val="0"/>
          <w:sz w:val="28"/>
          <w:szCs w:val="28"/>
        </w:rPr>
        <w:tab/>
      </w:r>
      <w:r>
        <w:rPr>
          <w:rFonts w:ascii="System Font" w:hAnsi="System Font" w:cs="System Font"/>
          <w:b/>
          <w:bCs/>
          <w:color w:val="0E0E0E"/>
          <w:kern w:val="0"/>
          <w:sz w:val="28"/>
          <w:szCs w:val="28"/>
        </w:rPr>
        <w:t>资产状况</w:t>
      </w:r>
      <w:r>
        <w:rPr>
          <w:rFonts w:ascii="System Font" w:hAnsi="System Font" w:cs="System Font"/>
          <w:color w:val="0E0E0E"/>
          <w:kern w:val="0"/>
          <w:sz w:val="28"/>
          <w:szCs w:val="28"/>
        </w:rPr>
        <w:t>：客户的可投资资产规模决定了他们在构建投资组合时的选择。例如，高净值客户可能更关注多元化配置、全球市场机会及税务优化，而刚刚起步的年轻投资者则倾向于追求高成长性的投资品种。</w:t>
      </w:r>
    </w:p>
    <w:p w14:paraId="5E52E47E" w14:textId="77777777" w:rsidR="00677DBC" w:rsidRDefault="00677DBC" w:rsidP="00677DBC">
      <w:pPr>
        <w:tabs>
          <w:tab w:val="right" w:pos="100"/>
          <w:tab w:val="left" w:pos="260"/>
        </w:tabs>
        <w:autoSpaceDE w:val="0"/>
        <w:autoSpaceDN w:val="0"/>
        <w:adjustRightInd w:val="0"/>
        <w:spacing w:before="240" w:line="324" w:lineRule="auto"/>
        <w:ind w:left="260" w:hanging="260"/>
        <w:jc w:val="left"/>
        <w:rPr>
          <w:rFonts w:ascii="System Font" w:hAnsi="System Font" w:cs="System Font"/>
          <w:color w:val="0E0E0E"/>
          <w:kern w:val="0"/>
          <w:sz w:val="28"/>
          <w:szCs w:val="28"/>
        </w:rPr>
      </w:pPr>
      <w:r>
        <w:rPr>
          <w:rFonts w:ascii="System Font" w:hAnsi="System Font" w:cs="System Font"/>
          <w:color w:val="0E0E0E"/>
          <w:kern w:val="0"/>
          <w:sz w:val="28"/>
          <w:szCs w:val="28"/>
        </w:rPr>
        <w:tab/>
        <w:t>•</w:t>
      </w:r>
      <w:r>
        <w:rPr>
          <w:rFonts w:ascii="System Font" w:hAnsi="System Font" w:cs="System Font"/>
          <w:color w:val="0E0E0E"/>
          <w:kern w:val="0"/>
          <w:sz w:val="28"/>
          <w:szCs w:val="28"/>
        </w:rPr>
        <w:tab/>
      </w:r>
      <w:r>
        <w:rPr>
          <w:rFonts w:ascii="System Font" w:hAnsi="System Font" w:cs="System Font"/>
          <w:b/>
          <w:bCs/>
          <w:color w:val="0E0E0E"/>
          <w:kern w:val="0"/>
          <w:sz w:val="28"/>
          <w:szCs w:val="28"/>
        </w:rPr>
        <w:t>收入与家庭开支需求</w:t>
      </w:r>
      <w:r>
        <w:rPr>
          <w:rFonts w:ascii="System Font" w:hAnsi="System Font" w:cs="System Font"/>
          <w:color w:val="0E0E0E"/>
          <w:kern w:val="0"/>
          <w:sz w:val="28"/>
          <w:szCs w:val="28"/>
        </w:rPr>
        <w:t>：客户的收入水平和家庭开支计划影响了他们对现金流的需求程度。对于收入不稳定但开支固定的家庭来说，稳定的现金流收入比资本增值更为重要。</w:t>
      </w:r>
    </w:p>
    <w:p w14:paraId="2D149C94" w14:textId="77777777" w:rsidR="00677DBC" w:rsidRDefault="00677DBC" w:rsidP="00677DBC">
      <w:pPr>
        <w:tabs>
          <w:tab w:val="right" w:pos="100"/>
          <w:tab w:val="left" w:pos="260"/>
        </w:tabs>
        <w:autoSpaceDE w:val="0"/>
        <w:autoSpaceDN w:val="0"/>
        <w:adjustRightInd w:val="0"/>
        <w:spacing w:before="240" w:line="324" w:lineRule="auto"/>
        <w:ind w:left="260" w:hanging="260"/>
        <w:jc w:val="left"/>
        <w:rPr>
          <w:rFonts w:ascii="System Font" w:hAnsi="System Font" w:cs="System Font"/>
          <w:color w:val="0E0E0E"/>
          <w:kern w:val="0"/>
          <w:sz w:val="28"/>
          <w:szCs w:val="28"/>
        </w:rPr>
      </w:pPr>
      <w:r>
        <w:rPr>
          <w:rFonts w:ascii="System Font" w:hAnsi="System Font" w:cs="System Font"/>
          <w:color w:val="0E0E0E"/>
          <w:kern w:val="0"/>
          <w:sz w:val="28"/>
          <w:szCs w:val="28"/>
        </w:rPr>
        <w:tab/>
        <w:t>•</w:t>
      </w:r>
      <w:r>
        <w:rPr>
          <w:rFonts w:ascii="System Font" w:hAnsi="System Font" w:cs="System Font"/>
          <w:color w:val="0E0E0E"/>
          <w:kern w:val="0"/>
          <w:sz w:val="28"/>
          <w:szCs w:val="28"/>
        </w:rPr>
        <w:tab/>
      </w:r>
      <w:r>
        <w:rPr>
          <w:rFonts w:ascii="System Font" w:hAnsi="System Font" w:cs="System Font"/>
          <w:b/>
          <w:bCs/>
          <w:color w:val="0E0E0E"/>
          <w:kern w:val="0"/>
          <w:sz w:val="28"/>
          <w:szCs w:val="28"/>
        </w:rPr>
        <w:t>风险承受能力</w:t>
      </w:r>
      <w:r>
        <w:rPr>
          <w:rFonts w:ascii="System Font" w:hAnsi="System Font" w:cs="System Font"/>
          <w:color w:val="0E0E0E"/>
          <w:kern w:val="0"/>
          <w:sz w:val="28"/>
          <w:szCs w:val="28"/>
        </w:rPr>
        <w:t>：每个客户对于市场波动的忍耐度不同。有人能泰然自若地看着投资组合短期大幅波动，而有人则在看到浮亏时无法入眠。因此，了解客户对风险的承受能力，是构建投资组合的基础。</w:t>
      </w:r>
    </w:p>
    <w:p w14:paraId="0AC79556"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5B8C73B"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1.2 </w:t>
      </w:r>
      <w:r>
        <w:rPr>
          <w:rFonts w:ascii="System Font" w:hAnsi="System Font" w:cs="System Font"/>
          <w:b/>
          <w:bCs/>
          <w:color w:val="0E0E0E"/>
          <w:kern w:val="0"/>
          <w:sz w:val="26"/>
          <w:szCs w:val="26"/>
        </w:rPr>
        <w:t>不同客户，不同组合：定制化设计的必要性</w:t>
      </w:r>
    </w:p>
    <w:p w14:paraId="3CBFE4BF"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8B743B6"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例如，一位即将退休的客户需要的是一个能够保证生活质量的稳定现金流，因此，他的投资组合中应当配置更多的债券和低波动性资产。而一位年轻的投资者，可能更适合配置成长型股票和指数基金，因为他能在长时间内忍受市场波动，追求高回报。</w:t>
      </w:r>
    </w:p>
    <w:p w14:paraId="19AD6C2B"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D1B794D"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投资组合的成功不仅在于收益的多少，更在于它是否符合客户的个</w:t>
      </w:r>
      <w:r>
        <w:rPr>
          <w:rFonts w:ascii="System Font" w:hAnsi="System Font" w:cs="System Font"/>
          <w:color w:val="0E0E0E"/>
          <w:kern w:val="0"/>
          <w:sz w:val="28"/>
          <w:szCs w:val="28"/>
        </w:rPr>
        <w:lastRenderedPageBreak/>
        <w:t>性化需求。我们不能用一刀切的方式为所有客户提供相同的投资建议，而是要基于每个人的财务状况和目标设计独特的策略。</w:t>
      </w:r>
    </w:p>
    <w:p w14:paraId="120943FC"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881D931"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二、组合不做大杂烩：大类资产特征的合理考量</w:t>
      </w:r>
    </w:p>
    <w:p w14:paraId="7875DA94"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5C4F5F4B"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构建投资组合时，我们并不是简单地把各种资产混合在一起。真正的组合设计更像是一道精心调制的佳肴，既要考虑各个成分的独特风味，还要让它们在整体上协调共鸣。不同的大类资产（如股票、债券、房地产、现金）各有其特性，在组合中扮演着不同的角色。</w:t>
      </w:r>
    </w:p>
    <w:p w14:paraId="6C079FED"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7B8F4593"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2.1 </w:t>
      </w:r>
      <w:r>
        <w:rPr>
          <w:rFonts w:ascii="System Font" w:hAnsi="System Font" w:cs="System Font"/>
          <w:b/>
          <w:bCs/>
          <w:color w:val="0E0E0E"/>
          <w:kern w:val="0"/>
          <w:sz w:val="26"/>
          <w:szCs w:val="26"/>
        </w:rPr>
        <w:t>大类资产的角色与特征</w:t>
      </w:r>
    </w:p>
    <w:p w14:paraId="426D099F"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C16DDEB" w14:textId="77777777" w:rsidR="00677DBC" w:rsidRDefault="00677DBC" w:rsidP="00677DBC">
      <w:pPr>
        <w:tabs>
          <w:tab w:val="right" w:pos="100"/>
          <w:tab w:val="left" w:pos="260"/>
        </w:tabs>
        <w:autoSpaceDE w:val="0"/>
        <w:autoSpaceDN w:val="0"/>
        <w:adjustRightInd w:val="0"/>
        <w:spacing w:before="240" w:line="324" w:lineRule="auto"/>
        <w:ind w:left="260" w:hanging="260"/>
        <w:jc w:val="left"/>
        <w:rPr>
          <w:rFonts w:ascii="System Font" w:hAnsi="System Font" w:cs="System Font"/>
          <w:color w:val="0E0E0E"/>
          <w:kern w:val="0"/>
          <w:sz w:val="28"/>
          <w:szCs w:val="28"/>
        </w:rPr>
      </w:pPr>
      <w:r>
        <w:rPr>
          <w:rFonts w:ascii="System Font" w:hAnsi="System Font" w:cs="System Font"/>
          <w:color w:val="0E0E0E"/>
          <w:kern w:val="0"/>
          <w:sz w:val="28"/>
          <w:szCs w:val="28"/>
        </w:rPr>
        <w:tab/>
        <w:t>•</w:t>
      </w:r>
      <w:r>
        <w:rPr>
          <w:rFonts w:ascii="System Font" w:hAnsi="System Font" w:cs="System Font"/>
          <w:color w:val="0E0E0E"/>
          <w:kern w:val="0"/>
          <w:sz w:val="28"/>
          <w:szCs w:val="28"/>
        </w:rPr>
        <w:tab/>
      </w:r>
      <w:r>
        <w:rPr>
          <w:rFonts w:ascii="System Font" w:hAnsi="System Font" w:cs="System Font"/>
          <w:b/>
          <w:bCs/>
          <w:color w:val="0E0E0E"/>
          <w:kern w:val="0"/>
          <w:sz w:val="28"/>
          <w:szCs w:val="28"/>
        </w:rPr>
        <w:t>股票（股票型基金）</w:t>
      </w:r>
      <w:r>
        <w:rPr>
          <w:rFonts w:ascii="System Font" w:hAnsi="System Font" w:cs="System Font"/>
          <w:color w:val="0E0E0E"/>
          <w:kern w:val="0"/>
          <w:sz w:val="28"/>
          <w:szCs w:val="28"/>
        </w:rPr>
        <w:t>：是组合中的</w:t>
      </w:r>
      <w:r>
        <w:rPr>
          <w:rFonts w:ascii="System Font" w:hAnsi="System Font" w:cs="System Font"/>
          <w:color w:val="0E0E0E"/>
          <w:kern w:val="0"/>
          <w:sz w:val="28"/>
          <w:szCs w:val="28"/>
        </w:rPr>
        <w:t>“</w:t>
      </w:r>
      <w:r>
        <w:rPr>
          <w:rFonts w:ascii="System Font" w:hAnsi="System Font" w:cs="System Font"/>
          <w:color w:val="0E0E0E"/>
          <w:kern w:val="0"/>
          <w:sz w:val="28"/>
          <w:szCs w:val="28"/>
        </w:rPr>
        <w:t>进攻型武器</w:t>
      </w:r>
      <w:r>
        <w:rPr>
          <w:rFonts w:ascii="System Font" w:hAnsi="System Font" w:cs="System Font"/>
          <w:color w:val="0E0E0E"/>
          <w:kern w:val="0"/>
          <w:sz w:val="28"/>
          <w:szCs w:val="28"/>
        </w:rPr>
        <w:t>”</w:t>
      </w:r>
      <w:r>
        <w:rPr>
          <w:rFonts w:ascii="System Font" w:hAnsi="System Font" w:cs="System Font"/>
          <w:color w:val="0E0E0E"/>
          <w:kern w:val="0"/>
          <w:sz w:val="28"/>
          <w:szCs w:val="28"/>
        </w:rPr>
        <w:t>，通过资本增值和股息收入提供高回报，但也伴随着较大的市场波动性。</w:t>
      </w:r>
    </w:p>
    <w:p w14:paraId="444C7350" w14:textId="77777777" w:rsidR="00677DBC" w:rsidRDefault="00677DBC" w:rsidP="00677DBC">
      <w:pPr>
        <w:tabs>
          <w:tab w:val="right" w:pos="100"/>
          <w:tab w:val="left" w:pos="260"/>
        </w:tabs>
        <w:autoSpaceDE w:val="0"/>
        <w:autoSpaceDN w:val="0"/>
        <w:adjustRightInd w:val="0"/>
        <w:spacing w:before="240" w:line="324" w:lineRule="auto"/>
        <w:ind w:left="260" w:hanging="260"/>
        <w:jc w:val="left"/>
        <w:rPr>
          <w:rFonts w:ascii="System Font" w:hAnsi="System Font" w:cs="System Font"/>
          <w:color w:val="0E0E0E"/>
          <w:kern w:val="0"/>
          <w:sz w:val="28"/>
          <w:szCs w:val="28"/>
        </w:rPr>
      </w:pPr>
      <w:r>
        <w:rPr>
          <w:rFonts w:ascii="System Font" w:hAnsi="System Font" w:cs="System Font"/>
          <w:color w:val="0E0E0E"/>
          <w:kern w:val="0"/>
          <w:sz w:val="28"/>
          <w:szCs w:val="28"/>
        </w:rPr>
        <w:tab/>
        <w:t>•</w:t>
      </w:r>
      <w:r>
        <w:rPr>
          <w:rFonts w:ascii="System Font" w:hAnsi="System Font" w:cs="System Font"/>
          <w:color w:val="0E0E0E"/>
          <w:kern w:val="0"/>
          <w:sz w:val="28"/>
          <w:szCs w:val="28"/>
        </w:rPr>
        <w:tab/>
      </w:r>
      <w:r>
        <w:rPr>
          <w:rFonts w:ascii="System Font" w:hAnsi="System Font" w:cs="System Font"/>
          <w:b/>
          <w:bCs/>
          <w:color w:val="0E0E0E"/>
          <w:kern w:val="0"/>
          <w:sz w:val="28"/>
          <w:szCs w:val="28"/>
        </w:rPr>
        <w:t>债券（债券型基金）</w:t>
      </w:r>
      <w:r>
        <w:rPr>
          <w:rFonts w:ascii="System Font" w:hAnsi="System Font" w:cs="System Font"/>
          <w:color w:val="0E0E0E"/>
          <w:kern w:val="0"/>
          <w:sz w:val="28"/>
          <w:szCs w:val="28"/>
        </w:rPr>
        <w:t>：是</w:t>
      </w:r>
      <w:r>
        <w:rPr>
          <w:rFonts w:ascii="System Font" w:hAnsi="System Font" w:cs="System Font"/>
          <w:color w:val="0E0E0E"/>
          <w:kern w:val="0"/>
          <w:sz w:val="28"/>
          <w:szCs w:val="28"/>
        </w:rPr>
        <w:t>“</w:t>
      </w:r>
      <w:r>
        <w:rPr>
          <w:rFonts w:ascii="System Font" w:hAnsi="System Font" w:cs="System Font"/>
          <w:color w:val="0E0E0E"/>
          <w:kern w:val="0"/>
          <w:sz w:val="28"/>
          <w:szCs w:val="28"/>
        </w:rPr>
        <w:t>防守型盾牌</w:t>
      </w:r>
      <w:r>
        <w:rPr>
          <w:rFonts w:ascii="System Font" w:hAnsi="System Font" w:cs="System Font"/>
          <w:color w:val="0E0E0E"/>
          <w:kern w:val="0"/>
          <w:sz w:val="28"/>
          <w:szCs w:val="28"/>
        </w:rPr>
        <w:t>”</w:t>
      </w:r>
      <w:r>
        <w:rPr>
          <w:rFonts w:ascii="System Font" w:hAnsi="System Font" w:cs="System Font"/>
          <w:color w:val="0E0E0E"/>
          <w:kern w:val="0"/>
          <w:sz w:val="28"/>
          <w:szCs w:val="28"/>
        </w:rPr>
        <w:t>，通过稳定的利息收入在经济低迷时保护组合，减缓整体波动。</w:t>
      </w:r>
    </w:p>
    <w:p w14:paraId="43F08FF7" w14:textId="77777777" w:rsidR="00677DBC" w:rsidRDefault="00677DBC" w:rsidP="00677DBC">
      <w:pPr>
        <w:tabs>
          <w:tab w:val="right" w:pos="100"/>
          <w:tab w:val="left" w:pos="260"/>
        </w:tabs>
        <w:autoSpaceDE w:val="0"/>
        <w:autoSpaceDN w:val="0"/>
        <w:adjustRightInd w:val="0"/>
        <w:spacing w:before="240" w:line="324" w:lineRule="auto"/>
        <w:ind w:left="260" w:hanging="260"/>
        <w:jc w:val="left"/>
        <w:rPr>
          <w:rFonts w:ascii="System Font" w:hAnsi="System Font" w:cs="System Font"/>
          <w:color w:val="0E0E0E"/>
          <w:kern w:val="0"/>
          <w:sz w:val="28"/>
          <w:szCs w:val="28"/>
        </w:rPr>
      </w:pPr>
      <w:r>
        <w:rPr>
          <w:rFonts w:ascii="System Font" w:hAnsi="System Font" w:cs="System Font"/>
          <w:color w:val="0E0E0E"/>
          <w:kern w:val="0"/>
          <w:sz w:val="28"/>
          <w:szCs w:val="28"/>
        </w:rPr>
        <w:tab/>
        <w:t>•</w:t>
      </w:r>
      <w:r>
        <w:rPr>
          <w:rFonts w:ascii="System Font" w:hAnsi="System Font" w:cs="System Font"/>
          <w:color w:val="0E0E0E"/>
          <w:kern w:val="0"/>
          <w:sz w:val="28"/>
          <w:szCs w:val="28"/>
        </w:rPr>
        <w:tab/>
      </w:r>
      <w:r>
        <w:rPr>
          <w:rFonts w:ascii="System Font" w:hAnsi="System Font" w:cs="System Font"/>
          <w:b/>
          <w:bCs/>
          <w:color w:val="0E0E0E"/>
          <w:kern w:val="0"/>
          <w:sz w:val="28"/>
          <w:szCs w:val="28"/>
        </w:rPr>
        <w:t>房地产信托基金（</w:t>
      </w:r>
      <w:r>
        <w:rPr>
          <w:rFonts w:ascii="System Font" w:hAnsi="System Font" w:cs="System Font"/>
          <w:b/>
          <w:bCs/>
          <w:color w:val="0E0E0E"/>
          <w:kern w:val="0"/>
          <w:sz w:val="28"/>
          <w:szCs w:val="28"/>
        </w:rPr>
        <w:t>REITs</w:t>
      </w:r>
      <w:r>
        <w:rPr>
          <w:rFonts w:ascii="System Font" w:hAnsi="System Font" w:cs="System Font"/>
          <w:b/>
          <w:bCs/>
          <w:color w:val="0E0E0E"/>
          <w:kern w:val="0"/>
          <w:sz w:val="28"/>
          <w:szCs w:val="28"/>
        </w:rPr>
        <w:t>）</w:t>
      </w:r>
      <w:r>
        <w:rPr>
          <w:rFonts w:ascii="System Font" w:hAnsi="System Font" w:cs="System Font"/>
          <w:color w:val="0E0E0E"/>
          <w:kern w:val="0"/>
          <w:sz w:val="28"/>
          <w:szCs w:val="28"/>
        </w:rPr>
        <w:t>：提供了一个介于股票与债券之间的资产类别，不仅可以享受租金收益，还能在通胀环境中提供对冲。</w:t>
      </w:r>
    </w:p>
    <w:p w14:paraId="7ECFD0A4" w14:textId="77777777" w:rsidR="00677DBC" w:rsidRDefault="00677DBC" w:rsidP="00677DBC">
      <w:pPr>
        <w:tabs>
          <w:tab w:val="right" w:pos="100"/>
          <w:tab w:val="left" w:pos="260"/>
        </w:tabs>
        <w:autoSpaceDE w:val="0"/>
        <w:autoSpaceDN w:val="0"/>
        <w:adjustRightInd w:val="0"/>
        <w:spacing w:before="240" w:line="324" w:lineRule="auto"/>
        <w:ind w:left="260" w:hanging="260"/>
        <w:jc w:val="left"/>
        <w:rPr>
          <w:rFonts w:ascii="System Font" w:hAnsi="System Font" w:cs="System Font"/>
          <w:color w:val="0E0E0E"/>
          <w:kern w:val="0"/>
          <w:sz w:val="28"/>
          <w:szCs w:val="28"/>
        </w:rPr>
      </w:pPr>
      <w:r>
        <w:rPr>
          <w:rFonts w:ascii="System Font" w:hAnsi="System Font" w:cs="System Font"/>
          <w:color w:val="0E0E0E"/>
          <w:kern w:val="0"/>
          <w:sz w:val="28"/>
          <w:szCs w:val="28"/>
        </w:rPr>
        <w:tab/>
        <w:t>•</w:t>
      </w:r>
      <w:r>
        <w:rPr>
          <w:rFonts w:ascii="System Font" w:hAnsi="System Font" w:cs="System Font"/>
          <w:color w:val="0E0E0E"/>
          <w:kern w:val="0"/>
          <w:sz w:val="28"/>
          <w:szCs w:val="28"/>
        </w:rPr>
        <w:tab/>
      </w:r>
      <w:r>
        <w:rPr>
          <w:rFonts w:ascii="System Font" w:hAnsi="System Font" w:cs="System Font"/>
          <w:b/>
          <w:bCs/>
          <w:color w:val="0E0E0E"/>
          <w:kern w:val="0"/>
          <w:sz w:val="28"/>
          <w:szCs w:val="28"/>
        </w:rPr>
        <w:t>现金或货币基金</w:t>
      </w:r>
      <w:r>
        <w:rPr>
          <w:rFonts w:ascii="System Font" w:hAnsi="System Font" w:cs="System Font"/>
          <w:color w:val="0E0E0E"/>
          <w:kern w:val="0"/>
          <w:sz w:val="28"/>
          <w:szCs w:val="28"/>
        </w:rPr>
        <w:t>：是</w:t>
      </w:r>
      <w:r>
        <w:rPr>
          <w:rFonts w:ascii="System Font" w:hAnsi="System Font" w:cs="System Font"/>
          <w:color w:val="0E0E0E"/>
          <w:kern w:val="0"/>
          <w:sz w:val="28"/>
          <w:szCs w:val="28"/>
        </w:rPr>
        <w:t>“</w:t>
      </w:r>
      <w:r>
        <w:rPr>
          <w:rFonts w:ascii="System Font" w:hAnsi="System Font" w:cs="System Font"/>
          <w:color w:val="0E0E0E"/>
          <w:kern w:val="0"/>
          <w:sz w:val="28"/>
          <w:szCs w:val="28"/>
        </w:rPr>
        <w:t>流动性保证</w:t>
      </w:r>
      <w:r>
        <w:rPr>
          <w:rFonts w:ascii="System Font" w:hAnsi="System Font" w:cs="System Font"/>
          <w:color w:val="0E0E0E"/>
          <w:kern w:val="0"/>
          <w:sz w:val="28"/>
          <w:szCs w:val="28"/>
        </w:rPr>
        <w:t>”</w:t>
      </w:r>
      <w:r>
        <w:rPr>
          <w:rFonts w:ascii="System Font" w:hAnsi="System Font" w:cs="System Font"/>
          <w:color w:val="0E0E0E"/>
          <w:kern w:val="0"/>
          <w:sz w:val="28"/>
          <w:szCs w:val="28"/>
        </w:rPr>
        <w:t>，确保投资者在需要时有足够的资金应对紧急情况或者抓住突如其来的投资机会。</w:t>
      </w:r>
    </w:p>
    <w:p w14:paraId="05842296"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92F8379"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2.2 </w:t>
      </w:r>
      <w:r>
        <w:rPr>
          <w:rFonts w:ascii="System Font" w:hAnsi="System Font" w:cs="System Font"/>
          <w:b/>
          <w:bCs/>
          <w:color w:val="0E0E0E"/>
          <w:kern w:val="0"/>
          <w:sz w:val="26"/>
          <w:szCs w:val="26"/>
        </w:rPr>
        <w:t>资产特征的重要性：不求种类多，只求配得精</w:t>
      </w:r>
    </w:p>
    <w:p w14:paraId="6ED38E86"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50F9527"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组合设计不是把所有的投资工具</w:t>
      </w:r>
      <w:r>
        <w:rPr>
          <w:rFonts w:ascii="System Font" w:hAnsi="System Font" w:cs="System Font"/>
          <w:color w:val="0E0E0E"/>
          <w:kern w:val="0"/>
          <w:sz w:val="28"/>
          <w:szCs w:val="28"/>
        </w:rPr>
        <w:t>“</w:t>
      </w:r>
      <w:r>
        <w:rPr>
          <w:rFonts w:ascii="System Font" w:hAnsi="System Font" w:cs="System Font"/>
          <w:color w:val="0E0E0E"/>
          <w:kern w:val="0"/>
          <w:sz w:val="28"/>
          <w:szCs w:val="28"/>
        </w:rPr>
        <w:t>胡乱拼凑</w:t>
      </w:r>
      <w:r>
        <w:rPr>
          <w:rFonts w:ascii="System Font" w:hAnsi="System Font" w:cs="System Font"/>
          <w:color w:val="0E0E0E"/>
          <w:kern w:val="0"/>
          <w:sz w:val="28"/>
          <w:szCs w:val="28"/>
        </w:rPr>
        <w:t>”</w:t>
      </w:r>
      <w:r>
        <w:rPr>
          <w:rFonts w:ascii="System Font" w:hAnsi="System Font" w:cs="System Font"/>
          <w:color w:val="0E0E0E"/>
          <w:kern w:val="0"/>
          <w:sz w:val="28"/>
          <w:szCs w:val="28"/>
        </w:rPr>
        <w:t>，而是根据每类资产的特性有策略地配置。大杂烩式的投资组合可能在市场繁荣时看似光彩夺目，但在市场波动时却暴露出缺乏稳固结构的缺陷。因此，我们在构建组合时，要关注不同资产之间的互补性，通过合理配置达到风险与回报的最佳平衡。</w:t>
      </w:r>
    </w:p>
    <w:p w14:paraId="01D9D75B"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1D277DE6"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三、现金流为锚，估值为绳：组合构建的核心原则</w:t>
      </w:r>
    </w:p>
    <w:p w14:paraId="0F15B11C"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E382D67"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在投资组合的设计中，有两个关键原则不可忽视：现金流和估值。这两个要素就像船只的锚和绳索，控制着投资组合在风浪中的稳定与方向。</w:t>
      </w:r>
    </w:p>
    <w:p w14:paraId="5C32A507"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1DF1EADE"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3.1 </w:t>
      </w:r>
      <w:r>
        <w:rPr>
          <w:rFonts w:ascii="System Font" w:hAnsi="System Font" w:cs="System Font"/>
          <w:b/>
          <w:bCs/>
          <w:color w:val="0E0E0E"/>
          <w:kern w:val="0"/>
          <w:sz w:val="26"/>
          <w:szCs w:val="26"/>
        </w:rPr>
        <w:t>现金流为锚：提供当期收入的保障</w:t>
      </w:r>
    </w:p>
    <w:p w14:paraId="64CBFAA6"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05B8E65"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现金流在投资中扮演着非常重要的角色，它为投资者提供了稳定的收入来源，尤其是在市场动荡时，稳定的现金流能让投资者保持心理上的平静。例如，通过持有股息收益率高的蓝筹股、债券或者房地产信托基金，投资者可以在市场波动时继续获得稳定的收入，而不必依赖资本利得。</w:t>
      </w:r>
    </w:p>
    <w:p w14:paraId="5372753C"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9084FA5"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现金流不仅是投资组合的安全网，它也是你在市场逆风时依然能够坚持长期策略的重要支撑。正如巴菲特所言，</w:t>
      </w:r>
      <w:r>
        <w:rPr>
          <w:rFonts w:ascii="System Font" w:hAnsi="System Font" w:cs="System Font"/>
          <w:color w:val="0E0E0E"/>
          <w:kern w:val="0"/>
          <w:sz w:val="28"/>
          <w:szCs w:val="28"/>
        </w:rPr>
        <w:t>“</w:t>
      </w:r>
      <w:r>
        <w:rPr>
          <w:rFonts w:ascii="System Font" w:hAnsi="System Font" w:cs="System Font"/>
          <w:color w:val="0E0E0E"/>
          <w:kern w:val="0"/>
          <w:sz w:val="28"/>
          <w:szCs w:val="28"/>
        </w:rPr>
        <w:t>一个好公司就是那种即便市场关闭十年，它也能继续赚钱的公司。</w:t>
      </w:r>
      <w:r>
        <w:rPr>
          <w:rFonts w:ascii="System Font" w:hAnsi="System Font" w:cs="System Font"/>
          <w:color w:val="0E0E0E"/>
          <w:kern w:val="0"/>
          <w:sz w:val="28"/>
          <w:szCs w:val="28"/>
        </w:rPr>
        <w:t xml:space="preserve">” </w:t>
      </w:r>
      <w:r>
        <w:rPr>
          <w:rFonts w:ascii="System Font" w:hAnsi="System Font" w:cs="System Font"/>
          <w:color w:val="0E0E0E"/>
          <w:kern w:val="0"/>
          <w:sz w:val="28"/>
          <w:szCs w:val="28"/>
        </w:rPr>
        <w:t>现金流的稳定性让你无惧市场波动，始终稳步前行。</w:t>
      </w:r>
    </w:p>
    <w:p w14:paraId="7EE454CA"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1895C026"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3.2 </w:t>
      </w:r>
      <w:r>
        <w:rPr>
          <w:rFonts w:ascii="System Font" w:hAnsi="System Font" w:cs="System Font"/>
          <w:b/>
          <w:bCs/>
          <w:color w:val="0E0E0E"/>
          <w:kern w:val="0"/>
          <w:sz w:val="26"/>
          <w:szCs w:val="26"/>
        </w:rPr>
        <w:t>估值为绳：决定配置的仓位与方向</w:t>
      </w:r>
    </w:p>
    <w:p w14:paraId="43F92189"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788534B"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估值是决定何时买入、持有或卖出的核心要素。估值水平高低直接影响到资产配置的仓位大小。如果某类资产的估值被明显低估，投资者应该考虑增加其配置比例，而当估值过高时，则应适当减少持仓，以避免风险。</w:t>
      </w:r>
    </w:p>
    <w:p w14:paraId="53F04BDF"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49B8BDE"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例如，当市场普遍看好科技股时，估值往往会被推高到不合理的水平。在这种情况下，理智的投资者可能会逐渐转向估值较低、风险较小的防守型资产，以确保在市场调整时不至于遭受过大的损失。估值为绳，不仅指引你在投资中的方向，还帮助你在激烈波动中系稳船舵，不至迷失。</w:t>
      </w:r>
    </w:p>
    <w:p w14:paraId="1E51A608"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D5B4757"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四、科学与艺术的结合：投资组合构建的最终奥秘</w:t>
      </w:r>
    </w:p>
    <w:p w14:paraId="71CCA48D"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52D1AE28"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真正优秀的投资组合构建，不仅是一门精确的科学，更是一种灵动</w:t>
      </w:r>
      <w:r>
        <w:rPr>
          <w:rFonts w:ascii="System Font" w:hAnsi="System Font" w:cs="System Font"/>
          <w:color w:val="0E0E0E"/>
          <w:kern w:val="0"/>
          <w:sz w:val="28"/>
          <w:szCs w:val="28"/>
        </w:rPr>
        <w:lastRenderedPageBreak/>
        <w:t>的艺术。科学部分在于基于数据、逻辑、资产配置理论的精确计算；而艺术部分在于理解客户需求、市场情绪，以及在面对复杂的金融环境时所展现的灵活与创造力。</w:t>
      </w:r>
    </w:p>
    <w:p w14:paraId="511314D0"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412590F"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4.1 </w:t>
      </w:r>
      <w:r>
        <w:rPr>
          <w:rFonts w:ascii="System Font" w:hAnsi="System Font" w:cs="System Font"/>
          <w:b/>
          <w:bCs/>
          <w:color w:val="0E0E0E"/>
          <w:kern w:val="0"/>
          <w:sz w:val="26"/>
          <w:szCs w:val="26"/>
        </w:rPr>
        <w:t>投资组合是个性化的艺术创作</w:t>
      </w:r>
    </w:p>
    <w:p w14:paraId="2EEF8B10"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6B6ACE5"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每一个客户都如同一块独一无二的画布，投资组合的构建者需要根据其财务状况、风险偏好和长期目标，用不同的资产进行点缀，使之成为一幅独具特色的投资画作。成功的投资，不仅在于追求短期的收益最大化，更在于为每一位客户创造出他们所能接受且长期持有的财富蓝图。</w:t>
      </w:r>
    </w:p>
    <w:p w14:paraId="19139CFE"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07A80E9"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 xml:space="preserve">4.2 </w:t>
      </w:r>
      <w:r>
        <w:rPr>
          <w:rFonts w:ascii="System Font" w:hAnsi="System Font" w:cs="System Font"/>
          <w:b/>
          <w:bCs/>
          <w:color w:val="0E0E0E"/>
          <w:kern w:val="0"/>
          <w:sz w:val="26"/>
          <w:szCs w:val="26"/>
        </w:rPr>
        <w:t>科学的策略</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感性的执行：在理性与感性中平衡</w:t>
      </w:r>
    </w:p>
    <w:p w14:paraId="16B02CCF"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7FB3C395"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科学的策略能帮助我们避免盲目追高和情绪化操作，而感性的执行则让我们在面对市场变化时充满弹性与适应能力。投资是一场马拉松，而不是短跑，只有将科学与艺术完美结合，才能在这条路上走得更远、更稳。</w:t>
      </w:r>
    </w:p>
    <w:p w14:paraId="2E6328C9"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D207206"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结语：投资组合的奥秘就在于平衡</w:t>
      </w:r>
    </w:p>
    <w:p w14:paraId="50C32333"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92A3F41"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在投资的世界里，组合构建的奥秘在于平衡：平衡不同资产的风险</w:t>
      </w:r>
      <w:r>
        <w:rPr>
          <w:rFonts w:ascii="System Font" w:hAnsi="System Font" w:cs="System Font"/>
          <w:color w:val="0E0E0E"/>
          <w:kern w:val="0"/>
          <w:sz w:val="28"/>
          <w:szCs w:val="28"/>
        </w:rPr>
        <w:lastRenderedPageBreak/>
        <w:t>与回报，平衡客户的个性化需求与市场的现实情况。通过科学的方法与艺术的洞见，我们能够为每一个客户量身定制最适合的投资方案，让他们在风云变幻的市场中坚定前行，稳步走向财富的彼岸。</w:t>
      </w:r>
    </w:p>
    <w:p w14:paraId="14C997C1" w14:textId="77777777" w:rsidR="00677DBC" w:rsidRDefault="00677DBC" w:rsidP="00677D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C763144" w14:textId="14CF7340" w:rsidR="00E36783" w:rsidRDefault="00677DBC" w:rsidP="00677DBC">
      <w:r>
        <w:rPr>
          <w:rFonts w:ascii="System Font" w:hAnsi="System Font" w:cs="System Font"/>
          <w:color w:val="0E0E0E"/>
          <w:kern w:val="0"/>
          <w:sz w:val="28"/>
          <w:szCs w:val="28"/>
        </w:rPr>
        <w:t>希望这篇文章能够帮助你理解如何用科学与艺术的双重力量，去打造一个既能应对市场波动，又能满足个性化需求的完美投资组合。因为，真正的投资成功，不是靠一次两次的高收益，而是靠长期稳健的财富增长和理性冷静的投资智慧。</w:t>
      </w:r>
    </w:p>
    <w:sectPr w:rsidR="00E367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BC"/>
    <w:rsid w:val="000207C7"/>
    <w:rsid w:val="00677DBC"/>
    <w:rsid w:val="00D64B7D"/>
    <w:rsid w:val="00D90ED2"/>
    <w:rsid w:val="00E36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48760F"/>
  <w15:chartTrackingRefBased/>
  <w15:docId w15:val="{A3618F6C-54AE-114A-BFBC-C0A51CE5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7DB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7DB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7DB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7DB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7DB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7DB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7DB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7DB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7DB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7DB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7DB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7DB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7DBC"/>
    <w:rPr>
      <w:rFonts w:cstheme="majorBidi"/>
      <w:color w:val="0F4761" w:themeColor="accent1" w:themeShade="BF"/>
      <w:sz w:val="28"/>
      <w:szCs w:val="28"/>
    </w:rPr>
  </w:style>
  <w:style w:type="character" w:customStyle="1" w:styleId="50">
    <w:name w:val="标题 5 字符"/>
    <w:basedOn w:val="a0"/>
    <w:link w:val="5"/>
    <w:uiPriority w:val="9"/>
    <w:semiHidden/>
    <w:rsid w:val="00677DBC"/>
    <w:rPr>
      <w:rFonts w:cstheme="majorBidi"/>
      <w:color w:val="0F4761" w:themeColor="accent1" w:themeShade="BF"/>
      <w:sz w:val="24"/>
    </w:rPr>
  </w:style>
  <w:style w:type="character" w:customStyle="1" w:styleId="60">
    <w:name w:val="标题 6 字符"/>
    <w:basedOn w:val="a0"/>
    <w:link w:val="6"/>
    <w:uiPriority w:val="9"/>
    <w:semiHidden/>
    <w:rsid w:val="00677DBC"/>
    <w:rPr>
      <w:rFonts w:cstheme="majorBidi"/>
      <w:b/>
      <w:bCs/>
      <w:color w:val="0F4761" w:themeColor="accent1" w:themeShade="BF"/>
    </w:rPr>
  </w:style>
  <w:style w:type="character" w:customStyle="1" w:styleId="70">
    <w:name w:val="标题 7 字符"/>
    <w:basedOn w:val="a0"/>
    <w:link w:val="7"/>
    <w:uiPriority w:val="9"/>
    <w:semiHidden/>
    <w:rsid w:val="00677DBC"/>
    <w:rPr>
      <w:rFonts w:cstheme="majorBidi"/>
      <w:b/>
      <w:bCs/>
      <w:color w:val="595959" w:themeColor="text1" w:themeTint="A6"/>
    </w:rPr>
  </w:style>
  <w:style w:type="character" w:customStyle="1" w:styleId="80">
    <w:name w:val="标题 8 字符"/>
    <w:basedOn w:val="a0"/>
    <w:link w:val="8"/>
    <w:uiPriority w:val="9"/>
    <w:semiHidden/>
    <w:rsid w:val="00677DBC"/>
    <w:rPr>
      <w:rFonts w:cstheme="majorBidi"/>
      <w:color w:val="595959" w:themeColor="text1" w:themeTint="A6"/>
    </w:rPr>
  </w:style>
  <w:style w:type="character" w:customStyle="1" w:styleId="90">
    <w:name w:val="标题 9 字符"/>
    <w:basedOn w:val="a0"/>
    <w:link w:val="9"/>
    <w:uiPriority w:val="9"/>
    <w:semiHidden/>
    <w:rsid w:val="00677DBC"/>
    <w:rPr>
      <w:rFonts w:eastAsiaTheme="majorEastAsia" w:cstheme="majorBidi"/>
      <w:color w:val="595959" w:themeColor="text1" w:themeTint="A6"/>
    </w:rPr>
  </w:style>
  <w:style w:type="paragraph" w:styleId="a3">
    <w:name w:val="Title"/>
    <w:basedOn w:val="a"/>
    <w:next w:val="a"/>
    <w:link w:val="a4"/>
    <w:uiPriority w:val="10"/>
    <w:qFormat/>
    <w:rsid w:val="00677DB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7D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7DB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7D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7DBC"/>
    <w:pPr>
      <w:spacing w:before="160" w:after="160"/>
      <w:jc w:val="center"/>
    </w:pPr>
    <w:rPr>
      <w:i/>
      <w:iCs/>
      <w:color w:val="404040" w:themeColor="text1" w:themeTint="BF"/>
    </w:rPr>
  </w:style>
  <w:style w:type="character" w:customStyle="1" w:styleId="a8">
    <w:name w:val="引用 字符"/>
    <w:basedOn w:val="a0"/>
    <w:link w:val="a7"/>
    <w:uiPriority w:val="29"/>
    <w:rsid w:val="00677DBC"/>
    <w:rPr>
      <w:i/>
      <w:iCs/>
      <w:color w:val="404040" w:themeColor="text1" w:themeTint="BF"/>
    </w:rPr>
  </w:style>
  <w:style w:type="paragraph" w:styleId="a9">
    <w:name w:val="List Paragraph"/>
    <w:basedOn w:val="a"/>
    <w:uiPriority w:val="34"/>
    <w:qFormat/>
    <w:rsid w:val="00677DBC"/>
    <w:pPr>
      <w:ind w:left="720"/>
      <w:contextualSpacing/>
    </w:pPr>
  </w:style>
  <w:style w:type="character" w:styleId="aa">
    <w:name w:val="Intense Emphasis"/>
    <w:basedOn w:val="a0"/>
    <w:uiPriority w:val="21"/>
    <w:qFormat/>
    <w:rsid w:val="00677DBC"/>
    <w:rPr>
      <w:i/>
      <w:iCs/>
      <w:color w:val="0F4761" w:themeColor="accent1" w:themeShade="BF"/>
    </w:rPr>
  </w:style>
  <w:style w:type="paragraph" w:styleId="ab">
    <w:name w:val="Intense Quote"/>
    <w:basedOn w:val="a"/>
    <w:next w:val="a"/>
    <w:link w:val="ac"/>
    <w:uiPriority w:val="30"/>
    <w:qFormat/>
    <w:rsid w:val="00677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7DBC"/>
    <w:rPr>
      <w:i/>
      <w:iCs/>
      <w:color w:val="0F4761" w:themeColor="accent1" w:themeShade="BF"/>
    </w:rPr>
  </w:style>
  <w:style w:type="character" w:styleId="ad">
    <w:name w:val="Intense Reference"/>
    <w:basedOn w:val="a0"/>
    <w:uiPriority w:val="32"/>
    <w:qFormat/>
    <w:rsid w:val="00677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398</Words>
  <Characters>2269</Characters>
  <Application>Microsoft Office Word</Application>
  <DocSecurity>0</DocSecurity>
  <Lines>18</Lines>
  <Paragraphs>5</Paragraphs>
  <ScaleCrop>false</ScaleCrop>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Xu</dc:creator>
  <cp:keywords/>
  <dc:description/>
  <cp:lastModifiedBy>April Xu</cp:lastModifiedBy>
  <cp:revision>1</cp:revision>
  <dcterms:created xsi:type="dcterms:W3CDTF">2024-10-09T09:03:00Z</dcterms:created>
  <dcterms:modified xsi:type="dcterms:W3CDTF">2024-10-09T09:03:00Z</dcterms:modified>
</cp:coreProperties>
</file>