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29836"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30"/>
          <w:szCs w:val="30"/>
        </w:rPr>
        <w:t>为什么我们推崇现金流投资法：用现金流做朋友，让时间做帮手</w:t>
      </w:r>
    </w:p>
    <w:p w14:paraId="684608B6"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1C917B0"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在投资的世界里，我们经常听到各种各样的策略和故事，有的让人心潮澎湃，有的则充满了未知与风险。但真正的投资高手往往不是被故事所打动，而是冷静地关注一个核心指标</w:t>
      </w:r>
      <w:r>
        <w:rPr>
          <w:rFonts w:ascii="System Font" w:hAnsi="System Font" w:cs="System Font"/>
          <w:color w:val="0E0E0E"/>
          <w:kern w:val="0"/>
          <w:sz w:val="28"/>
          <w:szCs w:val="28"/>
        </w:rPr>
        <w:t>——</w:t>
      </w:r>
      <w:r>
        <w:rPr>
          <w:rFonts w:ascii="System Font" w:hAnsi="System Font" w:cs="System Font"/>
          <w:b/>
          <w:bCs/>
          <w:color w:val="0E0E0E"/>
          <w:kern w:val="0"/>
          <w:sz w:val="28"/>
          <w:szCs w:val="28"/>
        </w:rPr>
        <w:t>现金流</w:t>
      </w:r>
      <w:r>
        <w:rPr>
          <w:rFonts w:ascii="System Font" w:hAnsi="System Font" w:cs="System Font"/>
          <w:color w:val="0E0E0E"/>
          <w:kern w:val="0"/>
          <w:sz w:val="28"/>
          <w:szCs w:val="28"/>
        </w:rPr>
        <w:t>。今天，我们就来聊聊为什么我们推崇现金流投资法，以及它背后的核心逻辑。</w:t>
      </w:r>
    </w:p>
    <w:p w14:paraId="7A9EB884"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6198A47"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现金流，不仅仅是一串数字，而是企业真实盈利能力的直接体现。它的稳定性、可预测性以及对投资者心态的调节作用，让它在市场中独具优势。现金流投资法，不依赖市场情绪，也不需要找下一个</w:t>
      </w:r>
      <w:r>
        <w:rPr>
          <w:rFonts w:ascii="System Font" w:hAnsi="System Font" w:cs="System Font"/>
          <w:color w:val="0E0E0E"/>
          <w:kern w:val="0"/>
          <w:sz w:val="28"/>
          <w:szCs w:val="28"/>
        </w:rPr>
        <w:t>“</w:t>
      </w:r>
      <w:r>
        <w:rPr>
          <w:rFonts w:ascii="System Font" w:hAnsi="System Font" w:cs="System Font"/>
          <w:color w:val="0E0E0E"/>
          <w:kern w:val="0"/>
          <w:sz w:val="28"/>
          <w:szCs w:val="28"/>
        </w:rPr>
        <w:t>接盘侠</w:t>
      </w:r>
      <w:r>
        <w:rPr>
          <w:rFonts w:ascii="System Font" w:hAnsi="System Font" w:cs="System Font"/>
          <w:color w:val="0E0E0E"/>
          <w:kern w:val="0"/>
          <w:sz w:val="28"/>
          <w:szCs w:val="28"/>
        </w:rPr>
        <w:t>”</w:t>
      </w:r>
      <w:r>
        <w:rPr>
          <w:rFonts w:ascii="System Font" w:hAnsi="System Font" w:cs="System Font"/>
          <w:color w:val="0E0E0E"/>
          <w:kern w:val="0"/>
          <w:sz w:val="28"/>
          <w:szCs w:val="28"/>
        </w:rPr>
        <w:t>，而是通过持续的股息和债息收入，为投资者带来真正的安心与持续的财富增值。</w:t>
      </w:r>
    </w:p>
    <w:p w14:paraId="0CDA960B"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8BAEC14"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为什么要以现金流为抓手？</w:t>
      </w:r>
    </w:p>
    <w:p w14:paraId="75FF8B10"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786CFCF"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在一个充满不确定性和市场波动的投资环境中，以现金流为抓手有几个独特的优势，它能帮助我们避开短期波动的陷阱，专注于长期价值的创造。</w:t>
      </w:r>
    </w:p>
    <w:p w14:paraId="39DF20BA"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FF741F5"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1. </w:t>
      </w:r>
      <w:r>
        <w:rPr>
          <w:rFonts w:ascii="System Font" w:hAnsi="System Font" w:cs="System Font"/>
          <w:b/>
          <w:bCs/>
          <w:color w:val="0E0E0E"/>
          <w:kern w:val="0"/>
          <w:sz w:val="26"/>
          <w:szCs w:val="26"/>
        </w:rPr>
        <w:t>稳定性：现金流不骗人，不让人被故事诱导</w:t>
      </w:r>
    </w:p>
    <w:p w14:paraId="0BAA2B4D"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1A4BCD8A"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市场充满了诱惑，我们总能听到很多</w:t>
      </w:r>
      <w:r>
        <w:rPr>
          <w:rFonts w:ascii="System Font" w:hAnsi="System Font" w:cs="System Font"/>
          <w:color w:val="0E0E0E"/>
          <w:kern w:val="0"/>
          <w:sz w:val="28"/>
          <w:szCs w:val="28"/>
        </w:rPr>
        <w:t>“</w:t>
      </w:r>
      <w:r>
        <w:rPr>
          <w:rFonts w:ascii="System Font" w:hAnsi="System Font" w:cs="System Font"/>
          <w:color w:val="0E0E0E"/>
          <w:kern w:val="0"/>
          <w:sz w:val="28"/>
          <w:szCs w:val="28"/>
        </w:rPr>
        <w:t>故事股</w:t>
      </w:r>
      <w:r>
        <w:rPr>
          <w:rFonts w:ascii="System Font" w:hAnsi="System Font" w:cs="System Font"/>
          <w:color w:val="0E0E0E"/>
          <w:kern w:val="0"/>
          <w:sz w:val="28"/>
          <w:szCs w:val="28"/>
        </w:rPr>
        <w:t>”</w:t>
      </w:r>
      <w:r>
        <w:rPr>
          <w:rFonts w:ascii="System Font" w:hAnsi="System Font" w:cs="System Font"/>
          <w:color w:val="0E0E0E"/>
          <w:kern w:val="0"/>
          <w:sz w:val="28"/>
          <w:szCs w:val="28"/>
        </w:rPr>
        <w:t>，讲述着未来无尽的可能性。然而，很多故事最终都变成了泡影，只有真实的现金流不会欺骗投资者。现金流投资法关注的是企业实际创造的现金收入，而不是市场炒作的概念。正如股神巴菲特所说：</w:t>
      </w:r>
      <w:r>
        <w:rPr>
          <w:rFonts w:ascii="System Font" w:hAnsi="System Font" w:cs="System Font"/>
          <w:color w:val="0E0E0E"/>
          <w:kern w:val="0"/>
          <w:sz w:val="28"/>
          <w:szCs w:val="28"/>
        </w:rPr>
        <w:t>“</w:t>
      </w:r>
      <w:r>
        <w:rPr>
          <w:rFonts w:ascii="System Font" w:hAnsi="System Font" w:cs="System Font"/>
          <w:color w:val="0E0E0E"/>
          <w:kern w:val="0"/>
          <w:sz w:val="28"/>
          <w:szCs w:val="28"/>
        </w:rPr>
        <w:t>在长期来看，市场是称重机。</w:t>
      </w:r>
      <w:r>
        <w:rPr>
          <w:rFonts w:ascii="System Font" w:hAnsi="System Font" w:cs="System Font"/>
          <w:color w:val="0E0E0E"/>
          <w:kern w:val="0"/>
          <w:sz w:val="28"/>
          <w:szCs w:val="28"/>
        </w:rPr>
        <w:t>”</w:t>
      </w:r>
      <w:r>
        <w:rPr>
          <w:rFonts w:ascii="System Font" w:hAnsi="System Font" w:cs="System Font"/>
          <w:color w:val="0E0E0E"/>
          <w:kern w:val="0"/>
          <w:sz w:val="28"/>
          <w:szCs w:val="28"/>
        </w:rPr>
        <w:t>企业的内在价值最终会通过其现金流得到体现。</w:t>
      </w:r>
    </w:p>
    <w:p w14:paraId="6918F32F"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5A38EE0B" w14:textId="77777777" w:rsidR="001A0AAB"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在美国，存在着一些连续多年派发股息并且逐年增长的公司。</w:t>
      </w:r>
      <w:r>
        <w:rPr>
          <w:rFonts w:ascii="System Font" w:hAnsi="System Font" w:cs="System Font"/>
          <w:b/>
          <w:bCs/>
          <w:color w:val="0E0E0E"/>
          <w:kern w:val="0"/>
          <w:sz w:val="28"/>
          <w:szCs w:val="28"/>
        </w:rPr>
        <w:t>连续</w:t>
      </w:r>
      <w:r>
        <w:rPr>
          <w:rFonts w:ascii="System Font" w:hAnsi="System Font" w:cs="System Font"/>
          <w:b/>
          <w:bCs/>
          <w:color w:val="0E0E0E"/>
          <w:kern w:val="0"/>
          <w:sz w:val="28"/>
          <w:szCs w:val="28"/>
        </w:rPr>
        <w:t>50</w:t>
      </w:r>
      <w:r>
        <w:rPr>
          <w:rFonts w:ascii="System Font" w:hAnsi="System Font" w:cs="System Font"/>
          <w:b/>
          <w:bCs/>
          <w:color w:val="0E0E0E"/>
          <w:kern w:val="0"/>
          <w:sz w:val="28"/>
          <w:szCs w:val="28"/>
        </w:rPr>
        <w:t>年或以上增加股息的公司</w:t>
      </w:r>
      <w:r>
        <w:rPr>
          <w:rFonts w:ascii="System Font" w:hAnsi="System Font" w:cs="System Font"/>
          <w:color w:val="0E0E0E"/>
          <w:kern w:val="0"/>
          <w:sz w:val="28"/>
          <w:szCs w:val="28"/>
        </w:rPr>
        <w:t>被称为</w:t>
      </w:r>
      <w:r>
        <w:rPr>
          <w:rFonts w:ascii="System Font" w:hAnsi="System Font" w:cs="System Font"/>
          <w:color w:val="0E0E0E"/>
          <w:kern w:val="0"/>
          <w:sz w:val="28"/>
          <w:szCs w:val="28"/>
        </w:rPr>
        <w:t>“</w:t>
      </w:r>
      <w:r>
        <w:rPr>
          <w:rFonts w:ascii="System Font" w:hAnsi="System Font" w:cs="System Font"/>
          <w:color w:val="0E0E0E"/>
          <w:kern w:val="0"/>
          <w:sz w:val="28"/>
          <w:szCs w:val="28"/>
        </w:rPr>
        <w:t>股息国王（</w:t>
      </w:r>
      <w:r>
        <w:rPr>
          <w:rFonts w:ascii="System Font" w:hAnsi="System Font" w:cs="System Font"/>
          <w:color w:val="0E0E0E"/>
          <w:kern w:val="0"/>
          <w:sz w:val="28"/>
          <w:szCs w:val="28"/>
        </w:rPr>
        <w:t>Dividend Kings</w:t>
      </w:r>
      <w:r>
        <w:rPr>
          <w:rFonts w:ascii="System Font" w:hAnsi="System Font" w:cs="System Font"/>
          <w:color w:val="0E0E0E"/>
          <w:kern w:val="0"/>
          <w:sz w:val="28"/>
          <w:szCs w:val="28"/>
        </w:rPr>
        <w:t>）</w:t>
      </w:r>
      <w:r>
        <w:rPr>
          <w:rFonts w:ascii="System Font" w:hAnsi="System Font" w:cs="System Font"/>
          <w:color w:val="0E0E0E"/>
          <w:kern w:val="0"/>
          <w:sz w:val="28"/>
          <w:szCs w:val="28"/>
        </w:rPr>
        <w:t>”</w:t>
      </w:r>
      <w:r>
        <w:rPr>
          <w:rFonts w:ascii="System Font" w:hAnsi="System Font" w:cs="System Font"/>
          <w:color w:val="0E0E0E"/>
          <w:kern w:val="0"/>
          <w:sz w:val="28"/>
          <w:szCs w:val="28"/>
        </w:rPr>
        <w:t>，而</w:t>
      </w:r>
      <w:r>
        <w:rPr>
          <w:rFonts w:ascii="System Font" w:hAnsi="System Font" w:cs="System Font"/>
          <w:b/>
          <w:bCs/>
          <w:color w:val="0E0E0E"/>
          <w:kern w:val="0"/>
          <w:sz w:val="28"/>
          <w:szCs w:val="28"/>
        </w:rPr>
        <w:t>连续</w:t>
      </w:r>
      <w:r>
        <w:rPr>
          <w:rFonts w:ascii="System Font" w:hAnsi="System Font" w:cs="System Font"/>
          <w:b/>
          <w:bCs/>
          <w:color w:val="0E0E0E"/>
          <w:kern w:val="0"/>
          <w:sz w:val="28"/>
          <w:szCs w:val="28"/>
        </w:rPr>
        <w:t>25</w:t>
      </w:r>
      <w:r>
        <w:rPr>
          <w:rFonts w:ascii="System Font" w:hAnsi="System Font" w:cs="System Font"/>
          <w:b/>
          <w:bCs/>
          <w:color w:val="0E0E0E"/>
          <w:kern w:val="0"/>
          <w:sz w:val="28"/>
          <w:szCs w:val="28"/>
        </w:rPr>
        <w:t>年或以上增加股息的公司</w:t>
      </w:r>
      <w:r>
        <w:rPr>
          <w:rFonts w:ascii="System Font" w:hAnsi="System Font" w:cs="System Font"/>
          <w:color w:val="0E0E0E"/>
          <w:kern w:val="0"/>
          <w:sz w:val="28"/>
          <w:szCs w:val="28"/>
        </w:rPr>
        <w:t>则被称为</w:t>
      </w:r>
      <w:r>
        <w:rPr>
          <w:rFonts w:ascii="System Font" w:hAnsi="System Font" w:cs="System Font"/>
          <w:color w:val="0E0E0E"/>
          <w:kern w:val="0"/>
          <w:sz w:val="28"/>
          <w:szCs w:val="28"/>
        </w:rPr>
        <w:t>“</w:t>
      </w:r>
      <w:r>
        <w:rPr>
          <w:rFonts w:ascii="System Font" w:hAnsi="System Font" w:cs="System Font"/>
          <w:color w:val="0E0E0E"/>
          <w:kern w:val="0"/>
          <w:sz w:val="28"/>
          <w:szCs w:val="28"/>
        </w:rPr>
        <w:t>股息贵族（</w:t>
      </w:r>
      <w:r>
        <w:rPr>
          <w:rFonts w:ascii="System Font" w:hAnsi="System Font" w:cs="System Font"/>
          <w:color w:val="0E0E0E"/>
          <w:kern w:val="0"/>
          <w:sz w:val="28"/>
          <w:szCs w:val="28"/>
        </w:rPr>
        <w:t>Dividend Aristocrats</w:t>
      </w:r>
      <w:r>
        <w:rPr>
          <w:rFonts w:ascii="System Font" w:hAnsi="System Font" w:cs="System Font"/>
          <w:color w:val="0E0E0E"/>
          <w:kern w:val="0"/>
          <w:sz w:val="28"/>
          <w:szCs w:val="28"/>
        </w:rPr>
        <w:t>）</w:t>
      </w:r>
      <w:r>
        <w:rPr>
          <w:rFonts w:ascii="System Font" w:hAnsi="System Font" w:cs="System Font"/>
          <w:color w:val="0E0E0E"/>
          <w:kern w:val="0"/>
          <w:sz w:val="28"/>
          <w:szCs w:val="28"/>
        </w:rPr>
        <w:t>”</w:t>
      </w:r>
      <w:r>
        <w:rPr>
          <w:rFonts w:ascii="System Font" w:hAnsi="System Font" w:cs="System Font"/>
          <w:color w:val="0E0E0E"/>
          <w:kern w:val="0"/>
          <w:sz w:val="28"/>
          <w:szCs w:val="28"/>
        </w:rPr>
        <w:t>。截至目前，股息国王的公司数量超过</w:t>
      </w:r>
      <w:r>
        <w:rPr>
          <w:rFonts w:ascii="System Font" w:hAnsi="System Font" w:cs="System Font"/>
          <w:color w:val="0E0E0E"/>
          <w:kern w:val="0"/>
          <w:sz w:val="28"/>
          <w:szCs w:val="28"/>
        </w:rPr>
        <w:t>30</w:t>
      </w:r>
      <w:r>
        <w:rPr>
          <w:rFonts w:ascii="System Font" w:hAnsi="System Font" w:cs="System Font"/>
          <w:color w:val="0E0E0E"/>
          <w:kern w:val="0"/>
          <w:sz w:val="28"/>
          <w:szCs w:val="28"/>
        </w:rPr>
        <w:t>家，而股息贵族的公司数量则超过</w:t>
      </w:r>
      <w:r>
        <w:rPr>
          <w:rFonts w:ascii="System Font" w:hAnsi="System Font" w:cs="System Font"/>
          <w:color w:val="0E0E0E"/>
          <w:kern w:val="0"/>
          <w:sz w:val="28"/>
          <w:szCs w:val="28"/>
        </w:rPr>
        <w:t>60</w:t>
      </w:r>
      <w:r>
        <w:rPr>
          <w:rFonts w:ascii="System Font" w:hAnsi="System Font" w:cs="System Font"/>
          <w:color w:val="0E0E0E"/>
          <w:kern w:val="0"/>
          <w:sz w:val="28"/>
          <w:szCs w:val="28"/>
        </w:rPr>
        <w:t>家。</w:t>
      </w:r>
    </w:p>
    <w:p w14:paraId="5510F1DD" w14:textId="77777777" w:rsidR="001A0AAB"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459097F" w14:textId="061B8B46" w:rsidR="00664CFF"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这些优秀的公司通过将其利润的一部分以股息形式回馈股东，并且经常通过股票回购的方式增加股东价值。通过这些机制，股东不仅能从股息中获得稳定的现金流，还能分享公司长期盈利和经济增长带来的红利。这种持续的回报使得股息国王和股息贵族成为了长期投资者在波动市场中依然能够依靠的稳健选择。</w:t>
      </w:r>
    </w:p>
    <w:p w14:paraId="38269E09" w14:textId="77777777" w:rsidR="001A0AAB"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hint="eastAsia"/>
          <w:color w:val="0E0E0E"/>
          <w:kern w:val="0"/>
          <w:sz w:val="28"/>
          <w:szCs w:val="28"/>
        </w:rPr>
      </w:pPr>
    </w:p>
    <w:p w14:paraId="06CE233C"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2. </w:t>
      </w:r>
      <w:r>
        <w:rPr>
          <w:rFonts w:ascii="System Font" w:hAnsi="System Font" w:cs="System Font"/>
          <w:b/>
          <w:bCs/>
          <w:color w:val="0E0E0E"/>
          <w:kern w:val="0"/>
          <w:sz w:val="26"/>
          <w:szCs w:val="26"/>
        </w:rPr>
        <w:t>容易估值判断</w:t>
      </w:r>
    </w:p>
    <w:p w14:paraId="2D2A5CF6"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D3D0AA1"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现金流投资法的另一个重大优势在于，它为估值提供了一个相对清</w:t>
      </w:r>
      <w:r>
        <w:rPr>
          <w:rFonts w:ascii="System Font" w:hAnsi="System Font" w:cs="System Font"/>
          <w:color w:val="0E0E0E"/>
          <w:kern w:val="0"/>
          <w:sz w:val="28"/>
          <w:szCs w:val="28"/>
        </w:rPr>
        <w:lastRenderedPageBreak/>
        <w:t>晰和可靠的基准。与高成长型股票不同，这类资产的估值不依赖于复杂的未来预期，而是基于企业的历史表现和未来可持续的现金流。这使得投资者在做出决策时，可以更加理性和科学。</w:t>
      </w:r>
    </w:p>
    <w:p w14:paraId="39CDA458"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126A65A"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以</w:t>
      </w:r>
      <w:r>
        <w:rPr>
          <w:rFonts w:ascii="System Font" w:hAnsi="System Font" w:cs="System Font"/>
          <w:b/>
          <w:bCs/>
          <w:color w:val="0E0E0E"/>
          <w:kern w:val="0"/>
          <w:sz w:val="28"/>
          <w:szCs w:val="28"/>
        </w:rPr>
        <w:t>债券市场</w:t>
      </w:r>
      <w:r>
        <w:rPr>
          <w:rFonts w:ascii="System Font" w:hAnsi="System Font" w:cs="System Font"/>
          <w:color w:val="0E0E0E"/>
          <w:kern w:val="0"/>
          <w:sz w:val="28"/>
          <w:szCs w:val="28"/>
        </w:rPr>
        <w:t>为例，债券的定价主要取决于未来现金流的折现值。投资者可以根据利率变化和信用风险，对债券的价值做出合理判断。这种估值的透明性让债券成为保守型投资者的首选，因为它几乎完全依赖于未来现金流，而非市场波动。</w:t>
      </w:r>
    </w:p>
    <w:p w14:paraId="02E0DA16" w14:textId="77777777" w:rsidR="001A0AAB" w:rsidRDefault="001A0AAB"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781F639" w14:textId="64234D40" w:rsidR="001A0AAB" w:rsidRPr="001A0AAB"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hint="eastAsia"/>
          <w:color w:val="0E0E0E"/>
          <w:kern w:val="0"/>
          <w:sz w:val="28"/>
          <w:szCs w:val="28"/>
        </w:rPr>
        <w:t>而</w:t>
      </w:r>
      <w:r w:rsidRPr="001A0AAB">
        <w:rPr>
          <w:rFonts w:ascii="System Font" w:hAnsi="System Font" w:cs="System Font"/>
          <w:color w:val="0E0E0E"/>
          <w:kern w:val="0"/>
          <w:sz w:val="28"/>
          <w:szCs w:val="28"/>
        </w:rPr>
        <w:t>高股息公司通常具备较为稳定的业务模式和现金流，这使得它们的业绩波动较小，进而更容易进行估值。首先，这类公司通常处于成熟行业，如消费品、公共事业或医药等，它们的收入和利润来源相对稳定，不易受到市场波动或短期经济变化的剧烈影响。</w:t>
      </w:r>
    </w:p>
    <w:p w14:paraId="7FCFCEAE" w14:textId="77777777" w:rsidR="001A0AAB" w:rsidRPr="001A0AAB"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238F194" w14:textId="77777777" w:rsidR="001A0AAB" w:rsidRPr="001A0AAB"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sidRPr="001A0AAB">
        <w:rPr>
          <w:rFonts w:ascii="System Font" w:hAnsi="System Font" w:cs="System Font"/>
          <w:color w:val="0E0E0E"/>
          <w:kern w:val="0"/>
          <w:sz w:val="28"/>
          <w:szCs w:val="28"/>
        </w:rPr>
        <w:t>其次，股息政策的稳定性是一个重要信号。高股息公司往往会保持稳定甚至逐年增加的股息支付，这意味着管理层对公司未来的现金流非常有信心。通过这种可持续的分红，投资者能够获得一个长期、可预测的收益，这大大降低了投资的不确定性。</w:t>
      </w:r>
    </w:p>
    <w:p w14:paraId="3D98AB15" w14:textId="77777777" w:rsidR="001A0AAB" w:rsidRPr="001A0AAB"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4E8292F" w14:textId="77777777" w:rsidR="001A0AAB" w:rsidRPr="001A0AAB"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sidRPr="001A0AAB">
        <w:rPr>
          <w:rFonts w:ascii="System Font" w:hAnsi="System Font" w:cs="System Font"/>
          <w:color w:val="0E0E0E"/>
          <w:kern w:val="0"/>
          <w:sz w:val="28"/>
          <w:szCs w:val="28"/>
        </w:rPr>
        <w:t>由于高股息公司的业绩波动较小，未来的现金流相对稳定，分析师和投资者在进行估值时更容易预测这些公司的盈利情况。相比那些依赖高速增长或不确定的创新驱动的公司，高股息公司的估值更多</w:t>
      </w:r>
      <w:r w:rsidRPr="001A0AAB">
        <w:rPr>
          <w:rFonts w:ascii="System Font" w:hAnsi="System Font" w:cs="System Font"/>
          <w:color w:val="0E0E0E"/>
          <w:kern w:val="0"/>
          <w:sz w:val="28"/>
          <w:szCs w:val="28"/>
        </w:rPr>
        <w:lastRenderedPageBreak/>
        <w:t>依赖于其稳定的分红和利润，因此使用传统的估值方法（如股息折现模型、</w:t>
      </w:r>
      <w:r w:rsidRPr="001A0AAB">
        <w:rPr>
          <w:rFonts w:ascii="System Font" w:hAnsi="System Font" w:cs="System Font"/>
          <w:color w:val="0E0E0E"/>
          <w:kern w:val="0"/>
          <w:sz w:val="28"/>
          <w:szCs w:val="28"/>
        </w:rPr>
        <w:t>PE</w:t>
      </w:r>
      <w:r w:rsidRPr="001A0AAB">
        <w:rPr>
          <w:rFonts w:ascii="System Font" w:hAnsi="System Font" w:cs="System Font"/>
          <w:color w:val="0E0E0E"/>
          <w:kern w:val="0"/>
          <w:sz w:val="28"/>
          <w:szCs w:val="28"/>
        </w:rPr>
        <w:t>估值）更加有效。</w:t>
      </w:r>
    </w:p>
    <w:p w14:paraId="7980C0C5" w14:textId="77777777" w:rsidR="001A0AAB" w:rsidRPr="001A0AAB"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6F2950A" w14:textId="5B703775" w:rsidR="001A0AAB" w:rsidRDefault="001A0AAB" w:rsidP="001A0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hint="eastAsia"/>
          <w:color w:val="0E0E0E"/>
          <w:kern w:val="0"/>
          <w:sz w:val="28"/>
          <w:szCs w:val="28"/>
        </w:rPr>
      </w:pPr>
      <w:r w:rsidRPr="001A0AAB">
        <w:rPr>
          <w:rFonts w:ascii="System Font" w:hAnsi="System Font" w:cs="System Font"/>
          <w:color w:val="0E0E0E"/>
          <w:kern w:val="0"/>
          <w:sz w:val="28"/>
          <w:szCs w:val="28"/>
        </w:rPr>
        <w:t>总的来说，高股息公司由于其稳定的业绩和可预测的股息流，成为投资者在波动市场中的</w:t>
      </w:r>
      <w:r w:rsidRPr="001A0AAB">
        <w:rPr>
          <w:rFonts w:ascii="System Font" w:hAnsi="System Font" w:cs="System Font"/>
          <w:color w:val="0E0E0E"/>
          <w:kern w:val="0"/>
          <w:sz w:val="28"/>
          <w:szCs w:val="28"/>
        </w:rPr>
        <w:t>“</w:t>
      </w:r>
      <w:r w:rsidRPr="001A0AAB">
        <w:rPr>
          <w:rFonts w:ascii="System Font" w:hAnsi="System Font" w:cs="System Font"/>
          <w:color w:val="0E0E0E"/>
          <w:kern w:val="0"/>
          <w:sz w:val="28"/>
          <w:szCs w:val="28"/>
        </w:rPr>
        <w:t>避风港</w:t>
      </w:r>
      <w:r w:rsidRPr="001A0AAB">
        <w:rPr>
          <w:rFonts w:ascii="System Font" w:hAnsi="System Font" w:cs="System Font"/>
          <w:color w:val="0E0E0E"/>
          <w:kern w:val="0"/>
          <w:sz w:val="28"/>
          <w:szCs w:val="28"/>
        </w:rPr>
        <w:t>”</w:t>
      </w:r>
      <w:r w:rsidRPr="001A0AAB">
        <w:rPr>
          <w:rFonts w:ascii="System Font" w:hAnsi="System Font" w:cs="System Font"/>
          <w:color w:val="0E0E0E"/>
          <w:kern w:val="0"/>
          <w:sz w:val="28"/>
          <w:szCs w:val="28"/>
        </w:rPr>
        <w:t>，估值过程也因此变得更加简单且</w:t>
      </w:r>
    </w:p>
    <w:p w14:paraId="62C89120"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3746EF0"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3. </w:t>
      </w:r>
      <w:r>
        <w:rPr>
          <w:rFonts w:ascii="System Font" w:hAnsi="System Font" w:cs="System Font"/>
          <w:b/>
          <w:bCs/>
          <w:color w:val="0E0E0E"/>
          <w:kern w:val="0"/>
          <w:sz w:val="26"/>
          <w:szCs w:val="26"/>
        </w:rPr>
        <w:t>持续现金流，无需接盘侠</w:t>
      </w:r>
    </w:p>
    <w:p w14:paraId="64D0BFC2"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75955C3"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一个健康的现金流投资策略，追求的是持续、可靠的收入，而不是等着下一个</w:t>
      </w:r>
      <w:r>
        <w:rPr>
          <w:rFonts w:ascii="System Font" w:hAnsi="System Font" w:cs="System Font"/>
          <w:color w:val="0E0E0E"/>
          <w:kern w:val="0"/>
          <w:sz w:val="28"/>
          <w:szCs w:val="28"/>
        </w:rPr>
        <w:t>“</w:t>
      </w:r>
      <w:r>
        <w:rPr>
          <w:rFonts w:ascii="System Font" w:hAnsi="System Font" w:cs="System Font"/>
          <w:color w:val="0E0E0E"/>
          <w:kern w:val="0"/>
          <w:sz w:val="28"/>
          <w:szCs w:val="28"/>
        </w:rPr>
        <w:t>接盘侠</w:t>
      </w:r>
      <w:r>
        <w:rPr>
          <w:rFonts w:ascii="System Font" w:hAnsi="System Font" w:cs="System Font"/>
          <w:color w:val="0E0E0E"/>
          <w:kern w:val="0"/>
          <w:sz w:val="28"/>
          <w:szCs w:val="28"/>
        </w:rPr>
        <w:t>”</w:t>
      </w:r>
      <w:r>
        <w:rPr>
          <w:rFonts w:ascii="System Font" w:hAnsi="System Font" w:cs="System Font"/>
          <w:color w:val="0E0E0E"/>
          <w:kern w:val="0"/>
          <w:sz w:val="28"/>
          <w:szCs w:val="28"/>
        </w:rPr>
        <w:t>来抬高资产价格。股票分红、债券利息，这些现金流都是企业盈利能力的直接体现。只要企业保持盈利，投资者就可以持续获得收入，而不是依赖于市场价格的波动。</w:t>
      </w:r>
    </w:p>
    <w:p w14:paraId="793BDCF9"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8993312"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这与那些高成长性、但暂时无盈利能力的公司形成鲜明对比。例如，很多互联网公司在早期吸引了大量投资者的资金，但因为缺乏稳定的盈利模式，最终导致投资者不得不寻找下一个</w:t>
      </w:r>
      <w:r>
        <w:rPr>
          <w:rFonts w:ascii="System Font" w:hAnsi="System Font" w:cs="System Font"/>
          <w:color w:val="0E0E0E"/>
          <w:kern w:val="0"/>
          <w:sz w:val="28"/>
          <w:szCs w:val="28"/>
        </w:rPr>
        <w:t>“</w:t>
      </w:r>
      <w:r>
        <w:rPr>
          <w:rFonts w:ascii="System Font" w:hAnsi="System Font" w:cs="System Font"/>
          <w:color w:val="0E0E0E"/>
          <w:kern w:val="0"/>
          <w:sz w:val="28"/>
          <w:szCs w:val="28"/>
        </w:rPr>
        <w:t>接盘侠</w:t>
      </w:r>
      <w:r>
        <w:rPr>
          <w:rFonts w:ascii="System Font" w:hAnsi="System Font" w:cs="System Font"/>
          <w:color w:val="0E0E0E"/>
          <w:kern w:val="0"/>
          <w:sz w:val="28"/>
          <w:szCs w:val="28"/>
        </w:rPr>
        <w:t>”</w:t>
      </w:r>
      <w:r>
        <w:rPr>
          <w:rFonts w:ascii="System Font" w:hAnsi="System Font" w:cs="System Font"/>
          <w:color w:val="0E0E0E"/>
          <w:kern w:val="0"/>
          <w:sz w:val="28"/>
          <w:szCs w:val="28"/>
        </w:rPr>
        <w:t>来出清仓位。而现金流型资产则避免了这种风险，投资者不必在乎股价短期内的涨跌，只需关注企业能否持续创造价值。</w:t>
      </w:r>
    </w:p>
    <w:p w14:paraId="784901B1"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3D2E06F"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4. </w:t>
      </w:r>
      <w:r>
        <w:rPr>
          <w:rFonts w:ascii="System Font" w:hAnsi="System Font" w:cs="System Font"/>
          <w:b/>
          <w:bCs/>
          <w:color w:val="0E0E0E"/>
          <w:kern w:val="0"/>
          <w:sz w:val="26"/>
          <w:szCs w:val="26"/>
        </w:rPr>
        <w:t>现金流让人安定，更易坚持</w:t>
      </w:r>
    </w:p>
    <w:p w14:paraId="6BF8C2D6"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15774A4"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投资最难的并不是选择何时买入，而是能够长期持有并坚持自己的</w:t>
      </w:r>
      <w:r>
        <w:rPr>
          <w:rFonts w:ascii="System Font" w:hAnsi="System Font" w:cs="System Font"/>
          <w:color w:val="0E0E0E"/>
          <w:kern w:val="0"/>
          <w:sz w:val="28"/>
          <w:szCs w:val="28"/>
        </w:rPr>
        <w:lastRenderedPageBreak/>
        <w:t>投资策略。现金流投资法通过持续的收入让投资者在市场下跌时依然保持镇定。每当市场下跌，投资者不仅不会惊慌失措，反而会将其视为一次低成本买入优质资产的机会，因为他们知道，无论股价如何波动，现金流收入仍在持续流入。</w:t>
      </w:r>
    </w:p>
    <w:p w14:paraId="53229CCE"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71E673E2"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以退休基金为例，大多数退休基金都偏好现金流充裕、股息稳定的股票，因为它们能够在市场动荡时为投资者提供心理上的安慰。正是这种收入的稳定性，使得投资者更容易在市场调整时坚持长期策略。</w:t>
      </w:r>
    </w:p>
    <w:p w14:paraId="30F89845"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BF64996"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现金流（股息债息）投资法的核心考量</w:t>
      </w:r>
    </w:p>
    <w:p w14:paraId="4271D403"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3DF4CBC"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现金流投资法的核心在于关注资产所产生的分红或利息收入，而不仅仅是资产价格的升值。为了确保投资的稳健性，我们需要从三个方面来审视这些收入的质量。</w:t>
      </w:r>
    </w:p>
    <w:p w14:paraId="488F9360"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715A3DD"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1. </w:t>
      </w:r>
      <w:r>
        <w:rPr>
          <w:rFonts w:ascii="System Font" w:hAnsi="System Font" w:cs="System Font"/>
          <w:b/>
          <w:bCs/>
          <w:color w:val="0E0E0E"/>
          <w:kern w:val="0"/>
          <w:sz w:val="26"/>
          <w:szCs w:val="26"/>
        </w:rPr>
        <w:t>分红</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利息的稳定性</w:t>
      </w:r>
    </w:p>
    <w:p w14:paraId="243C34E5"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4C60657"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首先，我们要考察企业或债券的分红和利息是否稳定。稳定的现金流意味着企业有足够的盈利能力和现金储备，能够持续为股东支付分红或为债权人支付利息。例如，美国的</w:t>
      </w:r>
      <w:r>
        <w:rPr>
          <w:rFonts w:ascii="System Font" w:hAnsi="System Font" w:cs="System Font"/>
          <w:color w:val="0E0E0E"/>
          <w:kern w:val="0"/>
          <w:sz w:val="28"/>
          <w:szCs w:val="28"/>
        </w:rPr>
        <w:t>**“</w:t>
      </w:r>
      <w:r>
        <w:rPr>
          <w:rFonts w:ascii="System Font" w:hAnsi="System Font" w:cs="System Font"/>
          <w:color w:val="0E0E0E"/>
          <w:kern w:val="0"/>
          <w:sz w:val="28"/>
          <w:szCs w:val="28"/>
        </w:rPr>
        <w:t>股息贵族</w:t>
      </w:r>
      <w:r>
        <w:rPr>
          <w:rFonts w:ascii="System Font" w:hAnsi="System Font" w:cs="System Font"/>
          <w:color w:val="0E0E0E"/>
          <w:kern w:val="0"/>
          <w:sz w:val="28"/>
          <w:szCs w:val="28"/>
        </w:rPr>
        <w:t>”**</w:t>
      </w:r>
      <w:r>
        <w:rPr>
          <w:rFonts w:ascii="System Font" w:hAnsi="System Font" w:cs="System Font"/>
          <w:color w:val="0E0E0E"/>
          <w:kern w:val="0"/>
          <w:sz w:val="28"/>
          <w:szCs w:val="28"/>
        </w:rPr>
        <w:t>（</w:t>
      </w:r>
      <w:r>
        <w:rPr>
          <w:rFonts w:ascii="System Font" w:hAnsi="System Font" w:cs="System Font"/>
          <w:color w:val="0E0E0E"/>
          <w:kern w:val="0"/>
          <w:sz w:val="28"/>
          <w:szCs w:val="28"/>
        </w:rPr>
        <w:t>Dividend Aristocrats</w:t>
      </w:r>
      <w:r>
        <w:rPr>
          <w:rFonts w:ascii="System Font" w:hAnsi="System Font" w:cs="System Font"/>
          <w:color w:val="0E0E0E"/>
          <w:kern w:val="0"/>
          <w:sz w:val="28"/>
          <w:szCs w:val="28"/>
        </w:rPr>
        <w:t>）公司，是指那些至少连续</w:t>
      </w:r>
      <w:r>
        <w:rPr>
          <w:rFonts w:ascii="System Font" w:hAnsi="System Font" w:cs="System Font"/>
          <w:color w:val="0E0E0E"/>
          <w:kern w:val="0"/>
          <w:sz w:val="28"/>
          <w:szCs w:val="28"/>
        </w:rPr>
        <w:t>25</w:t>
      </w:r>
      <w:r>
        <w:rPr>
          <w:rFonts w:ascii="System Font" w:hAnsi="System Font" w:cs="System Font"/>
          <w:color w:val="0E0E0E"/>
          <w:kern w:val="0"/>
          <w:sz w:val="28"/>
          <w:szCs w:val="28"/>
        </w:rPr>
        <w:t>年提高股息的公司。这样的</w:t>
      </w:r>
      <w:r>
        <w:rPr>
          <w:rFonts w:ascii="System Font" w:hAnsi="System Font" w:cs="System Font"/>
          <w:color w:val="0E0E0E"/>
          <w:kern w:val="0"/>
          <w:sz w:val="28"/>
          <w:szCs w:val="28"/>
        </w:rPr>
        <w:lastRenderedPageBreak/>
        <w:t>公司在各种经济环境中，都能保持对股东的回报。</w:t>
      </w:r>
    </w:p>
    <w:p w14:paraId="2BEE0695"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57F46D6"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稳定性不仅考验企业的盈利能力，也考验管理层的承诺。一个稳定分红的公司通常具有良好的财务管理能力和对股东回报的重视，这些都是投资者在选择现金流资产时需要重点考量的因素。</w:t>
      </w:r>
    </w:p>
    <w:p w14:paraId="5ECD6F3C"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A31356E"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2. </w:t>
      </w:r>
      <w:r>
        <w:rPr>
          <w:rFonts w:ascii="System Font" w:hAnsi="System Font" w:cs="System Font"/>
          <w:b/>
          <w:bCs/>
          <w:color w:val="0E0E0E"/>
          <w:kern w:val="0"/>
          <w:sz w:val="26"/>
          <w:szCs w:val="26"/>
        </w:rPr>
        <w:t>分红</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利息的增长性（对抗通胀）</w:t>
      </w:r>
    </w:p>
    <w:p w14:paraId="1CDB6E44"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921EE1D"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仅仅有稳定的分红和利息还不够，我们还需要关注它们的增长性。随着时间的推移，通货膨胀会侵蚀资金的购买力，如果分红或利息无法跟上通胀率，实际收益将被大大削弱。因此，选择那些具有持续分红增长潜力的企业尤为重要。</w:t>
      </w:r>
    </w:p>
    <w:p w14:paraId="15B885FC"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2F8D7E8"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比如，</w:t>
      </w:r>
      <w:r>
        <w:rPr>
          <w:rFonts w:ascii="System Font" w:hAnsi="System Font" w:cs="System Font"/>
          <w:color w:val="0E0E0E"/>
          <w:kern w:val="0"/>
          <w:sz w:val="28"/>
          <w:szCs w:val="28"/>
        </w:rPr>
        <w:t>**</w:t>
      </w:r>
      <w:r>
        <w:rPr>
          <w:rFonts w:ascii="System Font" w:hAnsi="System Font" w:cs="System Font"/>
          <w:color w:val="0E0E0E"/>
          <w:kern w:val="0"/>
          <w:sz w:val="28"/>
          <w:szCs w:val="28"/>
        </w:rPr>
        <w:t>微软（</w:t>
      </w:r>
      <w:r>
        <w:rPr>
          <w:rFonts w:ascii="System Font" w:hAnsi="System Font" w:cs="System Font"/>
          <w:color w:val="0E0E0E"/>
          <w:kern w:val="0"/>
          <w:sz w:val="28"/>
          <w:szCs w:val="28"/>
        </w:rPr>
        <w:t>Microsoft</w:t>
      </w:r>
      <w:r>
        <w:rPr>
          <w:rFonts w:ascii="System Font" w:hAnsi="System Font" w:cs="System Font"/>
          <w:color w:val="0E0E0E"/>
          <w:kern w:val="0"/>
          <w:sz w:val="28"/>
          <w:szCs w:val="28"/>
        </w:rPr>
        <w:t>）</w:t>
      </w:r>
      <w:r>
        <w:rPr>
          <w:rFonts w:ascii="System Font" w:hAnsi="System Font" w:cs="System Font"/>
          <w:color w:val="0E0E0E"/>
          <w:kern w:val="0"/>
          <w:sz w:val="28"/>
          <w:szCs w:val="28"/>
        </w:rPr>
        <w:t>**</w:t>
      </w:r>
      <w:r>
        <w:rPr>
          <w:rFonts w:ascii="System Font" w:hAnsi="System Font" w:cs="System Font"/>
          <w:color w:val="0E0E0E"/>
          <w:kern w:val="0"/>
          <w:sz w:val="28"/>
          <w:szCs w:val="28"/>
        </w:rPr>
        <w:t>在过去的</w:t>
      </w:r>
      <w:r>
        <w:rPr>
          <w:rFonts w:ascii="System Font" w:hAnsi="System Font" w:cs="System Font"/>
          <w:color w:val="0E0E0E"/>
          <w:kern w:val="0"/>
          <w:sz w:val="28"/>
          <w:szCs w:val="28"/>
        </w:rPr>
        <w:t>10</w:t>
      </w:r>
      <w:r>
        <w:rPr>
          <w:rFonts w:ascii="System Font" w:hAnsi="System Font" w:cs="System Font"/>
          <w:color w:val="0E0E0E"/>
          <w:kern w:val="0"/>
          <w:sz w:val="28"/>
          <w:szCs w:val="28"/>
        </w:rPr>
        <w:t>年里，不仅保持了稳定的分红，还持续提高了分红的比例。这种增长性是抵御通胀的重要武器，使得投资者在长期内获得实质性的收益增加。</w:t>
      </w:r>
    </w:p>
    <w:p w14:paraId="7F7FC46E"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39FB867"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3. </w:t>
      </w:r>
      <w:r>
        <w:rPr>
          <w:rFonts w:ascii="System Font" w:hAnsi="System Font" w:cs="System Font"/>
          <w:b/>
          <w:bCs/>
          <w:color w:val="0E0E0E"/>
          <w:kern w:val="0"/>
          <w:sz w:val="26"/>
          <w:szCs w:val="26"/>
        </w:rPr>
        <w:t>估值：付出的对价是否合理</w:t>
      </w:r>
    </w:p>
    <w:p w14:paraId="01723EC8"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16DF3FB2"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最后，我们需要确保投资的估值合理。任何投资都需要在合理的价格买入，即使是现金流充裕的企业或债券。如果付出的对价过高，即使分红再稳定、利息再可观，也可能需要很长时间才能收回投资</w:t>
      </w:r>
      <w:r>
        <w:rPr>
          <w:rFonts w:ascii="System Font" w:hAnsi="System Font" w:cs="System Font"/>
          <w:color w:val="0E0E0E"/>
          <w:kern w:val="0"/>
          <w:sz w:val="28"/>
          <w:szCs w:val="28"/>
        </w:rPr>
        <w:lastRenderedPageBreak/>
        <w:t>成本。因此，估值模型如</w:t>
      </w:r>
      <w:r>
        <w:rPr>
          <w:rFonts w:ascii="System Font" w:hAnsi="System Font" w:cs="System Font"/>
          <w:b/>
          <w:bCs/>
          <w:color w:val="0E0E0E"/>
          <w:kern w:val="0"/>
          <w:sz w:val="28"/>
          <w:szCs w:val="28"/>
        </w:rPr>
        <w:t>股息折现模型（</w:t>
      </w:r>
      <w:r>
        <w:rPr>
          <w:rFonts w:ascii="System Font" w:hAnsi="System Font" w:cs="System Font"/>
          <w:b/>
          <w:bCs/>
          <w:color w:val="0E0E0E"/>
          <w:kern w:val="0"/>
          <w:sz w:val="28"/>
          <w:szCs w:val="28"/>
        </w:rPr>
        <w:t>DDM</w:t>
      </w:r>
      <w:r>
        <w:rPr>
          <w:rFonts w:ascii="System Font" w:hAnsi="System Font" w:cs="System Font"/>
          <w:b/>
          <w:bCs/>
          <w:color w:val="0E0E0E"/>
          <w:kern w:val="0"/>
          <w:sz w:val="28"/>
          <w:szCs w:val="28"/>
        </w:rPr>
        <w:t>）</w:t>
      </w:r>
      <w:r>
        <w:rPr>
          <w:rFonts w:ascii="System Font" w:hAnsi="System Font" w:cs="System Font"/>
          <w:color w:val="0E0E0E"/>
          <w:kern w:val="0"/>
          <w:sz w:val="28"/>
          <w:szCs w:val="28"/>
        </w:rPr>
        <w:t>、</w:t>
      </w:r>
      <w:r>
        <w:rPr>
          <w:rFonts w:ascii="System Font" w:hAnsi="System Font" w:cs="System Font"/>
          <w:b/>
          <w:bCs/>
          <w:color w:val="0E0E0E"/>
          <w:kern w:val="0"/>
          <w:sz w:val="28"/>
          <w:szCs w:val="28"/>
        </w:rPr>
        <w:t>债券的现值模型</w:t>
      </w:r>
      <w:r>
        <w:rPr>
          <w:rFonts w:ascii="System Font" w:hAnsi="System Font" w:cs="System Font"/>
          <w:color w:val="0E0E0E"/>
          <w:kern w:val="0"/>
          <w:sz w:val="28"/>
          <w:szCs w:val="28"/>
        </w:rPr>
        <w:t>等工具，在这里显得尤为重要。</w:t>
      </w:r>
    </w:p>
    <w:p w14:paraId="0D9B5C9F"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1C3CED48"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在股票市场中，通过计算股息收益率（</w:t>
      </w:r>
      <w:r>
        <w:rPr>
          <w:rFonts w:ascii="System Font" w:hAnsi="System Font" w:cs="System Font"/>
          <w:color w:val="0E0E0E"/>
          <w:kern w:val="0"/>
          <w:sz w:val="28"/>
          <w:szCs w:val="28"/>
        </w:rPr>
        <w:t>Dividend Yield</w:t>
      </w:r>
      <w:r>
        <w:rPr>
          <w:rFonts w:ascii="System Font" w:hAnsi="System Font" w:cs="System Font"/>
          <w:color w:val="0E0E0E"/>
          <w:kern w:val="0"/>
          <w:sz w:val="28"/>
          <w:szCs w:val="28"/>
        </w:rPr>
        <w:t>），可以快速判断当前股价是否合理。而在债券市场中，通过计算到期收益率（</w:t>
      </w:r>
      <w:r>
        <w:rPr>
          <w:rFonts w:ascii="System Font" w:hAnsi="System Font" w:cs="System Font"/>
          <w:color w:val="0E0E0E"/>
          <w:kern w:val="0"/>
          <w:sz w:val="28"/>
          <w:szCs w:val="28"/>
        </w:rPr>
        <w:t>Yield to Maturity</w:t>
      </w:r>
      <w:r>
        <w:rPr>
          <w:rFonts w:ascii="System Font" w:hAnsi="System Font" w:cs="System Font"/>
          <w:color w:val="0E0E0E"/>
          <w:kern w:val="0"/>
          <w:sz w:val="28"/>
          <w:szCs w:val="28"/>
        </w:rPr>
        <w:t>，</w:t>
      </w:r>
      <w:r>
        <w:rPr>
          <w:rFonts w:ascii="System Font" w:hAnsi="System Font" w:cs="System Font"/>
          <w:color w:val="0E0E0E"/>
          <w:kern w:val="0"/>
          <w:sz w:val="28"/>
          <w:szCs w:val="28"/>
        </w:rPr>
        <w:t>YTM</w:t>
      </w:r>
      <w:r>
        <w:rPr>
          <w:rFonts w:ascii="System Font" w:hAnsi="System Font" w:cs="System Font"/>
          <w:color w:val="0E0E0E"/>
          <w:kern w:val="0"/>
          <w:sz w:val="28"/>
          <w:szCs w:val="28"/>
        </w:rPr>
        <w:t>），可以衡量在持有至到期时所能获得的年化收益率。</w:t>
      </w:r>
    </w:p>
    <w:p w14:paraId="6867B71C"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DE8AE75"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结语</w:t>
      </w:r>
    </w:p>
    <w:p w14:paraId="1279BBB6"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322FCAC"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现金流投资法之所以被推崇，是因为它能为投资者提供稳定、透明和可持续的收益，而无需过多依赖市场情绪或短期波动。无论市场如何变化，企业和债券所带来的持续现金流，都会让你在这场投资马拉松中更有底气。</w:t>
      </w:r>
    </w:p>
    <w:p w14:paraId="50443E3B" w14:textId="77777777" w:rsidR="00664CFF" w:rsidRDefault="00664CFF" w:rsidP="00664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41A26A2" w14:textId="65143EEA" w:rsidR="00E36783" w:rsidRDefault="00664CFF" w:rsidP="00664CFF">
      <w:r>
        <w:rPr>
          <w:rFonts w:ascii="System Font" w:hAnsi="System Font" w:cs="System Font"/>
          <w:color w:val="0E0E0E"/>
          <w:kern w:val="0"/>
          <w:sz w:val="28"/>
          <w:szCs w:val="28"/>
        </w:rPr>
        <w:t>它不仅是你财富增长的驱动引擎，更是你在面对市场动荡时的定心丸。我们相信，真正的投资不是在短期内一夜暴富，而是在长期内用现金流收入让自己拥有穿越牛熊的能力。希望这篇文章能帮助你更好地理解现金流投资法，并在未来的投资旅程中稳步前行。</w:t>
      </w:r>
    </w:p>
    <w:sectPr w:rsidR="00E367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FF"/>
    <w:rsid w:val="000207C7"/>
    <w:rsid w:val="001A0AAB"/>
    <w:rsid w:val="00664CFF"/>
    <w:rsid w:val="00D64B7D"/>
    <w:rsid w:val="00D90ED2"/>
    <w:rsid w:val="00E36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3CB45B"/>
  <w15:chartTrackingRefBased/>
  <w15:docId w15:val="{36FC6298-8E21-9A4B-AE5A-DD384A0E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64C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4C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4C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4C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4C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4C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4C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4C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64CF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4C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4C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4C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4CFF"/>
    <w:rPr>
      <w:rFonts w:cstheme="majorBidi"/>
      <w:color w:val="0F4761" w:themeColor="accent1" w:themeShade="BF"/>
      <w:sz w:val="28"/>
      <w:szCs w:val="28"/>
    </w:rPr>
  </w:style>
  <w:style w:type="character" w:customStyle="1" w:styleId="50">
    <w:name w:val="标题 5 字符"/>
    <w:basedOn w:val="a0"/>
    <w:link w:val="5"/>
    <w:uiPriority w:val="9"/>
    <w:semiHidden/>
    <w:rsid w:val="00664CFF"/>
    <w:rPr>
      <w:rFonts w:cstheme="majorBidi"/>
      <w:color w:val="0F4761" w:themeColor="accent1" w:themeShade="BF"/>
      <w:sz w:val="24"/>
    </w:rPr>
  </w:style>
  <w:style w:type="character" w:customStyle="1" w:styleId="60">
    <w:name w:val="标题 6 字符"/>
    <w:basedOn w:val="a0"/>
    <w:link w:val="6"/>
    <w:uiPriority w:val="9"/>
    <w:semiHidden/>
    <w:rsid w:val="00664CFF"/>
    <w:rPr>
      <w:rFonts w:cstheme="majorBidi"/>
      <w:b/>
      <w:bCs/>
      <w:color w:val="0F4761" w:themeColor="accent1" w:themeShade="BF"/>
    </w:rPr>
  </w:style>
  <w:style w:type="character" w:customStyle="1" w:styleId="70">
    <w:name w:val="标题 7 字符"/>
    <w:basedOn w:val="a0"/>
    <w:link w:val="7"/>
    <w:uiPriority w:val="9"/>
    <w:semiHidden/>
    <w:rsid w:val="00664CFF"/>
    <w:rPr>
      <w:rFonts w:cstheme="majorBidi"/>
      <w:b/>
      <w:bCs/>
      <w:color w:val="595959" w:themeColor="text1" w:themeTint="A6"/>
    </w:rPr>
  </w:style>
  <w:style w:type="character" w:customStyle="1" w:styleId="80">
    <w:name w:val="标题 8 字符"/>
    <w:basedOn w:val="a0"/>
    <w:link w:val="8"/>
    <w:uiPriority w:val="9"/>
    <w:semiHidden/>
    <w:rsid w:val="00664CFF"/>
    <w:rPr>
      <w:rFonts w:cstheme="majorBidi"/>
      <w:color w:val="595959" w:themeColor="text1" w:themeTint="A6"/>
    </w:rPr>
  </w:style>
  <w:style w:type="character" w:customStyle="1" w:styleId="90">
    <w:name w:val="标题 9 字符"/>
    <w:basedOn w:val="a0"/>
    <w:link w:val="9"/>
    <w:uiPriority w:val="9"/>
    <w:semiHidden/>
    <w:rsid w:val="00664CFF"/>
    <w:rPr>
      <w:rFonts w:eastAsiaTheme="majorEastAsia" w:cstheme="majorBidi"/>
      <w:color w:val="595959" w:themeColor="text1" w:themeTint="A6"/>
    </w:rPr>
  </w:style>
  <w:style w:type="paragraph" w:styleId="a3">
    <w:name w:val="Title"/>
    <w:basedOn w:val="a"/>
    <w:next w:val="a"/>
    <w:link w:val="a4"/>
    <w:uiPriority w:val="10"/>
    <w:qFormat/>
    <w:rsid w:val="00664C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4C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4C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4C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4CFF"/>
    <w:pPr>
      <w:spacing w:before="160" w:after="160"/>
      <w:jc w:val="center"/>
    </w:pPr>
    <w:rPr>
      <w:i/>
      <w:iCs/>
      <w:color w:val="404040" w:themeColor="text1" w:themeTint="BF"/>
    </w:rPr>
  </w:style>
  <w:style w:type="character" w:customStyle="1" w:styleId="a8">
    <w:name w:val="引用 字符"/>
    <w:basedOn w:val="a0"/>
    <w:link w:val="a7"/>
    <w:uiPriority w:val="29"/>
    <w:rsid w:val="00664CFF"/>
    <w:rPr>
      <w:i/>
      <w:iCs/>
      <w:color w:val="404040" w:themeColor="text1" w:themeTint="BF"/>
    </w:rPr>
  </w:style>
  <w:style w:type="paragraph" w:styleId="a9">
    <w:name w:val="List Paragraph"/>
    <w:basedOn w:val="a"/>
    <w:uiPriority w:val="34"/>
    <w:qFormat/>
    <w:rsid w:val="00664CFF"/>
    <w:pPr>
      <w:ind w:left="720"/>
      <w:contextualSpacing/>
    </w:pPr>
  </w:style>
  <w:style w:type="character" w:styleId="aa">
    <w:name w:val="Intense Emphasis"/>
    <w:basedOn w:val="a0"/>
    <w:uiPriority w:val="21"/>
    <w:qFormat/>
    <w:rsid w:val="00664CFF"/>
    <w:rPr>
      <w:i/>
      <w:iCs/>
      <w:color w:val="0F4761" w:themeColor="accent1" w:themeShade="BF"/>
    </w:rPr>
  </w:style>
  <w:style w:type="paragraph" w:styleId="ab">
    <w:name w:val="Intense Quote"/>
    <w:basedOn w:val="a"/>
    <w:next w:val="a"/>
    <w:link w:val="ac"/>
    <w:uiPriority w:val="30"/>
    <w:qFormat/>
    <w:rsid w:val="00664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4CFF"/>
    <w:rPr>
      <w:i/>
      <w:iCs/>
      <w:color w:val="0F4761" w:themeColor="accent1" w:themeShade="BF"/>
    </w:rPr>
  </w:style>
  <w:style w:type="character" w:styleId="ad">
    <w:name w:val="Intense Reference"/>
    <w:basedOn w:val="a0"/>
    <w:uiPriority w:val="32"/>
    <w:qFormat/>
    <w:rsid w:val="00664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Xu</dc:creator>
  <cp:keywords/>
  <dc:description/>
  <cp:lastModifiedBy>April Xu</cp:lastModifiedBy>
  <cp:revision>2</cp:revision>
  <dcterms:created xsi:type="dcterms:W3CDTF">2024-10-09T07:27:00Z</dcterms:created>
  <dcterms:modified xsi:type="dcterms:W3CDTF">2024-10-14T08:05:00Z</dcterms:modified>
</cp:coreProperties>
</file>