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39A16" w14:textId="57460A39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为什么选择</w:t>
      </w:r>
      <w:r w:rsidRPr="00B54AC9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投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连险</w:t>
      </w:r>
      <w:r w:rsidRPr="00B54AC9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作为海外投资组合的保险箱</w:t>
      </w:r>
    </w:p>
    <w:p w14:paraId="59CAFD61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5B6765B4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在投资领域，选择合适的工具往往决定了能否有效实现长期目标。最初，我对投连险心存疑虑，特别是它的额外费用、前期提取成本、以及时间限制，这似乎并不符合一个精明投资者的要求。然而，随着对不同客户需求的深入理解，我逐渐认识到投连险不仅仅是一个投资工具，它还具备其他金融工具难以比拟的独特优势，尤其是在税务优化、资产保护和长期财富规划方面。</w:t>
      </w:r>
    </w:p>
    <w:p w14:paraId="28B580B6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5617832F" w14:textId="6005F02C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一、投连险的本质：投资与保险相结合</w:t>
      </w:r>
    </w:p>
    <w:p w14:paraId="5F107D56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16A52F3A" w14:textId="59FC0F6E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简单来说，投连险是一种通过保险外壳包装的投资组合。虽然它本质上仍然是投资工具，但通过附加保险的结构，赋予了它一些其他工具所不具备的功能和保障。在选择投连险时，我们应该重点关注以下几个方面：收益的产生、分配方式、以及保险外壳的附加优势。</w:t>
      </w:r>
    </w:p>
    <w:p w14:paraId="5A117586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6AD66B05" w14:textId="497FF889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1.1 收益的产生与实现</w:t>
      </w:r>
    </w:p>
    <w:p w14:paraId="3ED49AC0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7D417BDB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投连险的收益直接与底层资产的市场表现相关。保费被用于购买由保险公司管理的投资组合，这些组合可以包括股票、债券、房地产等多元资产类别。收益的增值部分直接反映在保单的账户价值上，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lastRenderedPageBreak/>
        <w:t>类似于普通投资组合，收益主要取决于市场波动。</w:t>
      </w:r>
    </w:p>
    <w:p w14:paraId="54398508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593530BF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689BF2F7" w14:textId="1767A3DA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1.2 保险外壳的税务优化功能</w:t>
      </w:r>
    </w:p>
    <w:p w14:paraId="41C4D6EE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0F581C25" w14:textId="072FF26E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然而，与普通投资组合不同的是，投连险还提供了重要的税务优化功能。例如，投连险持有的资产不需要在每年为资本增值缴税。投资者可以在保单中进行基金转换或买卖，而不会触发税务负担，直到资金实际提取时才会产生税务义务。这种税务递延结构大幅提升了复利效果，尤其对于长期投资者而言是一个重要的优势。</w:t>
      </w:r>
    </w:p>
    <w:p w14:paraId="4B54CD63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</w:pPr>
    </w:p>
    <w:p w14:paraId="37764333" w14:textId="48850138" w:rsidR="00EB6DBD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尤其对于中国税务居民而言更具吸引力。根据中国税法规定，海外投资收益通常会被征收20%的所得税。然而，通过投连险，任何基金买卖或转换都不会触发税务义务，这就意味着投资者在持有期间无需每年为资本利得缴税。这样不仅保留了更多的投资收益用于再投资，还能够利用市场波动进行灵活调整，而不被税务成本所限制。</w:t>
      </w:r>
    </w:p>
    <w:p w14:paraId="201DA441" w14:textId="09804BFC" w:rsidR="00B54AC9" w:rsidRDefault="00B54AC9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>
        <w:rPr>
          <w:rFonts w:ascii="楷体" w:eastAsia="楷体" w:hAnsi="楷体" w:cs="System Font"/>
          <w:noProof/>
          <w:color w:val="0E0E0E"/>
          <w:kern w:val="0"/>
          <w:sz w:val="28"/>
          <w:szCs w:val="28"/>
        </w:rPr>
        <w:lastRenderedPageBreak/>
        <w:drawing>
          <wp:inline distT="0" distB="0" distL="0" distR="0" wp14:anchorId="19EFB460" wp14:editId="279D70F5">
            <wp:extent cx="2354805" cy="4271393"/>
            <wp:effectExtent l="0" t="0" r="0" b="0"/>
            <wp:docPr id="1154154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54145" name="图片 11541541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889" cy="430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D418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</w:pPr>
    </w:p>
    <w:p w14:paraId="54616B05" w14:textId="24D7A3B5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此外，投连险还允许逐步提取资金，以优化税务成本。投资者可以在不同年份分次提取资金，每次的税务影响将被最小化，进一步降低税负。对于那些长期规划财富传承、养老金安排或其他长期财务目标的客户而言，这种结构为其提供了一个有效的税务规避和优化工具。</w:t>
      </w:r>
    </w:p>
    <w:p w14:paraId="3853718A" w14:textId="4EEA31AB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743782FC" w14:textId="71B6F599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 xml:space="preserve"> 1.3 收益的分配与提取灵活性</w:t>
      </w:r>
    </w:p>
    <w:p w14:paraId="10A9052C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3F38139E" w14:textId="06EDCAA9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投连险在收益分配和提取方式上与普通投资账户不同。保单账户价值随投资表现而波动，但提取资金需遵循保单的具体规定。例如，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lastRenderedPageBreak/>
        <w:t>前五年的提取通常伴随较高的费用，旨在促使客户保持长期投资行为。然而，在</w:t>
      </w:r>
      <w:r w:rsidR="00B54AC9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超过5年的持有期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后，</w:t>
      </w:r>
      <w:r w:rsidR="00B54AC9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不会再收取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提取费用，</w:t>
      </w:r>
      <w:r w:rsidR="00B54AC9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与普通投资账户没什么差别了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。</w:t>
      </w:r>
    </w:p>
    <w:p w14:paraId="609701FA" w14:textId="0E72D888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</w:pPr>
    </w:p>
    <w:p w14:paraId="1C33BF7F" w14:textId="4895C728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二、投连险如何满足客户的多样化需求</w:t>
      </w:r>
    </w:p>
    <w:p w14:paraId="08461F4A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052B1D8C" w14:textId="5753D2DE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随着客户需求的多样化，越来越多的投资者不再追逐短期收益，而是寻求一种长期稳健的投资工具，能够在市场波动中提供安全感和稳定的回报。投连险通过其法律结构和保险属性，成为应对这一需求的理想工具。</w:t>
      </w:r>
    </w:p>
    <w:p w14:paraId="62193828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7C8C4E7D" w14:textId="65A591DF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2.1 提供长期的心理安全保障</w:t>
      </w:r>
    </w:p>
    <w:p w14:paraId="2DAC0A32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3C0FF283" w14:textId="48618CCC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市场的波动常常导致投资者产生恐慌，做出非理性的决策。而投连险的</w:t>
      </w:r>
      <w:r w:rsidR="009C0163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“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提取限制</w:t>
      </w:r>
      <w:r w:rsidR="009C0163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”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有效约束了客户在短期波动中的冲动操作，帮助他们坚持长期投资计划。这种结构在保护投资纪律的同时，促使客户冷静面对市场短期的起伏，避免在市场波动中频繁买卖资产，减少无效的市场操作。</w:t>
      </w:r>
    </w:p>
    <w:p w14:paraId="4AD756F8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42303798" w14:textId="0778ABA5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2.2 提供多元化的投资选择</w:t>
      </w:r>
    </w:p>
    <w:p w14:paraId="4ED19158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58C1AF9D" w14:textId="52F0F823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投连险平台提供了广泛的基金选择，包括不同风险等级的股票、债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lastRenderedPageBreak/>
        <w:t>券、房地产基金等。投资者可以根据自己的风险偏好和投资目标灵活调整资产配置，选择保守的长期策略或进攻型投资方式。更重要的是，投连险基金通常由专业的基金经理管理，这使得投资者无需为日常管理操心，特别适合那些没有足够时间和精力自行管理投资的客户。</w:t>
      </w:r>
    </w:p>
    <w:p w14:paraId="27DECE25" w14:textId="77777777" w:rsidR="00AE1BCB" w:rsidRPr="00B54AC9" w:rsidRDefault="00AE1BCB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41D608A4" w14:textId="6DD6891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  <w:r w:rsidRPr="00B54AC9">
        <w:rPr>
          <w:rFonts w:ascii="楷体" w:eastAsia="楷体" w:hAnsi="楷体" w:cs="AppleSystemUIFont"/>
          <w:kern w:val="0"/>
          <w:sz w:val="28"/>
          <w:szCs w:val="28"/>
        </w:rPr>
        <w:t>此外，**投连险基金的主动管理机制**还为客户带来了额外的分红机会。许多投连险基金通过精心设计的策略，能够实现月度分红，提供持续稳定的现金流。这种定期分红模式，对于需要稳定现金收入的客户来说，更具吸引力。</w:t>
      </w:r>
    </w:p>
    <w:p w14:paraId="0CC6722E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</w:pPr>
    </w:p>
    <w:p w14:paraId="34171345" w14:textId="349181C6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三、投连险费用的价值：服务与增值的平衡</w:t>
      </w:r>
    </w:p>
    <w:p w14:paraId="744B1F9F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010903A3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虽然投连险的费用相较于一些被动型投资工具（如ETF）较高，但这些费用反映了其所包含的**增值服务**，从资产管理到税务优化，提供了比普通投资产品更全面的财富支持。</w:t>
      </w:r>
    </w:p>
    <w:p w14:paraId="51DD34D8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2E4117E4" w14:textId="54BB80AD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 xml:space="preserve">3.1 </w:t>
      </w:r>
      <w:r w:rsidR="00AE1BCB"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费用的合理性与附加价值</w:t>
      </w:r>
    </w:p>
    <w:p w14:paraId="123E4778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7A487E90" w14:textId="64DAC118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投连险的费用不仅涵盖了平台和基金管理，还包括**财富管理服务**，如资产筛选、税务优化、风险控制</w:t>
      </w:r>
      <w:r w:rsidR="00AE1BCB" w:rsidRPr="00B54AC9"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  <w:t>、定向传承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等。同时，客户可以获得长期的**财务顾问支持**，帮助其根据市场变化和个人财</w:t>
      </w: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lastRenderedPageBreak/>
        <w:t>务状况调整投资策略，确保财富管理与客户目标始终一致。</w:t>
      </w:r>
    </w:p>
    <w:p w14:paraId="13AE7A1F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</w:pPr>
    </w:p>
    <w:p w14:paraId="1C4C9D46" w14:textId="785AB2F1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 w:hint="eastAsia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t>投连险通过**税务优化、资产保护和财富传承**等功能提供了额外的价值。特别是对于高净值客户或有财富传承需求的投资者，投连险的附加价值远远超出表面的费用成本。这些功能使投连险成为一种**兼具投资与保险双重优势**的财富管理工具。</w:t>
      </w:r>
    </w:p>
    <w:p w14:paraId="423A4645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1A54736B" w14:textId="77777777" w:rsidR="00AE1BCB" w:rsidRPr="00B54AC9" w:rsidRDefault="00AE1BCB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7D996E59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  <w:r w:rsidRPr="00B54AC9">
        <w:rPr>
          <w:rFonts w:ascii="楷体" w:eastAsia="楷体" w:hAnsi="楷体" w:cs="AppleSystemUIFont"/>
          <w:b/>
          <w:bCs/>
          <w:kern w:val="0"/>
          <w:sz w:val="28"/>
          <w:szCs w:val="28"/>
        </w:rPr>
        <w:t>促销措施助力：开户奖励与长期客户回馈，降低投连险额外成本</w:t>
      </w:r>
    </w:p>
    <w:p w14:paraId="022B52C2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</w:p>
    <w:p w14:paraId="53128AB5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  <w:r w:rsidRPr="00B54AC9">
        <w:rPr>
          <w:rFonts w:ascii="楷体" w:eastAsia="楷体" w:hAnsi="楷体" w:cs="AppleSystemUIFont"/>
          <w:kern w:val="0"/>
          <w:sz w:val="28"/>
          <w:szCs w:val="28"/>
        </w:rPr>
        <w:t>尽管投连险基金相较于传统投资工具可能具有较高的管理成本，但我们通过一系列促销措施帮助客户有效对冲这些成本，提升投资的整体回报。</w:t>
      </w:r>
    </w:p>
    <w:p w14:paraId="09601E5F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</w:p>
    <w:p w14:paraId="4779DA1C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  <w:r w:rsidRPr="00B54AC9">
        <w:rPr>
          <w:rFonts w:ascii="楷体" w:eastAsia="楷体" w:hAnsi="楷体" w:cs="AppleSystemUIFont"/>
          <w:kern w:val="0"/>
          <w:sz w:val="28"/>
          <w:szCs w:val="28"/>
        </w:rPr>
        <w:t>首先，</w:t>
      </w:r>
      <w:r w:rsidRPr="00B54AC9">
        <w:rPr>
          <w:rFonts w:ascii="楷体" w:eastAsia="楷体" w:hAnsi="楷体" w:cs="AppleSystemUIFont"/>
          <w:b/>
          <w:bCs/>
          <w:kern w:val="0"/>
          <w:sz w:val="28"/>
          <w:szCs w:val="28"/>
        </w:rPr>
        <w:t>新保单开户奖励</w:t>
      </w:r>
      <w:r w:rsidRPr="00B54AC9">
        <w:rPr>
          <w:rFonts w:ascii="楷体" w:eastAsia="楷体" w:hAnsi="楷体" w:cs="AppleSystemUIFont"/>
          <w:kern w:val="0"/>
          <w:sz w:val="28"/>
          <w:szCs w:val="28"/>
        </w:rPr>
        <w:t>为客户提供了直接的投资回馈。客户在新保单开户时，可获得相当于1.25%保费金额的基金单位。这意味着客户不仅能够启动投连险投资计划，还可以通过这笔额外的奖励资金，直接增加其初始投资金额，从而享受更高的资金效率。这样的奖励机制有效降低了客户的初期成本，增强了他们对投连险的兴趣和参与度。</w:t>
      </w:r>
    </w:p>
    <w:p w14:paraId="28B13579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</w:p>
    <w:p w14:paraId="315D1982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  <w:r w:rsidRPr="00B54AC9">
        <w:rPr>
          <w:rFonts w:ascii="楷体" w:eastAsia="楷体" w:hAnsi="楷体" w:cs="AppleSystemUIFont"/>
          <w:kern w:val="0"/>
          <w:sz w:val="28"/>
          <w:szCs w:val="28"/>
        </w:rPr>
        <w:t>其次，</w:t>
      </w:r>
      <w:r w:rsidRPr="00B54AC9">
        <w:rPr>
          <w:rFonts w:ascii="楷体" w:eastAsia="楷体" w:hAnsi="楷体" w:cs="AppleSystemUIFont"/>
          <w:b/>
          <w:bCs/>
          <w:kern w:val="0"/>
          <w:sz w:val="28"/>
          <w:szCs w:val="28"/>
        </w:rPr>
        <w:t>长期客户奖励机制</w:t>
      </w:r>
      <w:r w:rsidRPr="00B54AC9">
        <w:rPr>
          <w:rFonts w:ascii="楷体" w:eastAsia="楷体" w:hAnsi="楷体" w:cs="AppleSystemUIFont"/>
          <w:kern w:val="0"/>
          <w:sz w:val="28"/>
          <w:szCs w:val="28"/>
        </w:rPr>
        <w:t>则针对忠实客户提供了持续的激励。在保</w:t>
      </w:r>
      <w:r w:rsidRPr="00B54AC9">
        <w:rPr>
          <w:rFonts w:ascii="楷体" w:eastAsia="楷体" w:hAnsi="楷体" w:cs="AppleSystemUIFont"/>
          <w:kern w:val="0"/>
          <w:sz w:val="28"/>
          <w:szCs w:val="28"/>
        </w:rPr>
        <w:lastRenderedPageBreak/>
        <w:t>单生效60个月后，我们根据客户的年均账户余额，按特定比例提供额外的奖赏。这一机制不仅是对长期客户的回馈，更是对长期投资者的一种激励，鼓励客户坚持长期投资策略，从而在时间的复利效应下获得更高的回报。这种方式帮助客户克服短期市场波动带来的压力，同时让他们在长期的财富管理过程中获得更多回报。</w:t>
      </w:r>
    </w:p>
    <w:p w14:paraId="5BA84CB1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</w:p>
    <w:p w14:paraId="6293128B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  <w:r w:rsidRPr="00B54AC9">
        <w:rPr>
          <w:rFonts w:ascii="楷体" w:eastAsia="楷体" w:hAnsi="楷体" w:cs="AppleSystemUIFont"/>
          <w:kern w:val="0"/>
          <w:sz w:val="28"/>
          <w:szCs w:val="28"/>
        </w:rPr>
        <w:t>通过这些促销措施，客户不仅能够享受投连险的诸多优势，还能在降低成本的同时进一步提升投资回报。无论是初始阶段的开户奖励，还是长期投资中的持续回馈，都为客户提供了显著的利益提升，使得投连险在性价比上表现得更具竞争力。</w:t>
      </w:r>
    </w:p>
    <w:p w14:paraId="58848681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  <w:r w:rsidRPr="00B54AC9">
        <w:rPr>
          <w:rFonts w:ascii="楷体" w:eastAsia="楷体" w:hAnsi="楷体" w:cs="AppleSystemUIFont"/>
          <w:kern w:val="0"/>
          <w:sz w:val="28"/>
          <w:szCs w:val="28"/>
        </w:rPr>
        <w:t>投连险：我们服务的落脚点，权责清晰，服务落地</w:t>
      </w:r>
    </w:p>
    <w:p w14:paraId="6F28F49A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</w:p>
    <w:p w14:paraId="113CADD0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  <w:r w:rsidRPr="00B54AC9">
        <w:rPr>
          <w:rFonts w:ascii="楷体" w:eastAsia="楷体" w:hAnsi="楷体" w:cs="AppleSystemUIFont"/>
          <w:kern w:val="0"/>
          <w:sz w:val="28"/>
          <w:szCs w:val="28"/>
        </w:rPr>
        <w:t>投连险不仅是一个灵活高效的投资工具，**更是我们为客户提供全方位投资服务的重要落脚点**。通过投连险的服务，我们为客户提供长期追踪服务，定期组合检视，确保客户的投资目标能够得到持续的跟踪和调整。</w:t>
      </w:r>
    </w:p>
    <w:p w14:paraId="5FE4AD66" w14:textId="77777777" w:rsidR="00AE1BCB" w:rsidRPr="00B54AC9" w:rsidRDefault="00AE1BCB" w:rsidP="00AE1BCB">
      <w:pPr>
        <w:autoSpaceDE w:val="0"/>
        <w:autoSpaceDN w:val="0"/>
        <w:adjustRightInd w:val="0"/>
        <w:jc w:val="left"/>
        <w:rPr>
          <w:rFonts w:ascii="楷体" w:eastAsia="楷体" w:hAnsi="楷体" w:cs="AppleSystemUIFont"/>
          <w:kern w:val="0"/>
          <w:sz w:val="28"/>
          <w:szCs w:val="28"/>
        </w:rPr>
      </w:pPr>
    </w:p>
    <w:p w14:paraId="62DCFBAB" w14:textId="77777777" w:rsidR="00AE1BCB" w:rsidRPr="00B54AC9" w:rsidRDefault="00AE1BCB" w:rsidP="00AE1BCB">
      <w:pPr>
        <w:rPr>
          <w:rFonts w:ascii="楷体" w:eastAsia="楷体" w:hAnsi="楷体"/>
          <w:sz w:val="28"/>
          <w:szCs w:val="28"/>
        </w:rPr>
      </w:pPr>
      <w:r w:rsidRPr="00B54AC9">
        <w:rPr>
          <w:rFonts w:ascii="楷体" w:eastAsia="楷体" w:hAnsi="楷体" w:cs="AppleExternalUIFontSimplifiedCh" w:hint="eastAsia"/>
          <w:kern w:val="0"/>
          <w:sz w:val="28"/>
          <w:szCs w:val="28"/>
        </w:rPr>
        <w:t>在这个过程中，我们通过投连险基金的运作，实现了权责清晰匹配和服务落地。作为财富管理团队，我们帮助客户构建和检视他们的投资组合，确保他们在市场波动中坚持长期策略，并根据需要调整资产配置结构，帮助客户实现财富的长期增值。</w:t>
      </w:r>
    </w:p>
    <w:p w14:paraId="55D4BCFD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p w14:paraId="5D631059" w14:textId="77777777" w:rsidR="00EB6DBD" w:rsidRPr="00B54AC9" w:rsidRDefault="00EB6DBD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  <w:r w:rsidRPr="00B54AC9">
        <w:rPr>
          <w:rFonts w:ascii="楷体" w:eastAsia="楷体" w:hAnsi="楷体" w:cs="System Font"/>
          <w:color w:val="0E0E0E"/>
          <w:kern w:val="0"/>
          <w:sz w:val="28"/>
          <w:szCs w:val="28"/>
        </w:rPr>
        <w:lastRenderedPageBreak/>
        <w:t>通过投连险，客户不仅能够实现稳健的投资增值，还能利用其保险结构规避税务，保护财富，并为未来的财富传承打下坚实基础。对于那些希望在复杂市场环境中获得长期收益的客户来说，投连险无疑是值得信赖的选择。</w:t>
      </w:r>
    </w:p>
    <w:p w14:paraId="6D41A354" w14:textId="5BC96656" w:rsidR="00E36783" w:rsidRPr="00B54AC9" w:rsidRDefault="00E36783" w:rsidP="00EB6D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楷体" w:eastAsia="楷体" w:hAnsi="楷体" w:cs="System Font"/>
          <w:color w:val="0E0E0E"/>
          <w:kern w:val="0"/>
          <w:sz w:val="28"/>
          <w:szCs w:val="28"/>
        </w:rPr>
      </w:pPr>
    </w:p>
    <w:sectPr w:rsidR="00E36783" w:rsidRPr="00B5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82"/>
    <w:rsid w:val="000163B6"/>
    <w:rsid w:val="000207C7"/>
    <w:rsid w:val="000B7979"/>
    <w:rsid w:val="002B1FA5"/>
    <w:rsid w:val="00364675"/>
    <w:rsid w:val="003F6CA9"/>
    <w:rsid w:val="004F6921"/>
    <w:rsid w:val="005A640B"/>
    <w:rsid w:val="0088614D"/>
    <w:rsid w:val="009C0163"/>
    <w:rsid w:val="00AE1BCB"/>
    <w:rsid w:val="00B03C65"/>
    <w:rsid w:val="00B54AC9"/>
    <w:rsid w:val="00BA5C31"/>
    <w:rsid w:val="00D64B7D"/>
    <w:rsid w:val="00D671F6"/>
    <w:rsid w:val="00D77905"/>
    <w:rsid w:val="00D90ED2"/>
    <w:rsid w:val="00E257AD"/>
    <w:rsid w:val="00E36783"/>
    <w:rsid w:val="00E63382"/>
    <w:rsid w:val="00E81E81"/>
    <w:rsid w:val="00EB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C8467"/>
  <w15:chartTrackingRefBased/>
  <w15:docId w15:val="{89644F97-7DBD-AF45-BC55-8C5496CD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33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3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3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3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3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3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3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3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3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3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3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33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3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3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3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3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3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3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3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3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3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3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3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Xu</dc:creator>
  <cp:keywords/>
  <dc:description/>
  <cp:lastModifiedBy>April Xu</cp:lastModifiedBy>
  <cp:revision>14</cp:revision>
  <dcterms:created xsi:type="dcterms:W3CDTF">2024-10-09T08:13:00Z</dcterms:created>
  <dcterms:modified xsi:type="dcterms:W3CDTF">2024-10-15T06:38:00Z</dcterms:modified>
</cp:coreProperties>
</file>