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DEA86B" w14:textId="2150805C" w:rsidR="009A6C04" w:rsidRDefault="009A6C04" w:rsidP="009A6C04">
      <w:pPr>
        <w:autoSpaceDE w:val="0"/>
        <w:autoSpaceDN w:val="0"/>
        <w:adjustRightInd w:val="0"/>
        <w:jc w:val="left"/>
        <w:rPr>
          <w:rFonts w:ascii="AppleSystemUIFont" w:hAnsi="AppleSystemUIFont" w:cs="AppleSystemUIFont" w:hint="eastAsia"/>
          <w:b/>
          <w:bCs/>
          <w:kern w:val="0"/>
          <w:sz w:val="40"/>
          <w:szCs w:val="40"/>
        </w:rPr>
      </w:pPr>
      <w:r>
        <w:rPr>
          <w:rFonts w:ascii="AppleSystemUIFont" w:hAnsi="AppleSystemUIFont" w:cs="AppleSystemUIFont" w:hint="eastAsia"/>
          <w:b/>
          <w:bCs/>
          <w:kern w:val="0"/>
          <w:sz w:val="40"/>
          <w:szCs w:val="40"/>
        </w:rPr>
        <w:t>与客户利益一致，共同实现长期目标</w:t>
      </w:r>
    </w:p>
    <w:p w14:paraId="375F64B5" w14:textId="0B7EFD14" w:rsidR="009A6C04" w:rsidRDefault="009A6C04" w:rsidP="009A6C04">
      <w:pPr>
        <w:autoSpaceDE w:val="0"/>
        <w:autoSpaceDN w:val="0"/>
        <w:adjustRightInd w:val="0"/>
        <w:jc w:val="left"/>
        <w:rPr>
          <w:rFonts w:ascii="AppleSystemUIFont" w:hAnsi="AppleSystemUIFont" w:cs="AppleSystemUIFont" w:hint="eastAsia"/>
          <w:kern w:val="0"/>
          <w:sz w:val="26"/>
          <w:szCs w:val="26"/>
        </w:rPr>
      </w:pPr>
    </w:p>
    <w:p w14:paraId="61A73CE2"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理想与现实的差异</w:t>
      </w:r>
    </w:p>
    <w:p w14:paraId="67D78EBA"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538B7399"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最初的服务模式中，我们通过分享团队的投资策略和市场信息，希望客户能够参考这些内容并自行进行资产配置。我们以为，客户拥有了充足的选择权，便能根据自己的需求和风险承受能力作出理性决策。然而，现实却给了我们深刻的反馈：这种模式的效果并不理想。</w:t>
      </w:r>
    </w:p>
    <w:p w14:paraId="27DEA25B"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23073482"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客户面临的实际困难远超预期。</w:t>
      </w:r>
    </w:p>
    <w:p w14:paraId="66762296"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5D19B9A5"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开设券商账户、入金、选股，看似简单的流程，对于大部分投资新手来说，却充满了障碍。开户手续复杂耗时，入金环节涉及银行转账与外汇问题，增加了心理负担。即使成功开户，面对数以千计的股票和复杂的市场分析，客户依然感到迷茫。</w:t>
      </w:r>
    </w:p>
    <w:p w14:paraId="3EF3D106"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2AA6A41B"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即使客户掌握了我们的投资策略，</w:t>
      </w:r>
      <w:r>
        <w:rPr>
          <w:rFonts w:ascii="AppleSystemUIFont" w:hAnsi="AppleSystemUIFont" w:cs="AppleSystemUIFont"/>
          <w:kern w:val="0"/>
          <w:sz w:val="26"/>
          <w:szCs w:val="26"/>
        </w:rPr>
        <w:t>**</w:t>
      </w:r>
      <w:r>
        <w:rPr>
          <w:rFonts w:ascii="AppleSystemUIFont" w:hAnsi="AppleSystemUIFont" w:cs="AppleSystemUIFont"/>
          <w:kern w:val="0"/>
          <w:sz w:val="26"/>
          <w:szCs w:val="26"/>
        </w:rPr>
        <w:t>实际执行依然困难重重</w:t>
      </w:r>
      <w:r>
        <w:rPr>
          <w:rFonts w:ascii="AppleSystemUIFont" w:hAnsi="AppleSystemUIFont" w:cs="AppleSystemUIFont"/>
          <w:kern w:val="0"/>
          <w:sz w:val="26"/>
          <w:szCs w:val="26"/>
        </w:rPr>
        <w:t>**</w:t>
      </w:r>
      <w:r>
        <w:rPr>
          <w:rFonts w:ascii="AppleSystemUIFont" w:hAnsi="AppleSystemUIFont" w:cs="AppleSystemUIFont"/>
          <w:kern w:val="0"/>
          <w:sz w:val="26"/>
          <w:szCs w:val="26"/>
        </w:rPr>
        <w:t>。市场波动需要持续的关注与深入分析，仅依靠一次性的信息分享，客户很难在波动的市场中坚持长期策略，情绪化操作的风险依然存在。</w:t>
      </w:r>
    </w:p>
    <w:p w14:paraId="55F259E1"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4D6EDDCF"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因此，我们认识到，单纯地分享策略和信息不足以帮助客户实现理想的投资效果。我们转向通过为典型人群设定特定的资产配置思路，帮助客</w:t>
      </w:r>
      <w:r>
        <w:rPr>
          <w:rFonts w:ascii="AppleSystemUIFont" w:hAnsi="AppleSystemUIFont" w:cs="AppleSystemUIFont"/>
          <w:kern w:val="0"/>
          <w:sz w:val="26"/>
          <w:szCs w:val="26"/>
        </w:rPr>
        <w:lastRenderedPageBreak/>
        <w:t>户找到适合自己的组合方案。这不仅让客户能够清晰地看到适合自己的投资策略，还能通过我们提供的长期跟踪和检视，帮助他们在波动市场中保持策略的持续性，最终实现长期的财富增值目标。</w:t>
      </w:r>
    </w:p>
    <w:p w14:paraId="31403C92"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086075E0"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投资惰性与恐惧，如何帮助客户突破困境</w:t>
      </w:r>
    </w:p>
    <w:p w14:paraId="7796B4C4"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6BA1AB5A"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投资过程中，最大的敌人往往不是市场，而是投资者自己。新手投资者的恐惧与惰性，是他们无法启动投资的两大主要障碍。</w:t>
      </w:r>
      <w:r>
        <w:rPr>
          <w:rFonts w:ascii="AppleSystemUIFont" w:hAnsi="AppleSystemUIFont" w:cs="AppleSystemUIFont"/>
          <w:kern w:val="0"/>
          <w:sz w:val="26"/>
          <w:szCs w:val="26"/>
        </w:rPr>
        <w:t>**</w:t>
      </w:r>
      <w:r>
        <w:rPr>
          <w:rFonts w:ascii="AppleSystemUIFont" w:hAnsi="AppleSystemUIFont" w:cs="AppleSystemUIFont"/>
          <w:kern w:val="0"/>
          <w:sz w:val="26"/>
          <w:szCs w:val="26"/>
        </w:rPr>
        <w:t>恐惧源自对未知市场的担忧，惰性则是面对复杂操作的无力感。</w:t>
      </w:r>
      <w:r>
        <w:rPr>
          <w:rFonts w:ascii="AppleSystemUIFont" w:hAnsi="AppleSystemUIFont" w:cs="AppleSystemUIFont"/>
          <w:kern w:val="0"/>
          <w:sz w:val="26"/>
          <w:szCs w:val="26"/>
        </w:rPr>
        <w:t>**</w:t>
      </w:r>
    </w:p>
    <w:p w14:paraId="343787F8"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5167FAB4"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即使客户已经掌握了基本的投资知识，</w:t>
      </w:r>
      <w:r>
        <w:rPr>
          <w:rFonts w:ascii="AppleSystemUIFont" w:hAnsi="AppleSystemUIFont" w:cs="AppleSystemUIFont"/>
          <w:kern w:val="0"/>
          <w:sz w:val="26"/>
          <w:szCs w:val="26"/>
        </w:rPr>
        <w:t>**</w:t>
      </w:r>
      <w:r>
        <w:rPr>
          <w:rFonts w:ascii="AppleSystemUIFont" w:hAnsi="AppleSystemUIFont" w:cs="AppleSystemUIFont"/>
          <w:kern w:val="0"/>
          <w:sz w:val="26"/>
          <w:szCs w:val="26"/>
        </w:rPr>
        <w:t>害怕市场波动、不敢承担风险</w:t>
      </w:r>
      <w:r>
        <w:rPr>
          <w:rFonts w:ascii="AppleSystemUIFont" w:hAnsi="AppleSystemUIFont" w:cs="AppleSystemUIFont"/>
          <w:kern w:val="0"/>
          <w:sz w:val="26"/>
          <w:szCs w:val="26"/>
        </w:rPr>
        <w:t>**</w:t>
      </w:r>
      <w:r>
        <w:rPr>
          <w:rFonts w:ascii="AppleSystemUIFont" w:hAnsi="AppleSystemUIFont" w:cs="AppleSystemUIFont"/>
          <w:kern w:val="0"/>
          <w:sz w:val="26"/>
          <w:szCs w:val="26"/>
        </w:rPr>
        <w:t>依然是他们迈出第一步的最大阻力。投资惰性则让客户在面对复杂的市场分析和繁琐的操作时，迟迟无法付诸行动，错失良机。</w:t>
      </w:r>
    </w:p>
    <w:p w14:paraId="1D099B6B"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149C0B0D"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为帮助客户克服这些心理障碍，我们通过针对典型人群提供</w:t>
      </w:r>
      <w:r>
        <w:rPr>
          <w:rFonts w:ascii="AppleSystemUIFont" w:hAnsi="AppleSystemUIFont" w:cs="AppleSystemUIFont"/>
          <w:kern w:val="0"/>
          <w:sz w:val="26"/>
          <w:szCs w:val="26"/>
        </w:rPr>
        <w:t>**</w:t>
      </w:r>
      <w:r>
        <w:rPr>
          <w:rFonts w:ascii="AppleSystemUIFont" w:hAnsi="AppleSystemUIFont" w:cs="AppleSystemUIFont"/>
          <w:kern w:val="0"/>
          <w:sz w:val="26"/>
          <w:szCs w:val="26"/>
        </w:rPr>
        <w:t>特定资产配置思路</w:t>
      </w:r>
      <w:r>
        <w:rPr>
          <w:rFonts w:ascii="AppleSystemUIFont" w:hAnsi="AppleSystemUIFont" w:cs="AppleSystemUIFont"/>
          <w:kern w:val="0"/>
          <w:sz w:val="26"/>
          <w:szCs w:val="26"/>
        </w:rPr>
        <w:t>**</w:t>
      </w:r>
      <w:r>
        <w:rPr>
          <w:rFonts w:ascii="AppleSystemUIFont" w:hAnsi="AppleSystemUIFont" w:cs="AppleSystemUIFont"/>
          <w:kern w:val="0"/>
          <w:sz w:val="26"/>
          <w:szCs w:val="26"/>
        </w:rPr>
        <w:t>。例如，稳健型投资者可能更适合配置高比例的债券类资产，而进取型投资者则更适合股票类资产。通过为不同客户群体设定定制化的组合，客户能够找到与其风险承受能力相匹配的投资方案。</w:t>
      </w:r>
    </w:p>
    <w:p w14:paraId="4160A785"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34078331"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更重要的是，</w:t>
      </w:r>
      <w:r>
        <w:rPr>
          <w:rFonts w:ascii="AppleSystemUIFont" w:hAnsi="AppleSystemUIFont" w:cs="AppleSystemUIFont"/>
          <w:kern w:val="0"/>
          <w:sz w:val="26"/>
          <w:szCs w:val="26"/>
        </w:rPr>
        <w:t>**</w:t>
      </w:r>
      <w:r>
        <w:rPr>
          <w:rFonts w:ascii="AppleSystemUIFont" w:hAnsi="AppleSystemUIFont" w:cs="AppleSystemUIFont"/>
          <w:kern w:val="0"/>
          <w:sz w:val="26"/>
          <w:szCs w:val="26"/>
        </w:rPr>
        <w:t>我们会为客户提供持续的组合跟踪和检视</w:t>
      </w:r>
      <w:r>
        <w:rPr>
          <w:rFonts w:ascii="AppleSystemUIFont" w:hAnsi="AppleSystemUIFont" w:cs="AppleSystemUIFont"/>
          <w:kern w:val="0"/>
          <w:sz w:val="26"/>
          <w:szCs w:val="26"/>
        </w:rPr>
        <w:t>**</w:t>
      </w:r>
      <w:r>
        <w:rPr>
          <w:rFonts w:ascii="AppleSystemUIFont" w:hAnsi="AppleSystemUIFont" w:cs="AppleSystemUIFont"/>
          <w:kern w:val="0"/>
          <w:sz w:val="26"/>
          <w:szCs w:val="26"/>
        </w:rPr>
        <w:t>，帮助他们应对市场的波动，调整组合结构，避免情绪化操作带来的短期偏差。这种长期的陪伴与指导，能够让客户在市场震荡时保持冷静，坚持既定的</w:t>
      </w:r>
      <w:r>
        <w:rPr>
          <w:rFonts w:ascii="AppleSystemUIFont" w:hAnsi="AppleSystemUIFont" w:cs="AppleSystemUIFont"/>
          <w:kern w:val="0"/>
          <w:sz w:val="26"/>
          <w:szCs w:val="26"/>
        </w:rPr>
        <w:lastRenderedPageBreak/>
        <w:t>投资策略，逐步实现财富的稳定增长。</w:t>
      </w:r>
    </w:p>
    <w:p w14:paraId="1F40BB88"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116703E3"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w:t>
      </w:r>
    </w:p>
    <w:p w14:paraId="380CC6C6"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5D327351"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成立</w:t>
      </w:r>
      <w:r>
        <w:rPr>
          <w:rFonts w:ascii="AppleSystemUIFont" w:hAnsi="AppleSystemUIFont" w:cs="AppleSystemUIFont"/>
          <w:kern w:val="0"/>
          <w:sz w:val="26"/>
          <w:szCs w:val="26"/>
        </w:rPr>
        <w:t>9</w:t>
      </w:r>
      <w:r>
        <w:rPr>
          <w:rFonts w:ascii="AppleSystemUIFont" w:hAnsi="AppleSystemUIFont" w:cs="AppleSystemUIFont"/>
          <w:kern w:val="0"/>
          <w:sz w:val="26"/>
          <w:szCs w:val="26"/>
        </w:rPr>
        <w:t>号牌的启示：管理成本最终落在客户头上，投连险机制更优</w:t>
      </w:r>
    </w:p>
    <w:p w14:paraId="737EDF03"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653E6834"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为了提供个性化的资产管理服务，我们曾计划成立</w:t>
      </w:r>
      <w:r>
        <w:rPr>
          <w:rFonts w:ascii="AppleSystemUIFont" w:hAnsi="AppleSystemUIFont" w:cs="AppleSystemUIFont"/>
          <w:kern w:val="0"/>
          <w:sz w:val="26"/>
          <w:szCs w:val="26"/>
        </w:rPr>
        <w:t>9</w:t>
      </w:r>
      <w:r>
        <w:rPr>
          <w:rFonts w:ascii="AppleSystemUIFont" w:hAnsi="AppleSystemUIFont" w:cs="AppleSystemUIFont"/>
          <w:kern w:val="0"/>
          <w:sz w:val="26"/>
          <w:szCs w:val="26"/>
        </w:rPr>
        <w:t>号牌资产管理公司，初衷是为客户提供自主化、精细化的投资管理。然而，随着项目的推进，我们逐渐意识到，</w:t>
      </w:r>
      <w:r>
        <w:rPr>
          <w:rFonts w:ascii="AppleSystemUIFont" w:hAnsi="AppleSystemUIFont" w:cs="AppleSystemUIFont"/>
          <w:kern w:val="0"/>
          <w:sz w:val="26"/>
          <w:szCs w:val="26"/>
        </w:rPr>
        <w:t>**9</w:t>
      </w:r>
      <w:r>
        <w:rPr>
          <w:rFonts w:ascii="AppleSystemUIFont" w:hAnsi="AppleSystemUIFont" w:cs="AppleSystemUIFont"/>
          <w:kern w:val="0"/>
          <w:sz w:val="26"/>
          <w:szCs w:val="26"/>
        </w:rPr>
        <w:t>号牌的运营成本最终会转嫁到客户头上，费用远高于投连险的机制。</w:t>
      </w:r>
      <w:r>
        <w:rPr>
          <w:rFonts w:ascii="AppleSystemUIFont" w:hAnsi="AppleSystemUIFont" w:cs="AppleSystemUIFont"/>
          <w:kern w:val="0"/>
          <w:sz w:val="26"/>
          <w:szCs w:val="26"/>
        </w:rPr>
        <w:t>**</w:t>
      </w:r>
    </w:p>
    <w:p w14:paraId="2630854F"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2E76E930"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9</w:t>
      </w:r>
      <w:r>
        <w:rPr>
          <w:rFonts w:ascii="AppleSystemUIFont" w:hAnsi="AppleSystemUIFont" w:cs="AppleSystemUIFont"/>
          <w:kern w:val="0"/>
          <w:sz w:val="26"/>
          <w:szCs w:val="26"/>
        </w:rPr>
        <w:t>号牌资管公司需要大量的前期投入，涵盖资金、法律合规以及技术系统搭建。此外，日常运营需要持续投入到市场研究、风险管理和客户服务等领域，导致运营成本居高不下。尽管管理费是主要收入来源，但这些费用对于客户来说是额外的负担，可能会削弱他们的投资回报。</w:t>
      </w:r>
    </w:p>
    <w:p w14:paraId="22DCA6D6"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05F935C4"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相比之下，</w:t>
      </w:r>
      <w:r>
        <w:rPr>
          <w:rFonts w:ascii="AppleSystemUIFont" w:hAnsi="AppleSystemUIFont" w:cs="AppleSystemUIFont"/>
          <w:kern w:val="0"/>
          <w:sz w:val="26"/>
          <w:szCs w:val="26"/>
        </w:rPr>
        <w:t>**</w:t>
      </w:r>
      <w:r>
        <w:rPr>
          <w:rFonts w:ascii="AppleSystemUIFont" w:hAnsi="AppleSystemUIFont" w:cs="AppleSystemUIFont"/>
          <w:kern w:val="0"/>
          <w:sz w:val="26"/>
          <w:szCs w:val="26"/>
        </w:rPr>
        <w:t>投连险的机制通过税务优化和灵活的资产管理</w:t>
      </w:r>
      <w:r>
        <w:rPr>
          <w:rFonts w:ascii="AppleSystemUIFont" w:hAnsi="AppleSystemUIFont" w:cs="AppleSystemUIFont"/>
          <w:kern w:val="0"/>
          <w:sz w:val="26"/>
          <w:szCs w:val="26"/>
        </w:rPr>
        <w:t>**</w:t>
      </w:r>
      <w:r>
        <w:rPr>
          <w:rFonts w:ascii="AppleSystemUIFont" w:hAnsi="AppleSystemUIFont" w:cs="AppleSystemUIFont"/>
          <w:kern w:val="0"/>
          <w:sz w:val="26"/>
          <w:szCs w:val="26"/>
        </w:rPr>
        <w:t>，提供了更具成本效益的解决方案。经过评估，我们发现直接通过投连险的机制为客户提供服务，能够降低整体费用，使得资金效率更高，客户也能够获得更好的投资体验。</w:t>
      </w:r>
    </w:p>
    <w:p w14:paraId="44904165"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6D29AB70"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w:t>
      </w:r>
    </w:p>
    <w:p w14:paraId="72A2C92B"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6A0C5C99"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投连险的独特优势：税务优化与高效资金管理</w:t>
      </w:r>
    </w:p>
    <w:p w14:paraId="77493BA9"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4F82B9AE"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与传统投资工具相比，投连险基金具备一些独特优势，尤其在税务优化和资金效率上。</w:t>
      </w:r>
      <w:r>
        <w:rPr>
          <w:rFonts w:ascii="AppleSystemUIFont" w:hAnsi="AppleSystemUIFont" w:cs="AppleSystemUIFont"/>
          <w:kern w:val="0"/>
          <w:sz w:val="26"/>
          <w:szCs w:val="26"/>
        </w:rPr>
        <w:t>**</w:t>
      </w:r>
      <w:r>
        <w:rPr>
          <w:rFonts w:ascii="AppleSystemUIFont" w:hAnsi="AppleSystemUIFont" w:cs="AppleSystemUIFont"/>
          <w:kern w:val="0"/>
          <w:sz w:val="26"/>
          <w:szCs w:val="26"/>
        </w:rPr>
        <w:t>通过特定的税务架构，投连险基金能够有效规避股息税</w:t>
      </w:r>
      <w:r>
        <w:rPr>
          <w:rFonts w:ascii="AppleSystemUIFont" w:hAnsi="AppleSystemUIFont" w:cs="AppleSystemUIFont"/>
          <w:kern w:val="0"/>
          <w:sz w:val="26"/>
          <w:szCs w:val="26"/>
        </w:rPr>
        <w:t>**</w:t>
      </w:r>
      <w:r>
        <w:rPr>
          <w:rFonts w:ascii="AppleSystemUIFont" w:hAnsi="AppleSystemUIFont" w:cs="AppleSystemUIFont"/>
          <w:kern w:val="0"/>
          <w:sz w:val="26"/>
          <w:szCs w:val="26"/>
        </w:rPr>
        <w:t>，这对长期投资者来说，极具吸引力。规避股息税不仅直接提高了净收益，还极大地增强了长期复利效果。</w:t>
      </w:r>
    </w:p>
    <w:p w14:paraId="651A28A4"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37961304"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此外，</w:t>
      </w:r>
      <w:r>
        <w:rPr>
          <w:rFonts w:ascii="AppleSystemUIFont" w:hAnsi="AppleSystemUIFont" w:cs="AppleSystemUIFont"/>
          <w:kern w:val="0"/>
          <w:sz w:val="26"/>
          <w:szCs w:val="26"/>
        </w:rPr>
        <w:t>**</w:t>
      </w:r>
      <w:r>
        <w:rPr>
          <w:rFonts w:ascii="AppleSystemUIFont" w:hAnsi="AppleSystemUIFont" w:cs="AppleSystemUIFont"/>
          <w:kern w:val="0"/>
          <w:sz w:val="26"/>
          <w:szCs w:val="26"/>
        </w:rPr>
        <w:t>投连险基金的主动管理机制</w:t>
      </w:r>
      <w:r>
        <w:rPr>
          <w:rFonts w:ascii="AppleSystemUIFont" w:hAnsi="AppleSystemUIFont" w:cs="AppleSystemUIFont"/>
          <w:kern w:val="0"/>
          <w:sz w:val="26"/>
          <w:szCs w:val="26"/>
        </w:rPr>
        <w:t>**</w:t>
      </w:r>
      <w:r>
        <w:rPr>
          <w:rFonts w:ascii="AppleSystemUIFont" w:hAnsi="AppleSystemUIFont" w:cs="AppleSystemUIFont"/>
          <w:kern w:val="0"/>
          <w:sz w:val="26"/>
          <w:szCs w:val="26"/>
        </w:rPr>
        <w:t>还为客户带来了额外的分红机会。许多投连险基金通过精心设计的策略，能够实现月度分红，提供持续稳定的现金流。这种定期分红模式，对于需要稳定现金收入的客户来说，更具吸引力。整体来看，投连险基金的资金效率大大超过了我们自建资管公司可能带来的效果。</w:t>
      </w:r>
    </w:p>
    <w:p w14:paraId="13644876"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093C9FB3"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w:t>
      </w:r>
    </w:p>
    <w:p w14:paraId="75C75EC8"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7C8C06CE"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多元化的资金池，满足客户的配置需求</w:t>
      </w:r>
    </w:p>
    <w:p w14:paraId="22EDF91C"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1E7A6CC8"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投连险基金的另一个核心优势在于其内在的</w:t>
      </w:r>
      <w:r>
        <w:rPr>
          <w:rFonts w:ascii="AppleSystemUIFont" w:hAnsi="AppleSystemUIFont" w:cs="AppleSystemUIFont"/>
          <w:kern w:val="0"/>
          <w:sz w:val="26"/>
          <w:szCs w:val="26"/>
        </w:rPr>
        <w:t>**</w:t>
      </w:r>
      <w:r>
        <w:rPr>
          <w:rFonts w:ascii="AppleSystemUIFont" w:hAnsi="AppleSystemUIFont" w:cs="AppleSystemUIFont"/>
          <w:kern w:val="0"/>
          <w:sz w:val="26"/>
          <w:szCs w:val="26"/>
        </w:rPr>
        <w:t>多元化选择</w:t>
      </w:r>
      <w:r>
        <w:rPr>
          <w:rFonts w:ascii="AppleSystemUIFont" w:hAnsi="AppleSystemUIFont" w:cs="AppleSystemUIFont"/>
          <w:kern w:val="0"/>
          <w:sz w:val="26"/>
          <w:szCs w:val="26"/>
        </w:rPr>
        <w:t>**</w:t>
      </w:r>
      <w:r>
        <w:rPr>
          <w:rFonts w:ascii="AppleSystemUIFont" w:hAnsi="AppleSystemUIFont" w:cs="AppleSystemUIFont"/>
          <w:kern w:val="0"/>
          <w:sz w:val="26"/>
          <w:szCs w:val="26"/>
        </w:rPr>
        <w:t>。我们通过严格筛选，将市场上各类优质基金引入资金池，形成丰富多样的资产配置选择。这不仅覆盖了全球主要市场和行业，还涵盖了不同风格的投资策略，包括主动管理型、被动管理型和高收益型基金等。</w:t>
      </w:r>
    </w:p>
    <w:p w14:paraId="59AC04AE"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373C60C0"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为了帮助客户找到最适合他们的投资策略，我们会为不同类型的客户</w:t>
      </w:r>
      <w:r>
        <w:rPr>
          <w:rFonts w:ascii="AppleSystemUIFont" w:hAnsi="AppleSystemUIFont" w:cs="AppleSystemUIFont"/>
          <w:kern w:val="0"/>
          <w:sz w:val="26"/>
          <w:szCs w:val="26"/>
        </w:rPr>
        <w:t>**</w:t>
      </w:r>
      <w:r>
        <w:rPr>
          <w:rFonts w:ascii="AppleSystemUIFont" w:hAnsi="AppleSystemUIFont" w:cs="AppleSystemUIFont"/>
          <w:kern w:val="0"/>
          <w:sz w:val="26"/>
          <w:szCs w:val="26"/>
        </w:rPr>
        <w:t>提供特定的资产配置思路</w:t>
      </w:r>
      <w:r>
        <w:rPr>
          <w:rFonts w:ascii="AppleSystemUIFont" w:hAnsi="AppleSystemUIFont" w:cs="AppleSystemUIFont"/>
          <w:kern w:val="0"/>
          <w:sz w:val="26"/>
          <w:szCs w:val="26"/>
        </w:rPr>
        <w:t>**</w:t>
      </w:r>
      <w:r>
        <w:rPr>
          <w:rFonts w:ascii="AppleSystemUIFont" w:hAnsi="AppleSystemUIFont" w:cs="AppleSystemUIFont"/>
          <w:kern w:val="0"/>
          <w:sz w:val="26"/>
          <w:szCs w:val="26"/>
        </w:rPr>
        <w:t>，以帮助他们找到与自身财务状况和投资目标相匹配的组合。同时，通过长期的组合跟踪与定期检视，我们帮助客户根据市场情况动态调整投资策略，确保他们的投资组合始终与风险承受能力和目标相符。</w:t>
      </w:r>
    </w:p>
    <w:p w14:paraId="225881EA"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387CB185"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w:t>
      </w:r>
    </w:p>
    <w:p w14:paraId="22B3080C"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494867D6"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促销措施助力：开户奖励与长期客户回馈，降低投连险额外成本</w:t>
      </w:r>
    </w:p>
    <w:p w14:paraId="79C44E69"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7B0111E5"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尽管投连险基金相较于传统投资工具可能具有较高的管理成本，但我们通过一系列促销措施帮助客户有效对冲这些成本，提升投资的整体回报。</w:t>
      </w:r>
    </w:p>
    <w:p w14:paraId="731872DA"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0BFB0E5C"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首先，</w:t>
      </w:r>
      <w:r>
        <w:rPr>
          <w:rFonts w:ascii="AppleSystemUIFont" w:hAnsi="AppleSystemUIFont" w:cs="AppleSystemUIFont"/>
          <w:b/>
          <w:bCs/>
          <w:kern w:val="0"/>
          <w:sz w:val="26"/>
          <w:szCs w:val="26"/>
        </w:rPr>
        <w:t>新保单开户奖励</w:t>
      </w:r>
      <w:r>
        <w:rPr>
          <w:rFonts w:ascii="AppleSystemUIFont" w:hAnsi="AppleSystemUIFont" w:cs="AppleSystemUIFont"/>
          <w:kern w:val="0"/>
          <w:sz w:val="26"/>
          <w:szCs w:val="26"/>
        </w:rPr>
        <w:t>为客户提供了直接的投资回馈。客户在新保单开户时，可获得相当于</w:t>
      </w:r>
      <w:r>
        <w:rPr>
          <w:rFonts w:ascii="AppleSystemUIFont" w:hAnsi="AppleSystemUIFont" w:cs="AppleSystemUIFont"/>
          <w:kern w:val="0"/>
          <w:sz w:val="26"/>
          <w:szCs w:val="26"/>
        </w:rPr>
        <w:t>1.25%</w:t>
      </w:r>
      <w:r>
        <w:rPr>
          <w:rFonts w:ascii="AppleSystemUIFont" w:hAnsi="AppleSystemUIFont" w:cs="AppleSystemUIFont"/>
          <w:kern w:val="0"/>
          <w:sz w:val="26"/>
          <w:szCs w:val="26"/>
        </w:rPr>
        <w:t>保费金额的基金单位。这意味着客户不仅能够启动投连险投资计划，还可以通过这笔额外的奖励资金，直接增加其初始投资金额，从而享受更高的资金效率。这样的奖励机制有效降低了客户的初期成本，增强了他们对投连险的兴趣和参与度。</w:t>
      </w:r>
    </w:p>
    <w:p w14:paraId="396287F5"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1406A61C"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其次，</w:t>
      </w:r>
      <w:r>
        <w:rPr>
          <w:rFonts w:ascii="AppleSystemUIFont" w:hAnsi="AppleSystemUIFont" w:cs="AppleSystemUIFont"/>
          <w:b/>
          <w:bCs/>
          <w:kern w:val="0"/>
          <w:sz w:val="26"/>
          <w:szCs w:val="26"/>
        </w:rPr>
        <w:t>长期客户奖励机制</w:t>
      </w:r>
      <w:r>
        <w:rPr>
          <w:rFonts w:ascii="AppleSystemUIFont" w:hAnsi="AppleSystemUIFont" w:cs="AppleSystemUIFont"/>
          <w:kern w:val="0"/>
          <w:sz w:val="26"/>
          <w:szCs w:val="26"/>
        </w:rPr>
        <w:t>则针对忠实客户提供了持续的激励。在保单生</w:t>
      </w:r>
      <w:r>
        <w:rPr>
          <w:rFonts w:ascii="AppleSystemUIFont" w:hAnsi="AppleSystemUIFont" w:cs="AppleSystemUIFont"/>
          <w:kern w:val="0"/>
          <w:sz w:val="26"/>
          <w:szCs w:val="26"/>
        </w:rPr>
        <w:lastRenderedPageBreak/>
        <w:t>效</w:t>
      </w:r>
      <w:r>
        <w:rPr>
          <w:rFonts w:ascii="AppleSystemUIFont" w:hAnsi="AppleSystemUIFont" w:cs="AppleSystemUIFont"/>
          <w:kern w:val="0"/>
          <w:sz w:val="26"/>
          <w:szCs w:val="26"/>
        </w:rPr>
        <w:t>60</w:t>
      </w:r>
      <w:r>
        <w:rPr>
          <w:rFonts w:ascii="AppleSystemUIFont" w:hAnsi="AppleSystemUIFont" w:cs="AppleSystemUIFont"/>
          <w:kern w:val="0"/>
          <w:sz w:val="26"/>
          <w:szCs w:val="26"/>
        </w:rPr>
        <w:t>个月后，我们根据客户的年均账户余额，按特定比例提供额外的奖赏。这一机制不仅是对长期客户的回馈，更是对长期投资者的一种激励，鼓励客户坚持长期投资策略，从而在时间的复利效应下获得更高的回报。这种方式帮助客户克服短期市场波动带来的压力，同时让他们在长期的财富管理过程中获得更多回报。</w:t>
      </w:r>
    </w:p>
    <w:p w14:paraId="5E1F4D6C"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71EA0C7C"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通过这些促销措施，客户不仅能够享受投连险的诸多优势，还能在降低成本的同时进一步提升投资回报。无论是初始阶段的开户奖励，还是长期投资中的持续回馈，都为客户提供了显著的利益提升，使得投连险在性价比上表现得更具竞争力。</w:t>
      </w:r>
    </w:p>
    <w:p w14:paraId="3AEDF299"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5580B3AB"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w:t>
      </w:r>
    </w:p>
    <w:p w14:paraId="45798A07"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62B0FF64"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投连险：我们服务的落脚点，权责清晰，服务落地</w:t>
      </w:r>
    </w:p>
    <w:p w14:paraId="3B4278CB"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0020D8F2" w14:textId="77777777" w:rsidR="009A6C04" w:rsidRDefault="009A6C04" w:rsidP="009A6C04">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投连险不仅是一个灵活高效的投资工具，</w:t>
      </w:r>
      <w:r>
        <w:rPr>
          <w:rFonts w:ascii="AppleSystemUIFont" w:hAnsi="AppleSystemUIFont" w:cs="AppleSystemUIFont"/>
          <w:kern w:val="0"/>
          <w:sz w:val="26"/>
          <w:szCs w:val="26"/>
        </w:rPr>
        <w:t>**</w:t>
      </w:r>
      <w:r>
        <w:rPr>
          <w:rFonts w:ascii="AppleSystemUIFont" w:hAnsi="AppleSystemUIFont" w:cs="AppleSystemUIFont"/>
          <w:kern w:val="0"/>
          <w:sz w:val="26"/>
          <w:szCs w:val="26"/>
        </w:rPr>
        <w:t>更是我们为客户提供全方位投资服务的重要落脚点</w:t>
      </w:r>
      <w:r>
        <w:rPr>
          <w:rFonts w:ascii="AppleSystemUIFont" w:hAnsi="AppleSystemUIFont" w:cs="AppleSystemUIFont"/>
          <w:kern w:val="0"/>
          <w:sz w:val="26"/>
          <w:szCs w:val="26"/>
        </w:rPr>
        <w:t>**</w:t>
      </w:r>
      <w:r>
        <w:rPr>
          <w:rFonts w:ascii="AppleSystemUIFont" w:hAnsi="AppleSystemUIFont" w:cs="AppleSystemUIFont"/>
          <w:kern w:val="0"/>
          <w:sz w:val="26"/>
          <w:szCs w:val="26"/>
        </w:rPr>
        <w:t>。通过投连险的服务，我们为客户提供长期追踪服务，定期组合检视，确保客户的投资目标能够得到持续的跟踪和调整。</w:t>
      </w:r>
    </w:p>
    <w:p w14:paraId="072F5D30" w14:textId="77777777" w:rsidR="009A6C04" w:rsidRDefault="009A6C04" w:rsidP="009A6C04">
      <w:pPr>
        <w:autoSpaceDE w:val="0"/>
        <w:autoSpaceDN w:val="0"/>
        <w:adjustRightInd w:val="0"/>
        <w:jc w:val="left"/>
        <w:rPr>
          <w:rFonts w:ascii="AppleSystemUIFont" w:hAnsi="AppleSystemUIFont" w:cs="AppleSystemUIFont"/>
          <w:kern w:val="0"/>
          <w:sz w:val="26"/>
          <w:szCs w:val="26"/>
        </w:rPr>
      </w:pPr>
    </w:p>
    <w:p w14:paraId="64A61531" w14:textId="3F16A06E" w:rsidR="00E36783" w:rsidRDefault="009A6C04" w:rsidP="009A6C04">
      <w:r>
        <w:rPr>
          <w:rFonts w:ascii="AppleExternalUIFontSimplifiedCh" w:eastAsia="AppleExternalUIFontSimplifiedCh" w:hAnsi="AppleSystemUIFont" w:cs="AppleExternalUIFontSimplifiedCh" w:hint="eastAsia"/>
          <w:kern w:val="0"/>
          <w:sz w:val="26"/>
          <w:szCs w:val="26"/>
        </w:rPr>
        <w:t>在这个过程中，我们通过投连险基金的运作，实现了权责清晰匹配和服务落地。作为财富管理团队，我们帮助客户构建和检视他们的投资组合，确</w:t>
      </w:r>
      <w:r>
        <w:rPr>
          <w:rFonts w:ascii="AppleExternalUIFontSimplifiedCh" w:eastAsia="AppleExternalUIFontSimplifiedCh" w:hAnsi="AppleSystemUIFont" w:cs="AppleExternalUIFontSimplifiedCh" w:hint="eastAsia"/>
          <w:kern w:val="0"/>
          <w:sz w:val="26"/>
          <w:szCs w:val="26"/>
        </w:rPr>
        <w:lastRenderedPageBreak/>
        <w:t>保他们在市场波动中坚持长期策略，并根据需要调整资产配置结构，帮助客户实现财富的长期增值。</w:t>
      </w:r>
    </w:p>
    <w:sectPr w:rsidR="00E367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SimplifiedCh">
    <w:altName w:val="微软雅黑"/>
    <w:panose1 w:val="020B0604020202020204"/>
    <w:charset w:val="86"/>
    <w:family w:val="auto"/>
    <w:notTrueType/>
    <w:pitch w:val="default"/>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04"/>
    <w:rsid w:val="000207C7"/>
    <w:rsid w:val="009A6C04"/>
    <w:rsid w:val="00D64B7D"/>
    <w:rsid w:val="00D90ED2"/>
    <w:rsid w:val="00E36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30B593"/>
  <w15:chartTrackingRefBased/>
  <w15:docId w15:val="{45B67566-EE41-9B46-9CDC-D267E3A8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A6C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6C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6C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6C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6C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6C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6C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6C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6C0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6C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6C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6C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6C04"/>
    <w:rPr>
      <w:rFonts w:cstheme="majorBidi"/>
      <w:color w:val="0F4761" w:themeColor="accent1" w:themeShade="BF"/>
      <w:sz w:val="28"/>
      <w:szCs w:val="28"/>
    </w:rPr>
  </w:style>
  <w:style w:type="character" w:customStyle="1" w:styleId="50">
    <w:name w:val="标题 5 字符"/>
    <w:basedOn w:val="a0"/>
    <w:link w:val="5"/>
    <w:uiPriority w:val="9"/>
    <w:semiHidden/>
    <w:rsid w:val="009A6C04"/>
    <w:rPr>
      <w:rFonts w:cstheme="majorBidi"/>
      <w:color w:val="0F4761" w:themeColor="accent1" w:themeShade="BF"/>
      <w:sz w:val="24"/>
    </w:rPr>
  </w:style>
  <w:style w:type="character" w:customStyle="1" w:styleId="60">
    <w:name w:val="标题 6 字符"/>
    <w:basedOn w:val="a0"/>
    <w:link w:val="6"/>
    <w:uiPriority w:val="9"/>
    <w:semiHidden/>
    <w:rsid w:val="009A6C04"/>
    <w:rPr>
      <w:rFonts w:cstheme="majorBidi"/>
      <w:b/>
      <w:bCs/>
      <w:color w:val="0F4761" w:themeColor="accent1" w:themeShade="BF"/>
    </w:rPr>
  </w:style>
  <w:style w:type="character" w:customStyle="1" w:styleId="70">
    <w:name w:val="标题 7 字符"/>
    <w:basedOn w:val="a0"/>
    <w:link w:val="7"/>
    <w:uiPriority w:val="9"/>
    <w:semiHidden/>
    <w:rsid w:val="009A6C04"/>
    <w:rPr>
      <w:rFonts w:cstheme="majorBidi"/>
      <w:b/>
      <w:bCs/>
      <w:color w:val="595959" w:themeColor="text1" w:themeTint="A6"/>
    </w:rPr>
  </w:style>
  <w:style w:type="character" w:customStyle="1" w:styleId="80">
    <w:name w:val="标题 8 字符"/>
    <w:basedOn w:val="a0"/>
    <w:link w:val="8"/>
    <w:uiPriority w:val="9"/>
    <w:semiHidden/>
    <w:rsid w:val="009A6C04"/>
    <w:rPr>
      <w:rFonts w:cstheme="majorBidi"/>
      <w:color w:val="595959" w:themeColor="text1" w:themeTint="A6"/>
    </w:rPr>
  </w:style>
  <w:style w:type="character" w:customStyle="1" w:styleId="90">
    <w:name w:val="标题 9 字符"/>
    <w:basedOn w:val="a0"/>
    <w:link w:val="9"/>
    <w:uiPriority w:val="9"/>
    <w:semiHidden/>
    <w:rsid w:val="009A6C04"/>
    <w:rPr>
      <w:rFonts w:eastAsiaTheme="majorEastAsia" w:cstheme="majorBidi"/>
      <w:color w:val="595959" w:themeColor="text1" w:themeTint="A6"/>
    </w:rPr>
  </w:style>
  <w:style w:type="paragraph" w:styleId="a3">
    <w:name w:val="Title"/>
    <w:basedOn w:val="a"/>
    <w:next w:val="a"/>
    <w:link w:val="a4"/>
    <w:uiPriority w:val="10"/>
    <w:qFormat/>
    <w:rsid w:val="009A6C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6C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C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6C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6C04"/>
    <w:pPr>
      <w:spacing w:before="160" w:after="160"/>
      <w:jc w:val="center"/>
    </w:pPr>
    <w:rPr>
      <w:i/>
      <w:iCs/>
      <w:color w:val="404040" w:themeColor="text1" w:themeTint="BF"/>
    </w:rPr>
  </w:style>
  <w:style w:type="character" w:customStyle="1" w:styleId="a8">
    <w:name w:val="引用 字符"/>
    <w:basedOn w:val="a0"/>
    <w:link w:val="a7"/>
    <w:uiPriority w:val="29"/>
    <w:rsid w:val="009A6C04"/>
    <w:rPr>
      <w:i/>
      <w:iCs/>
      <w:color w:val="404040" w:themeColor="text1" w:themeTint="BF"/>
    </w:rPr>
  </w:style>
  <w:style w:type="paragraph" w:styleId="a9">
    <w:name w:val="List Paragraph"/>
    <w:basedOn w:val="a"/>
    <w:uiPriority w:val="34"/>
    <w:qFormat/>
    <w:rsid w:val="009A6C04"/>
    <w:pPr>
      <w:ind w:left="720"/>
      <w:contextualSpacing/>
    </w:pPr>
  </w:style>
  <w:style w:type="character" w:styleId="aa">
    <w:name w:val="Intense Emphasis"/>
    <w:basedOn w:val="a0"/>
    <w:uiPriority w:val="21"/>
    <w:qFormat/>
    <w:rsid w:val="009A6C04"/>
    <w:rPr>
      <w:i/>
      <w:iCs/>
      <w:color w:val="0F4761" w:themeColor="accent1" w:themeShade="BF"/>
    </w:rPr>
  </w:style>
  <w:style w:type="paragraph" w:styleId="ab">
    <w:name w:val="Intense Quote"/>
    <w:basedOn w:val="a"/>
    <w:next w:val="a"/>
    <w:link w:val="ac"/>
    <w:uiPriority w:val="30"/>
    <w:qFormat/>
    <w:rsid w:val="009A6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6C04"/>
    <w:rPr>
      <w:i/>
      <w:iCs/>
      <w:color w:val="0F4761" w:themeColor="accent1" w:themeShade="BF"/>
    </w:rPr>
  </w:style>
  <w:style w:type="character" w:styleId="ad">
    <w:name w:val="Intense Reference"/>
    <w:basedOn w:val="a0"/>
    <w:uiPriority w:val="32"/>
    <w:qFormat/>
    <w:rsid w:val="009A6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Xu</dc:creator>
  <cp:keywords/>
  <dc:description/>
  <cp:lastModifiedBy>April Xu</cp:lastModifiedBy>
  <cp:revision>1</cp:revision>
  <dcterms:created xsi:type="dcterms:W3CDTF">2024-10-13T13:02:00Z</dcterms:created>
  <dcterms:modified xsi:type="dcterms:W3CDTF">2024-10-13T13:03:00Z</dcterms:modified>
</cp:coreProperties>
</file>