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3624F" w14:textId="6601274A" w:rsidR="00E87CB4" w:rsidRDefault="00A9129B">
      <w:pPr>
        <w:rPr>
          <w:rFonts w:ascii="Microsoft JhengHei" w:eastAsia="Microsoft JhengHei" w:hAnsi="Microsoft JhengHei" w:cs="Microsoft JhengHei"/>
          <w:b/>
          <w:bCs/>
          <w:color w:val="020817"/>
          <w:sz w:val="33"/>
          <w:szCs w:val="33"/>
          <w:shd w:val="clear" w:color="auto" w:fill="FFFFFF"/>
        </w:rPr>
      </w:pPr>
      <w:r w:rsidRPr="00A9129B">
        <w:rPr>
          <w:rFonts w:ascii="Segoe UI" w:hAnsi="Segoe UI" w:cs="Segoe UI" w:hint="eastAsia"/>
          <w:b/>
          <w:bCs/>
          <w:color w:val="020817"/>
          <w:sz w:val="33"/>
          <w:szCs w:val="33"/>
          <w:shd w:val="clear" w:color="auto" w:fill="FFFFFF"/>
        </w:rPr>
        <w:t>诞生即巅峰，被</w:t>
      </w:r>
      <w:r w:rsidRPr="00A9129B">
        <w:rPr>
          <w:rFonts w:ascii="Segoe UI" w:hAnsi="Segoe UI" w:cs="Segoe UI"/>
          <w:b/>
          <w:bCs/>
          <w:color w:val="020817"/>
          <w:sz w:val="33"/>
          <w:szCs w:val="33"/>
          <w:shd w:val="clear" w:color="auto" w:fill="FFFFFF"/>
        </w:rPr>
        <w:t>两次</w:t>
      </w:r>
      <w:r w:rsidRPr="00A9129B">
        <w:rPr>
          <w:rFonts w:ascii="Segoe UI" w:hAnsi="Segoe UI" w:cs="Segoe UI" w:hint="eastAsia"/>
          <w:b/>
          <w:bCs/>
          <w:color w:val="020817"/>
          <w:sz w:val="33"/>
          <w:szCs w:val="33"/>
          <w:shd w:val="clear" w:color="auto" w:fill="FFFFFF"/>
        </w:rPr>
        <w:t>股灾摧残</w:t>
      </w:r>
      <w:r>
        <w:rPr>
          <w:rFonts w:ascii="Segoe UI" w:hAnsi="Segoe UI" w:cs="Segoe UI" w:hint="eastAsia"/>
          <w:b/>
          <w:bCs/>
          <w:color w:val="020817"/>
          <w:sz w:val="33"/>
          <w:szCs w:val="33"/>
          <w:shd w:val="clear" w:color="auto" w:fill="FFFFFF"/>
        </w:rPr>
        <w:t>：</w:t>
      </w:r>
      <w:r w:rsidR="00E87CB4">
        <w:rPr>
          <w:rFonts w:ascii="Segoe UI" w:hAnsi="Segoe UI" w:cs="Segoe UI"/>
          <w:b/>
          <w:bCs/>
          <w:color w:val="020817"/>
          <w:sz w:val="33"/>
          <w:szCs w:val="33"/>
          <w:shd w:val="clear" w:color="auto" w:fill="FFFFFF"/>
        </w:rPr>
        <w:t>从一只生不逢时的基金讲</w:t>
      </w:r>
      <w:r w:rsidR="00E87CB4">
        <w:rPr>
          <w:rFonts w:ascii="Microsoft JhengHei" w:eastAsia="Microsoft JhengHei" w:hAnsi="Microsoft JhengHei" w:cs="Microsoft JhengHei" w:hint="eastAsia"/>
          <w:b/>
          <w:bCs/>
          <w:color w:val="020817"/>
          <w:sz w:val="33"/>
          <w:szCs w:val="33"/>
          <w:shd w:val="clear" w:color="auto" w:fill="FFFFFF"/>
        </w:rPr>
        <w:t>起</w:t>
      </w:r>
    </w:p>
    <w:p w14:paraId="7843C351" w14:textId="77777777" w:rsidR="00E87CB4" w:rsidRDefault="00E87CB4" w:rsidP="00E87CB4">
      <w:pPr>
        <w:rPr>
          <w:rFonts w:ascii="KaiTi" w:eastAsia="KaiTi" w:hAnsi="KaiTi"/>
        </w:rPr>
      </w:pPr>
    </w:p>
    <w:p w14:paraId="6F651063" w14:textId="444DD07A" w:rsidR="00E87CB4" w:rsidRDefault="00E87CB4" w:rsidP="00BF36B9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BF36B9">
        <w:rPr>
          <w:rFonts w:ascii="PingFang TC" w:eastAsia="PingFang TC" w:hAnsi="PingFang TC" w:cs="PingFang TC"/>
          <w:kern w:val="0"/>
          <w14:ligatures w14:val="none"/>
        </w:rPr>
        <w:t>在我上一篇文章《全球资产配置：穿越周期的科学之道》中，我们谈到：真正能够穿越周期的，不是押注某个单一市场，而是通过全球分散来跟随世界经济的长期增长轨迹。</w:t>
      </w:r>
    </w:p>
    <w:p w14:paraId="0A403565" w14:textId="77777777" w:rsidR="00BF36B9" w:rsidRPr="00BF36B9" w:rsidRDefault="00BF36B9" w:rsidP="00BF36B9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70A43843" w14:textId="0A49B376" w:rsidR="00E87CB4" w:rsidRPr="00BF36B9" w:rsidRDefault="00E87CB4" w:rsidP="00BF36B9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BF36B9">
        <w:rPr>
          <w:rFonts w:ascii="PingFang TC" w:eastAsia="PingFang TC" w:hAnsi="PingFang TC" w:cs="PingFang TC"/>
          <w:kern w:val="0"/>
          <w14:ligatures w14:val="none"/>
        </w:rPr>
        <w:t>带着这个思路，我也在投</w:t>
      </w:r>
      <w:r w:rsidRPr="00BF36B9">
        <w:rPr>
          <w:rFonts w:ascii="PingFang TC" w:eastAsia="PingFang TC" w:hAnsi="PingFang TC" w:cs="PingFang TC" w:hint="eastAsia"/>
          <w:kern w:val="0"/>
          <w14:ligatures w14:val="none"/>
        </w:rPr>
        <w:t>连</w:t>
      </w:r>
      <w:r w:rsidRPr="00BF36B9">
        <w:rPr>
          <w:rFonts w:ascii="PingFang TC" w:eastAsia="PingFang TC" w:hAnsi="PingFang TC" w:cs="PingFang TC"/>
          <w:kern w:val="0"/>
          <w14:ligatures w14:val="none"/>
        </w:rPr>
        <w:t>险基金平台上寻找能够体现全球大型、优质公司暴露的基金。</w:t>
      </w:r>
    </w:p>
    <w:p w14:paraId="63E4C478" w14:textId="36CC57A0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作为家庭长期资产配置的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>
        <w:rPr>
          <w:rFonts w:ascii="PingFang TC" w:eastAsia="PingFang TC" w:hAnsi="PingFang TC" w:cs="PingFang TC" w:hint="eastAsia"/>
          <w:kern w:val="0"/>
          <w14:ligatures w14:val="none"/>
        </w:rPr>
        <w:t>执行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工具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05873C5" w14:textId="77777777" w:rsidR="00211A66" w:rsidRPr="00E87CB4" w:rsidRDefault="00211A66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A52144C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在上百只基金中，一只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代号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F”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的产品引起了我的注意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1114B2E" w14:textId="1F7DFEE7" w:rsidR="00211A66" w:rsidRDefault="00E87CB4" w:rsidP="00E87CB4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它由一家国际知名、口碑</w:t>
      </w:r>
      <w:r w:rsidRPr="00E87CB4">
        <w:rPr>
          <w:rFonts w:ascii="SimSun" w:eastAsia="SimSun" w:hAnsi="SimSun" w:cs="SimSun" w:hint="eastAsia"/>
          <w:kern w:val="0"/>
          <w14:ligatures w14:val="none"/>
        </w:rPr>
        <w:t>稳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健的资管机构运营，</w:t>
      </w:r>
    </w:p>
    <w:p w14:paraId="7BE7E22B" w14:textId="7D94F31C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费率</w:t>
      </w:r>
      <w:r>
        <w:rPr>
          <w:rFonts w:ascii="PingFang TC" w:eastAsia="PingFang TC" w:hAnsi="PingFang TC" w:cs="PingFang TC" w:hint="eastAsia"/>
          <w:kern w:val="0"/>
          <w14:ligatures w14:val="none"/>
        </w:rPr>
        <w:t>也相对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合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理</w:t>
      </w:r>
      <w:r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策略清晰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以全球大型优质公司为核心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，</w:t>
      </w:r>
      <w:r>
        <w:rPr>
          <w:rFonts w:ascii="PingFang TC" w:eastAsia="PingFang TC" w:hAnsi="PingFang TC" w:cs="PingFang TC" w:hint="eastAsia"/>
          <w:kern w:val="0"/>
          <w14:ligatures w14:val="none"/>
        </w:rPr>
        <w:t>紧盯全球股权指数ACWI（</w:t>
      </w:r>
      <w:r w:rsidRPr="00E87CB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MSCI All Country World Index</w:t>
      </w:r>
      <w:r>
        <w:rPr>
          <w:rFonts w:ascii="PingFang TC" w:eastAsia="PingFang TC" w:hAnsi="PingFang TC" w:cs="PingFang TC" w:hint="eastAsia"/>
          <w:kern w:val="0"/>
          <w14:ligatures w14:val="none"/>
        </w:rPr>
        <w:t>）</w:t>
      </w:r>
    </w:p>
    <w:p w14:paraId="42182B9D" w14:textId="77777777" w:rsidR="00211A66" w:rsidRPr="00E87CB4" w:rsidRDefault="00211A66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09DC902C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长期持有、注重分散、追求</w:t>
      </w:r>
      <w:r w:rsidRPr="00E87CB4">
        <w:rPr>
          <w:rFonts w:ascii="SimSun" w:eastAsia="SimSun" w:hAnsi="SimSun" w:cs="SimSun" w:hint="eastAsia"/>
          <w:kern w:val="0"/>
          <w14:ligatures w14:val="none"/>
        </w:rPr>
        <w:t>稳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定复利增长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D93A7E5" w14:textId="77777777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按理说，这样的策略，长期回报应当相当可观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EA32E74" w14:textId="77777777" w:rsidR="00211A66" w:rsidRPr="00E87CB4" w:rsidRDefault="00211A66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49CFA12" w14:textId="0D9728A3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但当我拉出这只基金自成立以来的净值</w:t>
      </w:r>
      <w:r w:rsidR="00BF36B9">
        <w:rPr>
          <w:rFonts w:ascii="PingFang TC" w:eastAsia="PingFang TC" w:hAnsi="PingFang TC" w:cs="PingFang TC" w:hint="eastAsia"/>
          <w:kern w:val="0"/>
          <w14:ligatures w14:val="none"/>
        </w:rPr>
        <w:t>历史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时，却发现一个让人疑惑的事实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470873E" w14:textId="77777777" w:rsidR="00E87CB4" w:rsidRDefault="00E87CB4" w:rsidP="00E87CB4">
      <w:pPr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25FDED2A" w14:textId="6352E6C6" w:rsidR="00E87CB4" w:rsidRDefault="00E87CB4" w:rsidP="00E87CB4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近5年的年化收益率高达1</w:t>
      </w:r>
      <w:r>
        <w:rPr>
          <w:rFonts w:ascii="KaiTi" w:eastAsia="KaiTi" w:hAnsi="KaiTi" w:hint="eastAsia"/>
        </w:rPr>
        <w:t>7.13</w:t>
      </w:r>
      <w:r>
        <w:rPr>
          <w:rFonts w:ascii="KaiTi" w:eastAsia="KaiTi" w:hAnsi="KaiTi" w:hint="eastAsia"/>
        </w:rPr>
        <w:t>%。但如果追溯自</w:t>
      </w:r>
      <w:r w:rsidRPr="00412879">
        <w:rPr>
          <w:rFonts w:ascii="KaiTi" w:eastAsia="KaiTi" w:hAnsi="KaiTi" w:hint="eastAsia"/>
        </w:rPr>
        <w:t>1999年1月7日成立以来，年化收益仅为</w:t>
      </w:r>
      <w:r>
        <w:rPr>
          <w:rFonts w:ascii="KaiTi" w:eastAsia="KaiTi" w:hAnsi="KaiTi" w:hint="eastAsia"/>
        </w:rPr>
        <w:t>5.75</w:t>
      </w:r>
      <w:r w:rsidRPr="00412879">
        <w:rPr>
          <w:rFonts w:ascii="KaiTi" w:eastAsia="KaiTi" w:hAnsi="KaiTi" w:hint="eastAsia"/>
        </w:rPr>
        <w:t>%</w:t>
      </w:r>
      <w:r w:rsidR="008957EC">
        <w:rPr>
          <w:rFonts w:ascii="KaiTi" w:eastAsia="KaiTi" w:hAnsi="KaiTi" w:hint="eastAsia"/>
        </w:rPr>
        <w:t>，竟然没有跑赢对标指数，也没有达到理想中全球股权市场长期10%左右的复利回报。</w:t>
      </w:r>
    </w:p>
    <w:p w14:paraId="3F71396F" w14:textId="7A031CA7" w:rsidR="00E87CB4" w:rsidRPr="00412879" w:rsidRDefault="00E87CB4" w:rsidP="00E87CB4">
      <w:pPr>
        <w:rPr>
          <w:rFonts w:ascii="KaiTi" w:eastAsia="KaiTi" w:hAnsi="KaiTi"/>
        </w:rPr>
      </w:pPr>
      <w:r w:rsidRPr="00412879">
        <w:rPr>
          <w:rFonts w:ascii="KaiTi" w:eastAsia="KaiTi" w:hAnsi="KaiTi"/>
          <w:noProof/>
        </w:rPr>
        <w:drawing>
          <wp:inline distT="0" distB="0" distL="0" distR="0" wp14:anchorId="646F278E" wp14:editId="0DCB05ED">
            <wp:extent cx="5943600" cy="2239645"/>
            <wp:effectExtent l="0" t="0" r="0" b="0"/>
            <wp:docPr id="123290778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7782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B9DC" w14:textId="77777777" w:rsidR="00E87CB4" w:rsidRPr="00412879" w:rsidRDefault="00E87CB4" w:rsidP="00E87CB4">
      <w:pPr>
        <w:rPr>
          <w:rFonts w:ascii="KaiTi" w:eastAsia="KaiTi" w:hAnsi="KaiTi" w:hint="eastAsia"/>
        </w:rPr>
      </w:pPr>
    </w:p>
    <w:p w14:paraId="19802B11" w14:textId="7E6C1F9B" w:rsidR="00E87CB4" w:rsidRDefault="00E87CB4" w:rsidP="00E87CB4">
      <w:pPr>
        <w:rPr>
          <w:rFonts w:ascii="KaiTi" w:eastAsia="KaiTi" w:hAnsi="KaiTi"/>
        </w:rPr>
      </w:pPr>
      <w:r w:rsidRPr="000E3B4E">
        <w:rPr>
          <w:rFonts w:ascii="KaiTi" w:eastAsia="KaiTi" w:hAnsi="KaiTi"/>
        </w:rPr>
        <w:t>为什么这只基金的表现看似“不尽如人意”呢？</w:t>
      </w:r>
    </w:p>
    <w:p w14:paraId="015C2574" w14:textId="77777777" w:rsidR="008957EC" w:rsidRDefault="008957EC" w:rsidP="00E87CB4">
      <w:pPr>
        <w:rPr>
          <w:rFonts w:ascii="KaiTi" w:eastAsia="KaiTi" w:hAnsi="KaiTi" w:hint="eastAsia"/>
        </w:rPr>
      </w:pPr>
    </w:p>
    <w:p w14:paraId="541F24F1" w14:textId="49ACC5F5" w:rsidR="00A270E1" w:rsidRDefault="00A270E1" w:rsidP="00A270E1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从过往15年、10年、5年和3年的回报数据来看，基金都优于对标</w:t>
      </w:r>
      <w:r w:rsidR="008957EC">
        <w:rPr>
          <w:rFonts w:ascii="KaiTi" w:eastAsia="KaiTi" w:hAnsi="KaiTi" w:hint="eastAsia"/>
        </w:rPr>
        <w:t>指数</w:t>
      </w:r>
      <w:r w:rsidRPr="00412879">
        <w:rPr>
          <w:rFonts w:ascii="KaiTi" w:eastAsia="KaiTi" w:hAnsi="KaiTi" w:hint="eastAsia"/>
        </w:rPr>
        <w:t>。</w:t>
      </w:r>
    </w:p>
    <w:p w14:paraId="49D91C53" w14:textId="13261990" w:rsidR="00A270E1" w:rsidRPr="000E3B4E" w:rsidRDefault="00A270E1" w:rsidP="00A270E1">
      <w:pPr>
        <w:numPr>
          <w:ilvl w:val="0"/>
          <w:numId w:val="4"/>
        </w:numPr>
        <w:rPr>
          <w:rFonts w:ascii="KaiTi" w:eastAsia="KaiTi" w:hAnsi="KaiTi"/>
        </w:rPr>
      </w:pPr>
      <w:r w:rsidRPr="000E3B4E">
        <w:rPr>
          <w:rFonts w:ascii="KaiTi" w:eastAsia="KaiTi" w:hAnsi="KaiTi"/>
          <w:b/>
          <w:bCs/>
        </w:rPr>
        <w:t>15年数据</w:t>
      </w:r>
      <w:r w:rsidRPr="000E3B4E">
        <w:rPr>
          <w:rFonts w:ascii="KaiTi" w:eastAsia="KaiTi" w:hAnsi="KaiTi"/>
        </w:rPr>
        <w:t xml:space="preserve">：基金年化收益率 </w:t>
      </w:r>
      <w:r w:rsidRPr="000E3B4E">
        <w:rPr>
          <w:rFonts w:ascii="KaiTi" w:eastAsia="KaiTi" w:hAnsi="KaiTi"/>
          <w:b/>
          <w:bCs/>
        </w:rPr>
        <w:t>10.84%</w:t>
      </w:r>
      <w:r w:rsidRPr="000E3B4E">
        <w:rPr>
          <w:rFonts w:ascii="KaiTi" w:eastAsia="KaiTi" w:hAnsi="KaiTi"/>
        </w:rPr>
        <w:t xml:space="preserve">，对标指数 </w:t>
      </w:r>
      <w:r w:rsidRPr="000E3B4E">
        <w:rPr>
          <w:rFonts w:ascii="KaiTi" w:eastAsia="KaiTi" w:hAnsi="KaiTi"/>
          <w:b/>
          <w:bCs/>
        </w:rPr>
        <w:t>10.</w:t>
      </w:r>
      <w:r>
        <w:rPr>
          <w:rFonts w:ascii="KaiTi" w:eastAsia="KaiTi" w:hAnsi="KaiTi" w:hint="eastAsia"/>
          <w:b/>
          <w:bCs/>
        </w:rPr>
        <w:t>62</w:t>
      </w:r>
      <w:r w:rsidRPr="000E3B4E">
        <w:rPr>
          <w:rFonts w:ascii="KaiTi" w:eastAsia="KaiTi" w:hAnsi="KaiTi"/>
          <w:b/>
          <w:bCs/>
        </w:rPr>
        <w:t>%</w:t>
      </w:r>
      <w:r w:rsidRPr="000E3B4E">
        <w:rPr>
          <w:rFonts w:ascii="KaiTi" w:eastAsia="KaiTi" w:hAnsi="KaiTi"/>
        </w:rPr>
        <w:t>。</w:t>
      </w:r>
    </w:p>
    <w:p w14:paraId="29206FC6" w14:textId="38FA608C" w:rsidR="00A270E1" w:rsidRPr="000E3B4E" w:rsidRDefault="00A270E1" w:rsidP="00A270E1">
      <w:pPr>
        <w:numPr>
          <w:ilvl w:val="0"/>
          <w:numId w:val="4"/>
        </w:numPr>
        <w:rPr>
          <w:rFonts w:ascii="KaiTi" w:eastAsia="KaiTi" w:hAnsi="KaiTi"/>
        </w:rPr>
      </w:pPr>
      <w:r w:rsidRPr="000E3B4E">
        <w:rPr>
          <w:rFonts w:ascii="KaiTi" w:eastAsia="KaiTi" w:hAnsi="KaiTi"/>
          <w:b/>
          <w:bCs/>
        </w:rPr>
        <w:t>10年、5年、3年</w:t>
      </w:r>
      <w:r>
        <w:rPr>
          <w:rFonts w:ascii="KaiTi" w:eastAsia="KaiTi" w:hAnsi="KaiTi" w:hint="eastAsia"/>
          <w:b/>
          <w:bCs/>
        </w:rPr>
        <w:t>和1年</w:t>
      </w:r>
      <w:r w:rsidRPr="000E3B4E">
        <w:rPr>
          <w:rFonts w:ascii="KaiTi" w:eastAsia="KaiTi" w:hAnsi="KaiTi"/>
        </w:rPr>
        <w:t>：基金表现也均优于对标ETF。</w:t>
      </w:r>
    </w:p>
    <w:p w14:paraId="6D6DBD24" w14:textId="77777777" w:rsid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39A9B" w14:textId="77777777" w:rsidR="00A270E1" w:rsidRPr="00E87CB4" w:rsidRDefault="00A270E1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1621A568" w14:textId="77777777" w:rsidR="00BF36B9" w:rsidRDefault="00A270E1" w:rsidP="00A270E1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A270E1">
        <w:rPr>
          <w:rFonts w:ascii="PingFang TC" w:eastAsia="PingFang TC" w:hAnsi="PingFang TC" w:cs="PingFang TC" w:hint="eastAsia"/>
          <w:kern w:val="0"/>
          <w14:ligatures w14:val="none"/>
        </w:rPr>
        <w:t>为什么差异会这么大呢？</w:t>
      </w:r>
    </w:p>
    <w:p w14:paraId="7C4EA68A" w14:textId="77777777" w:rsidR="00BF36B9" w:rsidRDefault="00BF36B9" w:rsidP="00A270E1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5CC49BBD" w14:textId="2ACAB651" w:rsidR="00A270E1" w:rsidRPr="00A270E1" w:rsidRDefault="008957EC" w:rsidP="00A270E1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第一个反应是，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是因为基金</w:t>
      </w:r>
      <w:r>
        <w:rPr>
          <w:rFonts w:ascii="PingFang TC" w:eastAsia="PingFang TC" w:hAnsi="PingFang TC" w:cs="PingFang TC" w:hint="eastAsia"/>
          <w:kern w:val="0"/>
          <w14:ligatures w14:val="none"/>
        </w:rPr>
        <w:t>管理人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收取的管理费</w:t>
      </w:r>
      <w:r>
        <w:rPr>
          <w:rFonts w:ascii="PingFang TC" w:eastAsia="PingFang TC" w:hAnsi="PingFang TC" w:cs="PingFang TC" w:hint="eastAsia"/>
          <w:kern w:val="0"/>
          <w14:ligatures w14:val="none"/>
        </w:rPr>
        <w:t>率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过高</w:t>
      </w:r>
      <w:r>
        <w:rPr>
          <w:rFonts w:ascii="PingFang TC" w:eastAsia="PingFang TC" w:hAnsi="PingFang TC" w:cs="PingFang TC" w:hint="eastAsia"/>
          <w:kern w:val="0"/>
          <w14:ligatures w14:val="none"/>
        </w:rPr>
        <w:t>拉低基金收益率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吗？那为什么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近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15年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以内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却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未受到这个因素的影响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呢？</w:t>
      </w:r>
    </w:p>
    <w:p w14:paraId="36C07C85" w14:textId="77777777" w:rsidR="00A270E1" w:rsidRPr="00E87CB4" w:rsidRDefault="00A270E1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7B0EBB7" w14:textId="77777777" w:rsidR="00E87CB4" w:rsidRPr="00E87CB4" w:rsidRDefault="00871A05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A05">
        <w:rPr>
          <w:rFonts w:ascii="Times New Roman" w:eastAsia="Times New Roman" w:hAnsi="Times New Roman" w:cs="Times New Roman"/>
          <w:noProof/>
          <w:kern w:val="0"/>
        </w:rPr>
        <w:pict w14:anchorId="1C8C26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4FB068" w14:textId="77777777" w:rsidR="00E87CB4" w:rsidRPr="00E87CB4" w:rsidRDefault="00E87CB4" w:rsidP="00E8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一、开局即巅峰：遇上两次</w:t>
      </w:r>
      <w:r w:rsidRPr="00E8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毒打</w:t>
      </w:r>
      <w:r w:rsidRPr="00E8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的基</w:t>
      </w:r>
      <w:r w:rsidRPr="00E87CB4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金</w:t>
      </w:r>
    </w:p>
    <w:p w14:paraId="312F7952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答案藏在时间线上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54E1C14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“F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基金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成立于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1999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年初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2097E437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恰好是上世纪末那轮互联网狂热的巅峰期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——</w:t>
      </w:r>
    </w:p>
    <w:p w14:paraId="7E1AC740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全球股市估值被情绪推向极致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45AE812" w14:textId="77777777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它刚一成立，便迎来了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年互联网泡沫破裂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30D6515" w14:textId="77777777" w:rsidR="008639F3" w:rsidRPr="00E87CB4" w:rsidRDefault="008639F3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0E85E41E" w14:textId="74A2C858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之后又在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2008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年全球金融危机中再遭重击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="00A270E1" w:rsidRPr="00A270E1">
        <w:rPr>
          <w:rFonts w:ascii="PingFang TC" w:eastAsia="PingFang TC" w:hAnsi="PingFang TC" w:cs="PingFang TC" w:hint="eastAsia"/>
          <w:kern w:val="0"/>
          <w14:ligatures w14:val="none"/>
        </w:rPr>
        <w:t>2008年至2009年，由于美国次贷危机导致的泡沫破裂巨震全球市场，全球股指大幅下挫近50%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。</w:t>
      </w:r>
    </w:p>
    <w:p w14:paraId="24F77098" w14:textId="77777777" w:rsidR="008639F3" w:rsidRPr="00E87CB4" w:rsidRDefault="008639F3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18D03C0" w14:textId="6A40D853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换句话说，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这只基金在市场狂热时成立，随后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十年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遇上了两次“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毒打</w:t>
      </w:r>
      <w:r w:rsidR="00A270E1">
        <w:rPr>
          <w:rFonts w:ascii="PingFang TC" w:eastAsia="PingFang TC" w:hAnsi="PingFang TC" w:cs="PingFang TC" w:hint="eastAsia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1C421D2" w14:textId="77777777" w:rsidR="008639F3" w:rsidRPr="00E87CB4" w:rsidRDefault="008639F3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9D5C712" w14:textId="69565B6C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从成立到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2010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年这段时间，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经历了过山车一般的市场，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累计回报为负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AAD26F7" w14:textId="4FBC8EDF" w:rsidR="00A270E1" w:rsidRDefault="00A270E1" w:rsidP="00E87CB4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 w:rsidRPr="00412879">
        <w:rPr>
          <w:rFonts w:ascii="KaiTi" w:eastAsia="KaiTi" w:hAnsi="KaiTi"/>
          <w:noProof/>
        </w:rPr>
        <w:lastRenderedPageBreak/>
        <w:drawing>
          <wp:inline distT="0" distB="0" distL="0" distR="0" wp14:anchorId="0FC1E33F" wp14:editId="141C8D58">
            <wp:extent cx="5943600" cy="3145155"/>
            <wp:effectExtent l="0" t="0" r="0" b="4445"/>
            <wp:docPr id="1134338475" name="Picture 1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8475" name="Picture 1" descr="A graph showing the growth of the stock marke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15B8" w14:textId="77777777" w:rsidR="00A270E1" w:rsidRPr="00A270E1" w:rsidRDefault="00A270E1" w:rsidP="00A270E1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注：基金成立后10年，</w:t>
      </w:r>
      <w:r w:rsidRPr="00A270E1">
        <w:rPr>
          <w:rFonts w:ascii="PingFang TC" w:eastAsia="PingFang TC" w:hAnsi="PingFang TC" w:cs="PingFang TC" w:hint="eastAsia"/>
          <w:kern w:val="0"/>
          <w14:ligatures w14:val="none"/>
        </w:rPr>
        <w:t>基金运行至2010年6月30日，在两次金融危机的摧残下，运行超过10年，累计回报近</w:t>
      </w:r>
      <w:r w:rsidRPr="00A270E1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-6.51%</w:t>
      </w:r>
      <w:r w:rsidRPr="00A270E1">
        <w:rPr>
          <w:rFonts w:ascii="PingFang TC" w:eastAsia="PingFang TC" w:hAnsi="PingFang TC" w:cs="PingFang TC" w:hint="eastAsia"/>
          <w:kern w:val="0"/>
          <w14:ligatures w14:val="none"/>
        </w:rPr>
        <w:t>。</w:t>
      </w:r>
    </w:p>
    <w:p w14:paraId="20064743" w14:textId="026FF93B" w:rsidR="00A270E1" w:rsidRDefault="00A270E1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62250E8F" w14:textId="77777777" w:rsidR="00A270E1" w:rsidRDefault="00A270E1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5B407" w14:textId="77777777" w:rsidR="00A270E1" w:rsidRPr="00E87CB4" w:rsidRDefault="00A270E1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7942F413" w14:textId="0B29001B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直到第二个十年，它才真正开始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展示出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复利增长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的样子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。</w:t>
      </w:r>
    </w:p>
    <w:p w14:paraId="189A6462" w14:textId="21789ABE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如果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1999年1月底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投资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万美元持有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到25年8月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，净值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也达到了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43,000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多美元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。</w:t>
      </w:r>
    </w:p>
    <w:p w14:paraId="19B9449D" w14:textId="1A128EC6" w:rsidR="00A270E1" w:rsidRPr="00E87CB4" w:rsidRDefault="00A270E1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12879">
        <w:rPr>
          <w:rFonts w:ascii="KaiTi" w:eastAsia="KaiTi" w:hAnsi="KaiTi"/>
          <w:noProof/>
        </w:rPr>
        <w:drawing>
          <wp:inline distT="0" distB="0" distL="0" distR="0" wp14:anchorId="54FC1313" wp14:editId="18E8DB63">
            <wp:extent cx="5943600" cy="3167380"/>
            <wp:effectExtent l="0" t="0" r="0" b="0"/>
            <wp:docPr id="808180327" name="Picture 1" descr="A grap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0327" name="Picture 1" descr="A graph of a stock marke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29B6" w14:textId="77777777" w:rsidR="00E87CB4" w:rsidRPr="00E87CB4" w:rsidRDefault="00871A05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A05">
        <w:rPr>
          <w:rFonts w:ascii="Times New Roman" w:eastAsia="Times New Roman" w:hAnsi="Times New Roman" w:cs="Times New Roman"/>
          <w:noProof/>
          <w:kern w:val="0"/>
        </w:rPr>
        <w:pict w14:anchorId="47B81D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E3ED5B" w14:textId="77777777" w:rsidR="00E87CB4" w:rsidRPr="00E87CB4" w:rsidRDefault="00E87CB4" w:rsidP="00E8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lastRenderedPageBreak/>
        <w:t>二、不是管理不行，而是</w:t>
      </w:r>
      <w:r w:rsidRPr="00E8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生不逢时</w:t>
      </w:r>
      <w:r w:rsidRPr="00E8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7FE5D1B5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A270E1">
        <w:rPr>
          <w:rFonts w:ascii="PingFang TC" w:eastAsia="PingFang TC" w:hAnsi="PingFang TC" w:cs="PingFang TC" w:hint="eastAsia"/>
          <w:kern w:val="0"/>
          <w14:ligatures w14:val="none"/>
        </w:rPr>
        <w:t>由于年化收益率公式中，早期的负回报需要很长的时间去摊薄，基金成立以来经历的两次股灾一直压制了长期年化回报。</w:t>
      </w:r>
    </w:p>
    <w:p w14:paraId="2EAB138D" w14:textId="77777777" w:rsidR="0078125E" w:rsidRPr="00A270E1" w:rsidRDefault="0078125E" w:rsidP="0078125E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7419D95E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A270E1">
        <w:rPr>
          <w:rFonts w:ascii="PingFang TC" w:eastAsia="PingFang TC" w:hAnsi="PingFang TC" w:cs="PingFang TC" w:hint="eastAsia"/>
          <w:kern w:val="0"/>
          <w14:ligatures w14:val="none"/>
        </w:rPr>
        <w:t>这就是所谓的 “时间成本”：越早成立的产品，如果在早期遇到重大熊市，哪怕后期表现不错，长期年化都会被拉低。</w:t>
      </w:r>
    </w:p>
    <w:p w14:paraId="1EB4E07D" w14:textId="77777777" w:rsidR="0078125E" w:rsidRDefault="0078125E" w:rsidP="0078125E">
      <w:pPr>
        <w:spacing w:after="10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1C14E01F" w14:textId="77777777" w:rsidR="0078125E" w:rsidRPr="00E87CB4" w:rsidRDefault="0078125E" w:rsidP="0078125E">
      <w:pPr>
        <w:spacing w:after="10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早期的深度回撤，需要更长的时间去摊平</w:t>
      </w:r>
      <w:r w:rsidRPr="00E87CB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67E6CE64" w14:textId="77777777" w:rsidR="0078125E" w:rsidRPr="00A270E1" w:rsidRDefault="0078125E" w:rsidP="0078125E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1C88B6F6" w14:textId="77777777" w:rsidR="0078125E" w:rsidRPr="00A270E1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A270E1">
        <w:rPr>
          <w:rFonts w:ascii="PingFang TC" w:eastAsia="PingFang TC" w:hAnsi="PingFang TC" w:cs="PingFang TC" w:hint="eastAsia"/>
          <w:kern w:val="0"/>
          <w14:ligatures w14:val="none"/>
        </w:rPr>
        <w:t>为什么15年、10年、5年回报相近？因为这些窗口的起点都在 2010年以后，已经甩开了过往两次历史包袱，是在同一起跑线上比较。从2010年往后，基金与指数的表现差距几乎消失 → 所以这几段期间的年化回报趋同。</w:t>
      </w:r>
    </w:p>
    <w:p w14:paraId="43DFACAC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76F009E3" w14:textId="77777777" w:rsidR="0078125E" w:rsidRPr="00E87CB4" w:rsidRDefault="0078125E" w:rsidP="007812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尽管自成立起到现在，年化收益率看上去仅接近6%，不是特别性感。但深入历史后，你会发现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这是在两次全球股灾的</w:t>
      </w:r>
      <w:r>
        <w:rPr>
          <w:rFonts w:ascii="PingFang TC" w:eastAsia="PingFang TC" w:hAnsi="PingFang TC" w:cs="PingFang TC" w:hint="eastAsia"/>
          <w:kern w:val="0"/>
          <w14:ligatures w14:val="none"/>
        </w:rPr>
        <w:t>重挫之后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，一步步爬出来的</w:t>
      </w:r>
      <w:r>
        <w:rPr>
          <w:rFonts w:ascii="PingFang TC" w:eastAsia="PingFang TC" w:hAnsi="PingFang TC" w:cs="PingFang TC" w:hint="eastAsia"/>
          <w:kern w:val="0"/>
          <w14:ligatures w14:val="none"/>
        </w:rPr>
        <w:t>年化复利收益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1B84DA3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46874FF0" w14:textId="77777777" w:rsidR="0078125E" w:rsidRPr="00A270E1" w:rsidRDefault="0078125E" w:rsidP="007812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一支成立在泡沫期的基金，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熬过两场世纪级危机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，</w:t>
      </w:r>
      <w:r>
        <w:rPr>
          <w:rFonts w:ascii="PingFang TC" w:eastAsia="PingFang TC" w:hAnsi="PingFang TC" w:cs="PingFang TC" w:hint="eastAsia"/>
          <w:kern w:val="0"/>
          <w14:ligatures w14:val="none"/>
        </w:rPr>
        <w:t>依然可以再创新高，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本身已经</w:t>
      </w:r>
      <w:r>
        <w:rPr>
          <w:rFonts w:ascii="PingFang TC" w:eastAsia="PingFang TC" w:hAnsi="PingFang TC" w:cs="PingFang TC" w:hint="eastAsia"/>
          <w:kern w:val="0"/>
          <w14:ligatures w14:val="none"/>
        </w:rPr>
        <w:t>佐证了长期投资穿越周期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的力量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0128F6A" w14:textId="77777777" w:rsidR="0078125E" w:rsidRPr="00E87CB4" w:rsidRDefault="0078125E" w:rsidP="0078125E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35B5DFB" w14:textId="77777777" w:rsidR="00E87CB4" w:rsidRPr="00E87CB4" w:rsidRDefault="00871A05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A05">
        <w:rPr>
          <w:rFonts w:ascii="Times New Roman" w:eastAsia="Times New Roman" w:hAnsi="Times New Roman" w:cs="Times New Roman"/>
          <w:noProof/>
          <w:kern w:val="0"/>
        </w:rPr>
        <w:pict w14:anchorId="7D48BC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313BFB" w14:textId="77777777" w:rsidR="00E87CB4" w:rsidRPr="00E87CB4" w:rsidRDefault="00E87CB4" w:rsidP="00E8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三、同样的逻辑，不同的命</w:t>
      </w:r>
      <w:r w:rsidRPr="00E87CB4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运</w:t>
      </w:r>
    </w:p>
    <w:p w14:paraId="32D6BED6" w14:textId="3B59A2D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有意思的是，一只采用相似策略、</w:t>
      </w:r>
      <w:r w:rsidR="0078125E">
        <w:rPr>
          <w:rFonts w:ascii="PingFang TC" w:eastAsia="PingFang TC" w:hAnsi="PingFang TC" w:cs="PingFang TC" w:hint="eastAsia"/>
          <w:kern w:val="0"/>
          <w14:ligatures w14:val="none"/>
        </w:rPr>
        <w:t>对标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全球指数</w:t>
      </w:r>
      <w:r w:rsidR="0078125E">
        <w:rPr>
          <w:rFonts w:ascii="PingFang TC" w:eastAsia="PingFang TC" w:hAnsi="PingFang TC" w:cs="PingFang TC" w:hint="eastAsia"/>
          <w:kern w:val="0"/>
          <w14:ligatures w14:val="none"/>
        </w:rPr>
        <w:t>ACWI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在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2008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年才成立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363E97C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它错过了互联网泡沫，只经历了一次金融危机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B0140C4" w14:textId="77777777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截至目前，这只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的长期年化约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7%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多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489AAD5" w14:textId="77777777" w:rsidR="0078125E" w:rsidRDefault="0078125E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4615B933" w14:textId="77777777" w:rsidR="0078125E" w:rsidRDefault="0078125E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4F02F036" w14:textId="77777777" w:rsidR="00DD7F65" w:rsidRDefault="00DD7F65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54291E37" w14:textId="77777777" w:rsidR="00DD7F65" w:rsidRDefault="00DD7F65" w:rsidP="00E87CB4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4AF14E42" w14:textId="77777777" w:rsidR="0078125E" w:rsidRPr="00412879" w:rsidRDefault="0078125E" w:rsidP="0078125E">
      <w:pPr>
        <w:rPr>
          <w:rFonts w:ascii="KaiTi" w:eastAsia="KaiTi" w:hAnsi="KaiTi"/>
          <w:b/>
          <w:bCs/>
        </w:rPr>
      </w:pPr>
      <w:r w:rsidRPr="00412879">
        <w:rPr>
          <w:rFonts w:ascii="KaiTi" w:eastAsia="KaiTi" w:hAnsi="KaiTi" w:hint="eastAsia"/>
          <w:b/>
          <w:bCs/>
        </w:rPr>
        <w:t>对标指数</w:t>
      </w:r>
      <w:r w:rsidRPr="00412879">
        <w:rPr>
          <w:rFonts w:ascii="KaiTi" w:eastAsia="KaiTi" w:hAnsi="KaiTi"/>
          <w:b/>
          <w:bCs/>
        </w:rPr>
        <w:t>iShares MSCI ACWI UCITS ETF</w:t>
      </w:r>
      <w:r w:rsidRPr="00412879">
        <w:rPr>
          <w:rFonts w:ascii="KaiTi" w:eastAsia="KaiTi" w:hAnsi="KaiTi" w:hint="eastAsia"/>
          <w:b/>
          <w:bCs/>
        </w:rPr>
        <w:t>历史业绩表现</w:t>
      </w:r>
      <w:r>
        <w:rPr>
          <w:rFonts w:ascii="KaiTi" w:eastAsia="KaiTi" w:hAnsi="KaiTi" w:hint="eastAsia"/>
          <w:b/>
          <w:bCs/>
        </w:rPr>
        <w:t>（截止2025年6月30日）</w:t>
      </w:r>
    </w:p>
    <w:p w14:paraId="4F7ACFCD" w14:textId="26540C06" w:rsidR="0078125E" w:rsidRPr="00E87CB4" w:rsidRDefault="0078125E" w:rsidP="0078125E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12879">
        <w:rPr>
          <w:rFonts w:ascii="KaiTi" w:eastAsia="KaiTi" w:hAnsi="KaiTi"/>
          <w:noProof/>
        </w:rPr>
        <w:drawing>
          <wp:inline distT="0" distB="0" distL="0" distR="0" wp14:anchorId="015E180D" wp14:editId="11CD6458">
            <wp:extent cx="5943600" cy="2616200"/>
            <wp:effectExtent l="0" t="0" r="0" b="0"/>
            <wp:docPr id="168881189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1899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8FAB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同样逻辑，不同命运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——</w:t>
      </w:r>
    </w:p>
    <w:p w14:paraId="617A859C" w14:textId="0452DF83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差别只</w:t>
      </w:r>
      <w:r w:rsidR="0078125E">
        <w:rPr>
          <w:rFonts w:ascii="PingFang TC" w:eastAsia="PingFang TC" w:hAnsi="PingFang TC" w:cs="PingFang TC" w:hint="eastAsia"/>
          <w:kern w:val="0"/>
          <w14:ligatures w14:val="none"/>
        </w:rPr>
        <w:t>是因为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出生时点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9849A4D" w14:textId="77777777" w:rsidR="0078125E" w:rsidRDefault="0078125E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0729D6FF" w14:textId="758C8015" w:rsidR="0078125E" w:rsidRDefault="0078125E" w:rsidP="00E87CB4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但我相信，如何将持有时间再拉长10年回头来看，两个基金的表现其实会越来越接近。</w:t>
      </w:r>
    </w:p>
    <w:p w14:paraId="145409C8" w14:textId="77777777" w:rsidR="0078125E" w:rsidRPr="00E87CB4" w:rsidRDefault="0078125E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7AC87F15" w14:textId="77777777" w:rsidR="00E87CB4" w:rsidRPr="00E87CB4" w:rsidRDefault="00871A05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A05">
        <w:rPr>
          <w:rFonts w:ascii="Times New Roman" w:eastAsia="Times New Roman" w:hAnsi="Times New Roman" w:cs="Times New Roman"/>
          <w:noProof/>
          <w:kern w:val="0"/>
        </w:rPr>
        <w:pict w14:anchorId="6A6B0D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C04349" w14:textId="57B95526" w:rsidR="00E87CB4" w:rsidRPr="00E87CB4" w:rsidRDefault="00E87CB4" w:rsidP="00E8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CB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四、</w:t>
      </w:r>
      <w:r w:rsidR="00664308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投资的启示</w:t>
      </w:r>
    </w:p>
    <w:p w14:paraId="02E22EB3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从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2010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年以后，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“F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基金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的表现一直优于对照指数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A264126" w14:textId="21E96E6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它的投资框架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全球分散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长期持有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——</w:t>
      </w:r>
    </w:p>
    <w:p w14:paraId="689E2A84" w14:textId="77777777" w:rsidR="00E87CB4" w:rsidRDefault="00E87CB4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在长周期中展现出极强的复原力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0DA06D6" w14:textId="12ED240B" w:rsidR="00664308" w:rsidRDefault="00664308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5CC94732" w14:textId="09041839" w:rsidR="00664308" w:rsidRPr="00E87CB4" w:rsidRDefault="00664308" w:rsidP="00E87CB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但是F基金的历史也同样给予我们有价值的启示：</w:t>
      </w:r>
    </w:p>
    <w:p w14:paraId="655132F9" w14:textId="77777777" w:rsidR="0078125E" w:rsidRPr="0078125E" w:rsidRDefault="0078125E" w:rsidP="0078125E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66757466" w14:textId="66057E39" w:rsidR="0078125E" w:rsidRPr="0078125E" w:rsidRDefault="0078125E" w:rsidP="00664308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 w:rsidRPr="0078125E">
        <w:rPr>
          <w:rFonts w:ascii="PingFang TC" w:eastAsia="PingFang TC" w:hAnsi="PingFang TC" w:cs="PingFang TC"/>
          <w:b/>
          <w:bCs/>
          <w:kern w:val="0"/>
          <w14:ligatures w14:val="none"/>
        </w:rPr>
        <w:t>长期投资</w:t>
      </w:r>
      <w:r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的起点</w:t>
      </w:r>
      <w:r w:rsidRPr="0078125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也要</w:t>
      </w:r>
      <w:r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考虑估值</w:t>
      </w:r>
    </w:p>
    <w:p w14:paraId="7388F710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42FF5B20" w14:textId="551075ED" w:rsidR="0078125E" w:rsidRP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78125E">
        <w:rPr>
          <w:rFonts w:ascii="PingFang TC" w:eastAsia="PingFang TC" w:hAnsi="PingFang TC" w:cs="PingFang TC"/>
          <w:kern w:val="0"/>
          <w14:ligatures w14:val="none"/>
        </w:rPr>
        <w:t>风险不在产品，而在起点。如果投资开局正好遇到牛市末期，可能要很长时间才能“回本”。</w:t>
      </w:r>
      <w:r w:rsidRPr="0078125E">
        <w:rPr>
          <w:rFonts w:ascii="PingFang TC" w:eastAsia="PingFang TC" w:hAnsi="PingFang TC" w:cs="PingFang TC" w:hint="eastAsia"/>
          <w:kern w:val="0"/>
          <w14:ligatures w14:val="none"/>
        </w:rPr>
        <w:t>所以投入时的估值其实挺重要的。</w:t>
      </w:r>
    </w:p>
    <w:p w14:paraId="5957ADF2" w14:textId="1F47A550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F</w:t>
      </w:r>
      <w:r w:rsidRPr="0078125E">
        <w:rPr>
          <w:rFonts w:ascii="PingFang TC" w:eastAsia="PingFang TC" w:hAnsi="PingFang TC" w:cs="PingFang TC" w:hint="eastAsia"/>
          <w:kern w:val="0"/>
          <w14:ligatures w14:val="none"/>
        </w:rPr>
        <w:t>基金自成立起仅有约6%的年化回报，并不是因为其收取了过高的管理费率造成，而是因为其计算区间涵盖了两次股灾，在长达10年的时间里没有创造正收益，严重拖累了年化收益；</w:t>
      </w:r>
    </w:p>
    <w:p w14:paraId="30784CB2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6626C204" w14:textId="77777777" w:rsidR="00DD7F65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对于有一大笔资金想要投资的朋友，通常我们可以采取一个简单的方法就可以大幅降低买到泡沫的风险：</w:t>
      </w:r>
    </w:p>
    <w:p w14:paraId="02F94B45" w14:textId="1CF51310" w:rsidR="00DD7F65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将资金分成3-5份，年度定投，</w:t>
      </w:r>
      <w:r w:rsidRPr="00DD7F6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享受到平均成本法Dollar-Cost Averaging</w:t>
      </w:r>
      <w:r>
        <w:rPr>
          <w:rFonts w:ascii="PingFang TC" w:eastAsia="PingFang TC" w:hAnsi="PingFang TC" w:cs="PingFang TC" w:hint="eastAsia"/>
          <w:kern w:val="0"/>
          <w14:ligatures w14:val="none"/>
        </w:rPr>
        <w:t>的好处</w:t>
      </w:r>
      <w:r w:rsidR="00DD7F65">
        <w:rPr>
          <w:rFonts w:ascii="PingFang TC" w:eastAsia="PingFang TC" w:hAnsi="PingFang TC" w:cs="PingFang TC" w:hint="eastAsia"/>
          <w:kern w:val="0"/>
          <w14:ligatures w14:val="none"/>
        </w:rPr>
        <w:t>：</w:t>
      </w:r>
    </w:p>
    <w:p w14:paraId="32D84509" w14:textId="77777777" w:rsidR="00DD7F65" w:rsidRDefault="00DD7F65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1F7F4B1F" w14:textId="30C93A8F" w:rsidR="0078125E" w:rsidRDefault="00654206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以分批投资方式进入市场，降低单一时间点投入的风险，让投资者不必「等」或「猜」所谓适当时机，不需去纠结何时进入</w:t>
      </w:r>
      <w:r w:rsidRPr="0065420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8FACC1A" w14:textId="77777777" w:rsidR="00654206" w:rsidRDefault="00654206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64A3217C" w14:textId="60031029" w:rsidR="00654206" w:rsidRDefault="00654206" w:rsidP="0078125E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这也是为什么保险公司通常希望客户在配置储蓄分红险时，选择5年的缴费期，降低了保险公司投资的难度和风险</w:t>
      </w:r>
      <w:r w:rsidR="00DD7F65">
        <w:rPr>
          <w:rFonts w:ascii="PingFang TC" w:eastAsia="PingFang TC" w:hAnsi="PingFang TC" w:cs="PingFang TC" w:hint="eastAsia"/>
          <w:kern w:val="0"/>
          <w14:ligatures w14:val="none"/>
        </w:rPr>
        <w:t>，对于保单的表现来讲，也会更加</w:t>
      </w:r>
      <w:r w:rsidR="00DD7F65">
        <w:rPr>
          <w:rFonts w:ascii="Microsoft JhengHei" w:eastAsia="Microsoft JhengHei" w:hAnsi="Microsoft JhengHei" w:cs="Microsoft JhengHei" w:hint="eastAsia"/>
          <w:kern w:val="0"/>
          <w14:ligatures w14:val="none"/>
        </w:rPr>
        <w:t>稳定。</w:t>
      </w:r>
    </w:p>
    <w:p w14:paraId="6917BEB9" w14:textId="77777777" w:rsid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13B8F628" w14:textId="77777777" w:rsidR="0078125E" w:rsidRDefault="0078125E" w:rsidP="00664308">
      <w:pPr>
        <w:spacing w:after="0" w:line="240" w:lineRule="auto"/>
        <w:rPr>
          <w:rFonts w:ascii="PingFang TC" w:eastAsia="PingFang TC" w:hAnsi="PingFang TC" w:cs="PingFang TC"/>
          <w:b/>
          <w:bCs/>
          <w:kern w:val="0"/>
          <w14:ligatures w14:val="none"/>
        </w:rPr>
      </w:pPr>
      <w:r w:rsidRPr="0078125E">
        <w:rPr>
          <w:rFonts w:ascii="PingFang TC" w:eastAsia="PingFang TC" w:hAnsi="PingFang TC" w:cs="PingFang TC"/>
          <w:b/>
          <w:bCs/>
          <w:kern w:val="0"/>
          <w14:ligatures w14:val="none"/>
        </w:rPr>
        <w:t>全球配置的逻辑依然成立</w:t>
      </w:r>
    </w:p>
    <w:p w14:paraId="675D694D" w14:textId="77777777" w:rsidR="00664308" w:rsidRPr="0078125E" w:rsidRDefault="00664308" w:rsidP="00664308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39C81CD2" w14:textId="10DD73EC" w:rsidR="0078125E" w:rsidRDefault="00664308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F</w:t>
      </w:r>
      <w:r w:rsidR="0078125E" w:rsidRPr="0078125E">
        <w:rPr>
          <w:rFonts w:ascii="PingFang TC" w:eastAsia="PingFang TC" w:hAnsi="PingFang TC" w:cs="PingFang TC"/>
          <w:kern w:val="0"/>
          <w14:ligatures w14:val="none"/>
        </w:rPr>
        <w:t>基金能够长期跑赢对标指数，说明其结构是有效的，真正的问题只是时间窗口的偶然性。</w:t>
      </w:r>
    </w:p>
    <w:p w14:paraId="255EAE5C" w14:textId="77777777" w:rsidR="00664308" w:rsidRPr="0078125E" w:rsidRDefault="00664308" w:rsidP="0078125E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4D067849" w14:textId="77777777" w:rsidR="0078125E" w:rsidRP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78125E">
        <w:rPr>
          <w:rFonts w:ascii="PingFang TC" w:eastAsia="PingFang TC" w:hAnsi="PingFang TC" w:cs="PingFang TC" w:hint="eastAsia"/>
          <w:kern w:val="0"/>
          <w14:ligatures w14:val="none"/>
        </w:rPr>
        <w:t>基金开局遇上两次股灾，但长期年化回报依然接近6%，其实也侧面验证了长期持有股权的回报其实是非常不错的，而且持有时间越长，长期年化收益越贴近历史均值。</w:t>
      </w:r>
    </w:p>
    <w:p w14:paraId="0C4153C0" w14:textId="77777777" w:rsidR="0078125E" w:rsidRP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4136AE50" w14:textId="77777777" w:rsidR="0078125E" w:rsidRDefault="0078125E" w:rsidP="00664308">
      <w:pPr>
        <w:spacing w:after="0" w:line="240" w:lineRule="auto"/>
        <w:rPr>
          <w:rFonts w:ascii="PingFang TC" w:eastAsia="PingFang TC" w:hAnsi="PingFang TC" w:cs="PingFang TC"/>
          <w:b/>
          <w:bCs/>
          <w:kern w:val="0"/>
          <w14:ligatures w14:val="none"/>
        </w:rPr>
      </w:pPr>
      <w:r w:rsidRPr="0078125E">
        <w:rPr>
          <w:rFonts w:ascii="PingFang TC" w:eastAsia="PingFang TC" w:hAnsi="PingFang TC" w:cs="PingFang TC"/>
          <w:b/>
          <w:bCs/>
          <w:kern w:val="0"/>
          <w14:ligatures w14:val="none"/>
        </w:rPr>
        <w:t>资产配置与风险对冲的重要性</w:t>
      </w:r>
    </w:p>
    <w:p w14:paraId="3AB4493F" w14:textId="77777777" w:rsidR="00664308" w:rsidRPr="0078125E" w:rsidRDefault="00664308" w:rsidP="00664308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69CA0A6D" w14:textId="77777777" w:rsidR="0078125E" w:rsidRPr="0078125E" w:rsidRDefault="0078125E" w:rsidP="0078125E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78125E">
        <w:rPr>
          <w:rFonts w:ascii="PingFang TC" w:eastAsia="PingFang TC" w:hAnsi="PingFang TC" w:cs="PingFang TC"/>
          <w:kern w:val="0"/>
          <w14:ligatures w14:val="none"/>
        </w:rPr>
        <w:t>如果在2000年和2008年这样的周期里，投资组合中有一定比例的债券配置，哪怕是最简单的股债平衡，也能显著降低“时间成本”，加快回本速度。</w:t>
      </w:r>
    </w:p>
    <w:p w14:paraId="10B755C6" w14:textId="77777777" w:rsidR="0078125E" w:rsidRDefault="0078125E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29CBF641" w14:textId="77777777" w:rsidR="0078125E" w:rsidRDefault="0078125E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3D4BFEDF" w14:textId="77777777" w:rsidR="00664308" w:rsidRDefault="00664308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1697FB1F" w14:textId="77777777" w:rsidR="00664308" w:rsidRDefault="00664308" w:rsidP="00E87CB4">
      <w:pPr>
        <w:spacing w:after="0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396E57BD" w14:textId="77777777" w:rsidR="00664308" w:rsidRDefault="00664308" w:rsidP="00E87CB4">
      <w:pPr>
        <w:spacing w:after="0" w:line="240" w:lineRule="auto"/>
        <w:rPr>
          <w:rFonts w:ascii="PingFang TC" w:eastAsia="PingFang TC" w:hAnsi="PingFang TC" w:cs="PingFang TC" w:hint="eastAsia"/>
          <w:kern w:val="0"/>
          <w14:ligatures w14:val="none"/>
        </w:rPr>
      </w:pPr>
    </w:p>
    <w:p w14:paraId="59CBA1C9" w14:textId="122E1BF6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D985C" w14:textId="58FFA282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“F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基金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的长期年化</w:t>
      </w:r>
      <w:r w:rsidR="00664308">
        <w:rPr>
          <w:rFonts w:ascii="PingFang TC" w:eastAsia="PingFang TC" w:hAnsi="PingFang TC" w:cs="PingFang TC" w:hint="eastAsia"/>
          <w:kern w:val="0"/>
          <w14:ligatures w14:val="none"/>
        </w:rPr>
        <w:t>不到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6%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22FAD545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不是因为它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不行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0BD4755C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而是因为它生不逢时</w:t>
      </w:r>
      <w:r w:rsidRPr="00E87CB4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出生在泡沫顶点，成长在危机周期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0A71439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但时间最终给了它回报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4BFCBB0" w14:textId="63021D48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两次泡沫、二十六年、</w:t>
      </w:r>
      <w:r w:rsidR="008639F3">
        <w:rPr>
          <w:rFonts w:ascii="PingFang TC" w:eastAsia="PingFang TC" w:hAnsi="PingFang TC" w:cs="PingFang TC" w:hint="eastAsia"/>
          <w:kern w:val="0"/>
          <w14:ligatures w14:val="none"/>
        </w:rPr>
        <w:t>3</w:t>
      </w: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倍收益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CF5F7E0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这正是长期投资最真实的样子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3333D84" w14:textId="77777777" w:rsidR="00E87CB4" w:rsidRPr="00E87CB4" w:rsidRDefault="00E87CB4" w:rsidP="00E87CB4">
      <w:pPr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投资的确定性，不在预测行情，而在分散与耐心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FCBD56F" w14:textId="77777777" w:rsidR="00E87CB4" w:rsidRPr="00E87CB4" w:rsidRDefault="00E87CB4" w:rsidP="00E8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CB4">
        <w:rPr>
          <w:rFonts w:ascii="PingFang TC" w:eastAsia="PingFang TC" w:hAnsi="PingFang TC" w:cs="PingFang TC" w:hint="eastAsia"/>
          <w:kern w:val="0"/>
          <w14:ligatures w14:val="none"/>
        </w:rPr>
        <w:t>不是暴富的故事，而是活下来的故事</w:t>
      </w:r>
      <w:r w:rsidRPr="00E87CB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21CEF40" w14:textId="77777777" w:rsidR="00E87CB4" w:rsidRDefault="00E87CB4">
      <w:pPr>
        <w:rPr>
          <w:rFonts w:hint="eastAsia"/>
        </w:rPr>
      </w:pPr>
    </w:p>
    <w:sectPr w:rsidR="00E87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06829"/>
    <w:multiLevelType w:val="multilevel"/>
    <w:tmpl w:val="8110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F14AF"/>
    <w:multiLevelType w:val="multilevel"/>
    <w:tmpl w:val="3E20C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A1C15"/>
    <w:multiLevelType w:val="multilevel"/>
    <w:tmpl w:val="17F2E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96B04"/>
    <w:multiLevelType w:val="multilevel"/>
    <w:tmpl w:val="B3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670B2"/>
    <w:multiLevelType w:val="multilevel"/>
    <w:tmpl w:val="7D92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874742">
    <w:abstractNumId w:val="0"/>
  </w:num>
  <w:num w:numId="2" w16cid:durableId="404030692">
    <w:abstractNumId w:val="2"/>
  </w:num>
  <w:num w:numId="3" w16cid:durableId="138814496">
    <w:abstractNumId w:val="1"/>
  </w:num>
  <w:num w:numId="4" w16cid:durableId="458299584">
    <w:abstractNumId w:val="3"/>
  </w:num>
  <w:num w:numId="5" w16cid:durableId="476806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B4"/>
    <w:rsid w:val="00211A66"/>
    <w:rsid w:val="00654206"/>
    <w:rsid w:val="00664308"/>
    <w:rsid w:val="0078125E"/>
    <w:rsid w:val="008639F3"/>
    <w:rsid w:val="00871A05"/>
    <w:rsid w:val="008957EC"/>
    <w:rsid w:val="009A4826"/>
    <w:rsid w:val="00A270E1"/>
    <w:rsid w:val="00A9129B"/>
    <w:rsid w:val="00BF36B9"/>
    <w:rsid w:val="00DD7F65"/>
    <w:rsid w:val="00E8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059E"/>
  <w15:chartTrackingRefBased/>
  <w15:docId w15:val="{50DC6F26-F5D9-554A-9A39-19B81740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B4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E8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125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2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0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8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5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7</cp:revision>
  <dcterms:created xsi:type="dcterms:W3CDTF">2025-10-22T00:24:00Z</dcterms:created>
  <dcterms:modified xsi:type="dcterms:W3CDTF">2025-10-22T01:10:00Z</dcterms:modified>
</cp:coreProperties>
</file>