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890E3D" w14:textId="026E9AAD" w:rsidR="00436C20" w:rsidRPr="00A07C6F" w:rsidRDefault="00436C20" w:rsidP="00436C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旺达财智客户月报（</w:t>
      </w:r>
      <w:r w:rsidRPr="00A07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2025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年</w:t>
      </w:r>
      <w:r w:rsidR="001E020F">
        <w:rPr>
          <w:rFonts w:ascii="Times New Roman" w:eastAsia="Times New Roman" w:hAnsi="Times New Roman" w:cs="Times New Roman" w:hint="eastAsia"/>
          <w:b/>
          <w:bCs/>
          <w:kern w:val="0"/>
          <w:sz w:val="36"/>
          <w:szCs w:val="36"/>
          <w14:ligatures w14:val="none"/>
        </w:rPr>
        <w:t>10</w:t>
      </w:r>
      <w:r w:rsidRPr="00A07C6F">
        <w:rPr>
          <w:rFonts w:ascii="PingFang TC" w:eastAsia="PingFang TC" w:hAnsi="PingFang TC" w:cs="PingFang TC" w:hint="eastAsia"/>
          <w:b/>
          <w:bCs/>
          <w:kern w:val="0"/>
          <w:sz w:val="36"/>
          <w:szCs w:val="36"/>
          <w14:ligatures w14:val="none"/>
        </w:rPr>
        <w:t>月</w:t>
      </w:r>
      <w:r w:rsidRPr="00A07C6F">
        <w:rPr>
          <w:rFonts w:ascii="PingFang TC" w:eastAsia="PingFang TC" w:hAnsi="PingFang TC" w:cs="PingFang TC"/>
          <w:b/>
          <w:bCs/>
          <w:kern w:val="0"/>
          <w:sz w:val="36"/>
          <w:szCs w:val="36"/>
          <w14:ligatures w14:val="none"/>
        </w:rPr>
        <w:t>）</w:t>
      </w:r>
    </w:p>
    <w:p w14:paraId="14254A54" w14:textId="15A36612" w:rsidR="005A417E" w:rsidRDefault="005A417E"/>
    <w:p w14:paraId="7D8E9ADA" w14:textId="77777777" w:rsidR="00436C20" w:rsidRPr="00531EC5" w:rsidRDefault="00436C20" w:rsidP="00436C20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531EC5">
        <w:rPr>
          <w:rFonts w:ascii="KaiTi" w:eastAsia="KaiTi" w:hAnsi="KaiTi" w:cs="PingFang TC"/>
          <w:kern w:val="0"/>
          <w14:ligatures w14:val="none"/>
        </w:rPr>
        <w:t>亲爱的朋友们，大家好！</w:t>
      </w:r>
    </w:p>
    <w:p w14:paraId="2C00FCFA" w14:textId="77777777" w:rsidR="0006499F" w:rsidRDefault="0006499F" w:rsidP="0006499F">
      <w:pPr>
        <w:pStyle w:val="p1"/>
        <w:rPr>
          <w:rFonts w:ascii="KaiTi" w:eastAsia="KaiTi" w:hAnsi="KaiTi" w:cs="PingFang TC"/>
        </w:rPr>
      </w:pPr>
    </w:p>
    <w:p w14:paraId="307724FA" w14:textId="77777777" w:rsidR="0006499F" w:rsidRDefault="0006499F" w:rsidP="004545E5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  <w:r w:rsidRPr="0006499F">
        <w:rPr>
          <w:rFonts w:ascii="KaiTi" w:eastAsia="KaiTi" w:hAnsi="KaiTi" w:cs="PingFang TC" w:hint="eastAsia"/>
          <w:kern w:val="0"/>
          <w14:ligatures w14:val="none"/>
        </w:rPr>
        <w:t>霜降已至，北方许多地区已然入冬，南方虽尚余暖意，也逐渐进入一年中最沉静的时节。在这样的季节里，市场却并不“沉静”——10 月的全球金融市场经历了由寒转暖的剧烈变化：</w:t>
      </w:r>
    </w:p>
    <w:p w14:paraId="5F3A6280" w14:textId="0273D320" w:rsidR="0006499F" w:rsidRDefault="0006499F" w:rsidP="004545E5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  <w:r w:rsidRPr="0006499F">
        <w:rPr>
          <w:rFonts w:ascii="KaiTi" w:eastAsia="KaiTi" w:hAnsi="KaiTi" w:cs="PingFang TC" w:hint="eastAsia"/>
          <w:kern w:val="0"/>
          <w14:ligatures w14:val="none"/>
        </w:rPr>
        <w:t>从月初的避险情绪升温，到中下旬中美关系缓和、通胀数据回落、政策预期转向，风险资产迎来一波明显的修复行情。</w:t>
      </w:r>
    </w:p>
    <w:p w14:paraId="346E31A8" w14:textId="77777777" w:rsidR="0006499F" w:rsidRDefault="0006499F" w:rsidP="004545E5">
      <w:pPr>
        <w:spacing w:before="100" w:beforeAutospacing="1" w:after="100" w:afterAutospacing="1" w:line="240" w:lineRule="auto"/>
        <w:outlineLvl w:val="1"/>
        <w:rPr>
          <w:rFonts w:ascii="KaiTi" w:eastAsia="KaiTi" w:hAnsi="KaiTi" w:cs="PingFang TC"/>
          <w:kern w:val="0"/>
          <w14:ligatures w14:val="none"/>
        </w:rPr>
      </w:pPr>
    </w:p>
    <w:p w14:paraId="306B6455" w14:textId="5DE1A46F" w:rsidR="004545E5" w:rsidRPr="00436C20" w:rsidRDefault="004545E5" w:rsidP="004545E5">
      <w:pPr>
        <w:spacing w:before="100" w:beforeAutospacing="1" w:after="100" w:afterAutospacing="1" w:line="240" w:lineRule="auto"/>
        <w:outlineLvl w:val="1"/>
        <w:rPr>
          <w:rFonts w:ascii="KaiTi" w:eastAsia="KaiTi" w:hAnsi="KaiTi" w:cs="Times New Roman"/>
          <w:b/>
          <w:bCs/>
          <w:kern w:val="0"/>
          <w:sz w:val="36"/>
          <w:szCs w:val="36"/>
          <w14:ligatures w14:val="none"/>
        </w:rPr>
      </w:pPr>
      <w:r w:rsidRPr="00436C20">
        <w:rPr>
          <w:rFonts w:ascii="KaiTi" w:eastAsia="KaiTi" w:hAnsi="KaiTi" w:cs="PingFang TC" w:hint="eastAsia"/>
          <w:b/>
          <w:bCs/>
          <w:kern w:val="0"/>
          <w:sz w:val="36"/>
          <w:szCs w:val="36"/>
          <w14:ligatures w14:val="none"/>
        </w:rPr>
        <w:t>市场观察</w:t>
      </w:r>
    </w:p>
    <w:p w14:paraId="22F4E1BB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F3487E2" w14:textId="2AB1651D" w:rsid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>10 月初，受中美贸易摩擦再度升温影响，市场情绪一度转为悲观。美国宣布对多家中国高科技企业实施新的出口限制，中国则释放出稀土供应收紧的反制信号，令投资者担忧产业链紧张加剧、地缘风险上行。受此影响，全球主要股指短线下挫，避险资产如美债和黄金走强，资金情绪明显转向保守。</w:t>
      </w:r>
    </w:p>
    <w:p w14:paraId="391883A6" w14:textId="77777777" w:rsid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>就在市场对中美关系前景感到悲观之际，10 月中旬双方突然传出积极信号：中美代表团在马来西亚举行闭门会谈，并就一项新的贸易框架达成初步共识。尽管协议细节尚未公开，但会谈基调被普遍解读为“重回建设性沟通轨道”。这一进展迅速缓解了市场对冲突升级的担忧，成为本月风险情绪反转的关键催化剂。</w:t>
      </w:r>
    </w:p>
    <w:p w14:paraId="50F3E158" w14:textId="77777777" w:rsidR="00CA376C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>到了 10 月 27 日晚，美股市场迎来一轮强势反弹。道琼斯指数、标普 500 和纳斯达克均创下阶段性高点，其中科技、金融与出口相关板块领涨。投资者在短短一周内迅速从“防御模式”切换回“风险偏好”，其背后不仅是中美贸易缓和带来的地缘降温，更包含了市场对美联储可能提前降息的乐观预期。</w:t>
      </w:r>
    </w:p>
    <w:p w14:paraId="32E7DE3C" w14:textId="7280C434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>通胀数据显示压力正在减弱，使得“货币政策转向”成为现实讨论的议题，也进一步推高了资产的估值修复空间。</w:t>
      </w:r>
    </w:p>
    <w:p w14:paraId="2BBA38BE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9A3D13E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1909604A" w14:textId="7FD72471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597530">
        <w:rPr>
          <w:rFonts w:ascii="Apple Color Emoji" w:eastAsia="KaiTi" w:hAnsi="Apple Color Emoji" w:cs="Apple Color Emoji"/>
          <w:b/>
          <w:bCs/>
          <w:kern w:val="0"/>
          <w14:ligatures w14:val="none"/>
        </w:rPr>
        <w:t>📌</w:t>
      </w: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 xml:space="preserve"> 被忽视</w:t>
      </w:r>
      <w:r>
        <w:rPr>
          <w:rFonts w:ascii="KaiTi" w:eastAsia="KaiTi" w:hAnsi="KaiTi" w:cs="Times New Roman" w:hint="eastAsia"/>
          <w:b/>
          <w:bCs/>
          <w:kern w:val="0"/>
          <w14:ligatures w14:val="none"/>
        </w:rPr>
        <w:t>的角落</w:t>
      </w:r>
      <w:r w:rsidRPr="00597530">
        <w:rPr>
          <w:rFonts w:ascii="KaiTi" w:eastAsia="KaiTi" w:hAnsi="KaiTi" w:cs="Times New Roman" w:hint="eastAsia"/>
          <w:b/>
          <w:bCs/>
          <w:kern w:val="0"/>
          <w14:ligatures w14:val="none"/>
        </w:rPr>
        <w:t>：</w:t>
      </w: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阿根廷中期选举与制度改革溢价</w:t>
      </w:r>
    </w:p>
    <w:p w14:paraId="17BFB081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35492625" w14:textId="2DF98635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 xml:space="preserve">10 月底，阿根廷举行中期大选，总统米莱（Javier </w:t>
      </w:r>
      <w:proofErr w:type="spellStart"/>
      <w:r w:rsidRPr="00597530">
        <w:rPr>
          <w:rFonts w:ascii="KaiTi" w:eastAsia="KaiTi" w:hAnsi="KaiTi" w:cs="Times New Roman"/>
          <w:kern w:val="0"/>
          <w14:ligatures w14:val="none"/>
        </w:rPr>
        <w:t>Milei</w:t>
      </w:r>
      <w:proofErr w:type="spellEnd"/>
      <w:r w:rsidRPr="00597530">
        <w:rPr>
          <w:rFonts w:ascii="KaiTi" w:eastAsia="KaiTi" w:hAnsi="KaiTi" w:cs="Times New Roman"/>
          <w:kern w:val="0"/>
          <w14:ligatures w14:val="none"/>
        </w:rPr>
        <w:t>）所领导的自由前进党（La Libertad Avanza）在国会取得重大席位突破，显著增强了其推行改革议程的政治基础。</w:t>
      </w:r>
    </w:p>
    <w:p w14:paraId="52492006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kern w:val="0"/>
          <w14:ligatures w14:val="none"/>
        </w:rPr>
        <w:t>米莱主张的核心改革包括：</w:t>
      </w:r>
    </w:p>
    <w:p w14:paraId="5A5E6410" w14:textId="77777777" w:rsidR="00597530" w:rsidRPr="00597530" w:rsidRDefault="00597530" w:rsidP="00597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削减财政开支</w:t>
      </w:r>
      <w:r w:rsidRPr="00597530">
        <w:rPr>
          <w:rFonts w:ascii="KaiTi" w:eastAsia="KaiTi" w:hAnsi="KaiTi" w:cs="Times New Roman"/>
          <w:kern w:val="0"/>
          <w14:ligatures w14:val="none"/>
        </w:rPr>
        <w:t>，关闭多个政府部门，推动“小政府”；</w:t>
      </w:r>
    </w:p>
    <w:p w14:paraId="7231AA80" w14:textId="77777777" w:rsidR="00597530" w:rsidRPr="00597530" w:rsidRDefault="00597530" w:rsidP="00597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放松汇率管制</w:t>
      </w:r>
      <w:r w:rsidRPr="00597530">
        <w:rPr>
          <w:rFonts w:ascii="KaiTi" w:eastAsia="KaiTi" w:hAnsi="KaiTi" w:cs="Times New Roman"/>
          <w:kern w:val="0"/>
          <w14:ligatures w14:val="none"/>
        </w:rPr>
        <w:t>，推动自由市场化改革；</w:t>
      </w:r>
    </w:p>
    <w:p w14:paraId="7666F7E4" w14:textId="77777777" w:rsidR="00597530" w:rsidRPr="00597530" w:rsidRDefault="00597530" w:rsidP="00597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开放资本账户与外资准入</w:t>
      </w:r>
      <w:r w:rsidRPr="00597530">
        <w:rPr>
          <w:rFonts w:ascii="KaiTi" w:eastAsia="KaiTi" w:hAnsi="KaiTi" w:cs="Times New Roman"/>
          <w:kern w:val="0"/>
          <w14:ligatures w14:val="none"/>
        </w:rPr>
        <w:t>，增加阿根廷对全球资本的吸引力；</w:t>
      </w:r>
    </w:p>
    <w:p w14:paraId="6740EEB8" w14:textId="77777777" w:rsidR="00597530" w:rsidRPr="00597530" w:rsidRDefault="00597530" w:rsidP="005975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强化央行独立性</w:t>
      </w:r>
      <w:r w:rsidRPr="00597530">
        <w:rPr>
          <w:rFonts w:ascii="KaiTi" w:eastAsia="KaiTi" w:hAnsi="KaiTi" w:cs="Times New Roman"/>
          <w:kern w:val="0"/>
          <w14:ligatures w14:val="none"/>
        </w:rPr>
        <w:t>，甚至曾提出“美元化”主张。</w:t>
      </w:r>
    </w:p>
    <w:p w14:paraId="411303A7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6D8C90BB" w14:textId="50725820" w:rsidR="00852620" w:rsidRDefault="00597530" w:rsidP="0085262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阿根廷总统米莱（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Javier </w:t>
      </w:r>
      <w:proofErr w:type="spellStart"/>
      <w:r w:rsidRPr="00597530">
        <w:rPr>
          <w:rFonts w:ascii="KaiTi" w:eastAsia="KaiTi" w:hAnsi="KaiTi" w:cs="Times New Roman"/>
          <w:kern w:val="0"/>
          <w14:ligatures w14:val="none"/>
        </w:rPr>
        <w:t>Milei</w:t>
      </w:r>
      <w:proofErr w:type="spellEnd"/>
      <w:r w:rsidRPr="00597530">
        <w:rPr>
          <w:rFonts w:ascii="KaiTi" w:eastAsia="KaiTi" w:hAnsi="KaiTi" w:cs="Times New Roman" w:hint="eastAsia"/>
          <w:kern w:val="0"/>
          <w14:ligatures w14:val="none"/>
        </w:rPr>
        <w:t>）所领导的自由前进党在中期选举中取得重大胜利，为其推动自由化改革扫清了大量政治障碍</w:t>
      </w:r>
      <w:r w:rsidRPr="00597530">
        <w:rPr>
          <w:rFonts w:ascii="KaiTi" w:eastAsia="KaiTi" w:hAnsi="KaiTi" w:cs="Times New Roman"/>
          <w:kern w:val="0"/>
          <w14:ligatures w14:val="none"/>
        </w:rPr>
        <w:t>。</w:t>
      </w:r>
    </w:p>
    <w:p w14:paraId="4ABC3BCD" w14:textId="77777777" w:rsidR="00CA376C" w:rsidRPr="00597530" w:rsidRDefault="00CA376C" w:rsidP="0085262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52FE4A25" w14:textId="77777777" w:rsidR="00597530" w:rsidRPr="00597530" w:rsidRDefault="00597530" w:rsidP="002537F8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Apple Color Emoji" w:eastAsia="KaiTi" w:hAnsi="Apple Color Emoji" w:cs="Apple Color Emoji"/>
          <w:kern w:val="0"/>
          <w14:ligatures w14:val="none"/>
        </w:rPr>
        <w:t>🔺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在美上市的阿根廷银行股，如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Banco Macro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、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Grupo </w:t>
      </w:r>
      <w:proofErr w:type="spellStart"/>
      <w:r w:rsidRPr="00597530">
        <w:rPr>
          <w:rFonts w:ascii="KaiTi" w:eastAsia="KaiTi" w:hAnsi="KaiTi" w:cs="Times New Roman"/>
          <w:kern w:val="0"/>
          <w14:ligatures w14:val="none"/>
        </w:rPr>
        <w:t>Financiero</w:t>
      </w:r>
      <w:proofErr w:type="spellEnd"/>
      <w:r w:rsidRPr="00597530">
        <w:rPr>
          <w:rFonts w:ascii="KaiTi" w:eastAsia="KaiTi" w:hAnsi="KaiTi" w:cs="Times New Roman"/>
          <w:kern w:val="0"/>
          <w14:ligatures w14:val="none"/>
        </w:rPr>
        <w:t xml:space="preserve"> Galicia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、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BBVA Argentina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等，单日上涨超过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30%；</w:t>
      </w:r>
    </w:p>
    <w:p w14:paraId="006F56DF" w14:textId="77777777" w:rsidR="00597530" w:rsidRPr="00597530" w:rsidRDefault="00597530" w:rsidP="002537F8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Apple Color Emoji" w:eastAsia="KaiTi" w:hAnsi="Apple Color Emoji" w:cs="Apple Color Emoji"/>
          <w:kern w:val="0"/>
          <w14:ligatures w14:val="none"/>
        </w:rPr>
        <w:t>🔺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阿根廷本币汇率回升，主权债券利差迅速收窄</w:t>
      </w:r>
      <w:r w:rsidRPr="00597530">
        <w:rPr>
          <w:rFonts w:ascii="KaiTi" w:eastAsia="KaiTi" w:hAnsi="KaiTi" w:cs="Times New Roman"/>
          <w:kern w:val="0"/>
          <w14:ligatures w14:val="none"/>
        </w:rPr>
        <w:t>。</w:t>
      </w:r>
    </w:p>
    <w:p w14:paraId="4A644BEE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4C1B5AB" w14:textId="77C828C3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这些企业的基本面并未突然发生质变，市场大幅反应的背后，</w:t>
      </w:r>
      <w:r w:rsidR="00CA376C">
        <w:rPr>
          <w:rFonts w:ascii="KaiTi" w:eastAsia="KaiTi" w:hAnsi="KaiTi" w:cs="Times New Roman" w:hint="eastAsia"/>
          <w:kern w:val="0"/>
          <w14:ligatures w14:val="none"/>
        </w:rPr>
        <w:t>隐含的市场信息是</w:t>
      </w:r>
      <w:r w:rsidRPr="00597530">
        <w:rPr>
          <w:rFonts w:ascii="KaiTi" w:eastAsia="KaiTi" w:hAnsi="KaiTi" w:cs="Times New Roman"/>
          <w:kern w:val="0"/>
          <w14:ligatures w14:val="none"/>
        </w:rPr>
        <w:t>：</w:t>
      </w:r>
    </w:p>
    <w:p w14:paraId="166315A6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7530">
        <w:rPr>
          <w:rFonts w:ascii="PingFang TC" w:eastAsia="PingFang TC" w:hAnsi="PingFang TC" w:cs="PingFang TC" w:hint="eastAsia"/>
          <w:b/>
          <w:bCs/>
          <w:kern w:val="0"/>
          <w14:ligatures w14:val="none"/>
        </w:rPr>
        <w:t>投资者相信，阿根廷的制度风险正在下降，财富创造和资本回报的机制正在被修复</w:t>
      </w:r>
      <w:r w:rsidRPr="00597530">
        <w:rPr>
          <w:rFonts w:ascii="PingFang TC" w:eastAsia="PingFang TC" w:hAnsi="PingFang TC" w:cs="PingFang TC"/>
          <w:b/>
          <w:bCs/>
          <w:kern w:val="0"/>
          <w14:ligatures w14:val="none"/>
        </w:rPr>
        <w:t>。</w:t>
      </w:r>
    </w:p>
    <w:p w14:paraId="72424171" w14:textId="77777777" w:rsidR="00597530" w:rsidRPr="00597530" w:rsidRDefault="00412126" w:rsidP="00597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9082D9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2D57878" w14:textId="77777777" w:rsidR="00597530" w:rsidRPr="00597530" w:rsidRDefault="00597530" w:rsidP="005429B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Apple Color Emoji" w:eastAsia="KaiTi" w:hAnsi="Apple Color Emoji" w:cs="Apple Color Emoji"/>
          <w:kern w:val="0"/>
          <w14:ligatures w14:val="none"/>
        </w:rPr>
        <w:t>✅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米莱改革的现实与代</w:t>
      </w:r>
      <w:r w:rsidRPr="00597530">
        <w:rPr>
          <w:rFonts w:ascii="KaiTi" w:eastAsia="KaiTi" w:hAnsi="KaiTi" w:cs="Times New Roman"/>
          <w:kern w:val="0"/>
          <w14:ligatures w14:val="none"/>
        </w:rPr>
        <w:t>价</w:t>
      </w:r>
    </w:p>
    <w:p w14:paraId="027B8D82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58F055B8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自米莱上台以来，改革确实取得了初步成果</w:t>
      </w:r>
      <w:r w:rsidRPr="00597530">
        <w:rPr>
          <w:rFonts w:ascii="KaiTi" w:eastAsia="KaiTi" w:hAnsi="KaiTi" w:cs="Times New Roman"/>
          <w:kern w:val="0"/>
          <w14:ligatures w14:val="none"/>
        </w:rPr>
        <w:t>：</w:t>
      </w:r>
    </w:p>
    <w:p w14:paraId="1715551B" w14:textId="77777777" w:rsidR="00597530" w:rsidRPr="00597530" w:rsidRDefault="00597530" w:rsidP="005429B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财政方面，阿根廷实现了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14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年来的首次财政盈余</w:t>
      </w:r>
      <w:r w:rsidRPr="00597530">
        <w:rPr>
          <w:rFonts w:ascii="KaiTi" w:eastAsia="KaiTi" w:hAnsi="KaiTi" w:cs="Times New Roman"/>
          <w:kern w:val="0"/>
          <w14:ligatures w14:val="none"/>
        </w:rPr>
        <w:t>；</w:t>
      </w:r>
    </w:p>
    <w:p w14:paraId="286EAE73" w14:textId="77777777" w:rsidR="00597530" w:rsidRPr="00597530" w:rsidRDefault="00597530" w:rsidP="005429B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lastRenderedPageBreak/>
        <w:t>通胀水平开始回落，月度</w:t>
      </w:r>
      <w:r w:rsidRPr="00597530">
        <w:rPr>
          <w:rFonts w:ascii="KaiTi" w:eastAsia="KaiTi" w:hAnsi="KaiTi" w:cs="Times New Roman"/>
          <w:kern w:val="0"/>
          <w14:ligatures w14:val="none"/>
        </w:rPr>
        <w:t xml:space="preserve"> CPI </w:t>
      </w:r>
      <w:r w:rsidRPr="00597530">
        <w:rPr>
          <w:rFonts w:ascii="KaiTi" w:eastAsia="KaiTi" w:hAnsi="KaiTi" w:cs="Times New Roman" w:hint="eastAsia"/>
          <w:kern w:val="0"/>
          <w14:ligatures w14:val="none"/>
        </w:rPr>
        <w:t>涨幅降至五年来最低</w:t>
      </w:r>
      <w:r w:rsidRPr="00597530">
        <w:rPr>
          <w:rFonts w:ascii="KaiTi" w:eastAsia="KaiTi" w:hAnsi="KaiTi" w:cs="Times New Roman"/>
          <w:kern w:val="0"/>
          <w14:ligatures w14:val="none"/>
        </w:rPr>
        <w:t>；</w:t>
      </w:r>
    </w:p>
    <w:p w14:paraId="392729C0" w14:textId="77777777" w:rsidR="00597530" w:rsidRPr="00597530" w:rsidRDefault="00597530" w:rsidP="005429BE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市场化改革初见成效，部分领域开始吸引国际资本回流</w:t>
      </w:r>
      <w:r w:rsidRPr="00597530">
        <w:rPr>
          <w:rFonts w:ascii="KaiTi" w:eastAsia="KaiTi" w:hAnsi="KaiTi" w:cs="Times New Roman"/>
          <w:kern w:val="0"/>
          <w14:ligatures w14:val="none"/>
        </w:rPr>
        <w:t>。</w:t>
      </w:r>
    </w:p>
    <w:p w14:paraId="2E797887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05119B5A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但另一方面，社会层面的阵痛仍在持续。高通胀的惯性尚未彻底扭转，失业率仍处高位，结构性改革的阻力也不容小觑</w:t>
      </w:r>
      <w:r w:rsidRPr="00597530">
        <w:rPr>
          <w:rFonts w:ascii="KaiTi" w:eastAsia="KaiTi" w:hAnsi="KaiTi" w:cs="Times New Roman"/>
          <w:kern w:val="0"/>
          <w14:ligatures w14:val="none"/>
        </w:rPr>
        <w:t>。</w:t>
      </w:r>
    </w:p>
    <w:p w14:paraId="0F818A0A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959E7" w14:textId="77777777" w:rsidR="00597530" w:rsidRPr="00597530" w:rsidRDefault="00597530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b/>
          <w:bCs/>
          <w:kern w:val="0"/>
          <w14:ligatures w14:val="none"/>
        </w:rPr>
        <w:t>冰冻三尺非一日之寒</w:t>
      </w:r>
      <w:r w:rsidRPr="00597530">
        <w:rPr>
          <w:rFonts w:ascii="KaiTi" w:eastAsia="KaiTi" w:hAnsi="KaiTi" w:cs="Times New Roman"/>
          <w:b/>
          <w:bCs/>
          <w:kern w:val="0"/>
          <w14:ligatures w14:val="none"/>
        </w:rPr>
        <w:t>。</w:t>
      </w:r>
    </w:p>
    <w:p w14:paraId="511ADC91" w14:textId="77777777" w:rsidR="00597530" w:rsidRPr="00597530" w:rsidRDefault="00597530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制度修复是长期工程，而非一纸法案或一轮选举就能立刻完成</w:t>
      </w:r>
      <w:r w:rsidRPr="00597530">
        <w:rPr>
          <w:rFonts w:ascii="KaiTi" w:eastAsia="KaiTi" w:hAnsi="KaiTi" w:cs="Times New Roman"/>
          <w:kern w:val="0"/>
          <w14:ligatures w14:val="none"/>
        </w:rPr>
        <w:t>。</w:t>
      </w:r>
    </w:p>
    <w:p w14:paraId="0E8C84DD" w14:textId="77777777" w:rsidR="00597530" w:rsidRPr="00597530" w:rsidRDefault="00412126" w:rsidP="0059753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9C9145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BAF21DE" w14:textId="77777777" w:rsidR="00597530" w:rsidRPr="00597530" w:rsidRDefault="00597530" w:rsidP="00597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B307C8" w14:textId="77777777" w:rsidR="00597530" w:rsidRPr="00597530" w:rsidRDefault="00597530" w:rsidP="00597530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97530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决定短期价格的，是估值与业绩</w:t>
      </w:r>
      <w:r w:rsidRPr="00597530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；</w:t>
      </w:r>
    </w:p>
    <w:p w14:paraId="6FE57135" w14:textId="421A10C8" w:rsidR="00597530" w:rsidRDefault="00597530" w:rsidP="005C0EF2">
      <w:pPr>
        <w:spacing w:after="0" w:line="240" w:lineRule="auto"/>
        <w:rPr>
          <w:rFonts w:ascii="Helvetica Neue" w:eastAsia="Times New Roman" w:hAnsi="Helvetica Neue" w:cs="Times New Roman"/>
          <w:color w:val="0E0E0E"/>
          <w:kern w:val="0"/>
          <w:sz w:val="21"/>
          <w:szCs w:val="21"/>
          <w14:ligatures w14:val="none"/>
        </w:rPr>
      </w:pPr>
      <w:r w:rsidRPr="00597530">
        <w:rPr>
          <w:rFonts w:ascii="PingFang TC" w:eastAsia="PingFang TC" w:hAnsi="PingFang TC" w:cs="PingFang TC" w:hint="eastAsia"/>
          <w:b/>
          <w:bCs/>
          <w:color w:val="0E0E0E"/>
          <w:kern w:val="0"/>
          <w:sz w:val="21"/>
          <w:szCs w:val="21"/>
          <w14:ligatures w14:val="none"/>
        </w:rPr>
        <w:t>决定长期财富的，是制度和规则</w:t>
      </w:r>
      <w:r w:rsidRPr="00597530">
        <w:rPr>
          <w:rFonts w:ascii="PingFang TC" w:eastAsia="PingFang TC" w:hAnsi="PingFang TC" w:cs="PingFang TC"/>
          <w:b/>
          <w:bCs/>
          <w:color w:val="0E0E0E"/>
          <w:kern w:val="0"/>
          <w:sz w:val="21"/>
          <w:szCs w:val="21"/>
          <w14:ligatures w14:val="none"/>
        </w:rPr>
        <w:t>。</w:t>
      </w:r>
    </w:p>
    <w:p w14:paraId="6A1AC88E" w14:textId="77777777" w:rsidR="005C0EF2" w:rsidRPr="005C0EF2" w:rsidRDefault="005C0EF2" w:rsidP="005C0EF2">
      <w:pPr>
        <w:spacing w:after="0" w:line="240" w:lineRule="auto"/>
        <w:rPr>
          <w:rFonts w:ascii="Helvetica Neue" w:eastAsia="Times New Roman" w:hAnsi="Helvetica Neue" w:cs="Times New Roman" w:hint="eastAsia"/>
          <w:color w:val="0E0E0E"/>
          <w:kern w:val="0"/>
          <w:sz w:val="21"/>
          <w:szCs w:val="21"/>
          <w14:ligatures w14:val="none"/>
        </w:rPr>
      </w:pPr>
    </w:p>
    <w:p w14:paraId="6E7AFF1B" w14:textId="77777777" w:rsidR="00CA376C" w:rsidRPr="00CA376C" w:rsidRDefault="00597530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597530">
        <w:rPr>
          <w:rFonts w:ascii="KaiTi" w:eastAsia="KaiTi" w:hAnsi="KaiTi" w:cs="Times New Roman" w:hint="eastAsia"/>
          <w:kern w:val="0"/>
          <w14:ligatures w14:val="none"/>
        </w:rPr>
        <w:t>对于我们在全球资产配置中的判断也是如此</w:t>
      </w:r>
      <w:r w:rsidRPr="00597530">
        <w:rPr>
          <w:rFonts w:ascii="KaiTi" w:eastAsia="KaiTi" w:hAnsi="KaiTi" w:cs="Times New Roman"/>
          <w:kern w:val="0"/>
          <w14:ligatures w14:val="none"/>
        </w:rPr>
        <w:t>：</w:t>
      </w:r>
    </w:p>
    <w:p w14:paraId="0BFD7D06" w14:textId="0D49312E" w:rsidR="005C0EF2" w:rsidRDefault="00CA376C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CA376C">
        <w:rPr>
          <w:rFonts w:ascii="KaiTi" w:eastAsia="KaiTi" w:hAnsi="KaiTi" w:cs="Times New Roman" w:hint="eastAsia"/>
          <w:kern w:val="0"/>
          <w14:ligatures w14:val="none"/>
        </w:rPr>
        <w:t>我们从不以短期回报为唯一指标，而是优先寻找那些</w:t>
      </w:r>
    </w:p>
    <w:p w14:paraId="44ACC942" w14:textId="142D1355" w:rsidR="005C0EF2" w:rsidRDefault="0069546C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>
        <w:rPr>
          <w:rFonts w:ascii="KaiTi" w:eastAsia="KaiTi" w:hAnsi="KaiTi" w:cs="Times New Roman" w:hint="eastAsia"/>
          <w:kern w:val="0"/>
          <w14:ligatures w14:val="none"/>
        </w:rPr>
        <w:t>对</w:t>
      </w:r>
      <w:r w:rsidR="00CA376C" w:rsidRPr="00CA376C">
        <w:rPr>
          <w:rFonts w:ascii="KaiTi" w:eastAsia="KaiTi" w:hAnsi="KaiTi" w:cs="Times New Roman" w:hint="eastAsia"/>
          <w:kern w:val="0"/>
          <w14:ligatures w14:val="none"/>
        </w:rPr>
        <w:t>资本有基本尊重</w:t>
      </w:r>
    </w:p>
    <w:p w14:paraId="440A6EED" w14:textId="5F4E629F" w:rsidR="005C0EF2" w:rsidRDefault="00CA376C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CA376C">
        <w:rPr>
          <w:rFonts w:ascii="KaiTi" w:eastAsia="KaiTi" w:hAnsi="KaiTi" w:cs="Times New Roman" w:hint="eastAsia"/>
          <w:kern w:val="0"/>
          <w14:ligatures w14:val="none"/>
        </w:rPr>
        <w:t>制度结构清晰</w:t>
      </w:r>
    </w:p>
    <w:p w14:paraId="6095500A" w14:textId="3C45B6E2" w:rsidR="00CA376C" w:rsidRDefault="00CA376C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  <w:r w:rsidRPr="00CA376C">
        <w:rPr>
          <w:rFonts w:ascii="KaiTi" w:eastAsia="KaiTi" w:hAnsi="KaiTi" w:cs="Times New Roman" w:hint="eastAsia"/>
          <w:kern w:val="0"/>
          <w14:ligatures w14:val="none"/>
        </w:rPr>
        <w:t>规则长期可信的市场</w:t>
      </w:r>
    </w:p>
    <w:p w14:paraId="74D0067A" w14:textId="54767C8F" w:rsidR="00CA376C" w:rsidRPr="005C0EF2" w:rsidRDefault="00CA376C" w:rsidP="00CA376C">
      <w:pPr>
        <w:spacing w:before="100" w:beforeAutospacing="1" w:after="100" w:afterAutospacing="1" w:line="240" w:lineRule="auto"/>
        <w:rPr>
          <w:rFonts w:ascii="KaiTi" w:eastAsia="KaiTi" w:hAnsi="KaiTi" w:cs="Times New Roman"/>
          <w:b/>
          <w:bCs/>
          <w:color w:val="FF0000"/>
          <w:kern w:val="0"/>
          <w:sz w:val="28"/>
          <w:szCs w:val="28"/>
          <w14:ligatures w14:val="none"/>
        </w:rPr>
      </w:pPr>
      <w:r w:rsidRPr="005C0EF2">
        <w:rPr>
          <w:rFonts w:ascii="KaiTi" w:eastAsia="KaiTi" w:hAnsi="KaiTi" w:cs="Times New Roman" w:hint="eastAsia"/>
          <w:b/>
          <w:bCs/>
          <w:color w:val="FF0000"/>
          <w:kern w:val="0"/>
          <w:sz w:val="28"/>
          <w:szCs w:val="28"/>
          <w14:ligatures w14:val="none"/>
        </w:rPr>
        <w:t>因为只有在这样的土壤上，财富才能真正生长，而不是被反复收割。</w:t>
      </w:r>
    </w:p>
    <w:p w14:paraId="2EEE0BBD" w14:textId="77777777" w:rsidR="00CA376C" w:rsidRPr="00597530" w:rsidRDefault="00CA376C" w:rsidP="00597530">
      <w:pPr>
        <w:spacing w:before="100" w:beforeAutospacing="1" w:after="100" w:afterAutospacing="1" w:line="240" w:lineRule="auto"/>
        <w:rPr>
          <w:rFonts w:ascii="KaiTi" w:eastAsia="KaiTi" w:hAnsi="KaiTi" w:cs="Times New Roman"/>
          <w:kern w:val="0"/>
          <w14:ligatures w14:val="none"/>
        </w:rPr>
      </w:pPr>
    </w:p>
    <w:p w14:paraId="238687A7" w14:textId="77777777" w:rsidR="004545E5" w:rsidRPr="00436C20" w:rsidRDefault="004545E5" w:rsidP="004545E5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</w:p>
    <w:p w14:paraId="3CD7694B" w14:textId="77777777" w:rsidR="004545E5" w:rsidRPr="00436C20" w:rsidRDefault="00412126" w:rsidP="004545E5">
      <w:pPr>
        <w:spacing w:after="0" w:line="240" w:lineRule="auto"/>
        <w:rPr>
          <w:rFonts w:ascii="KaiTi" w:eastAsia="KaiTi" w:hAnsi="KaiTi" w:cs="Times New Roman"/>
          <w:kern w:val="0"/>
          <w14:ligatures w14:val="none"/>
        </w:rPr>
      </w:pPr>
      <w:r>
        <w:rPr>
          <w:rFonts w:ascii="KaiTi" w:eastAsia="KaiTi" w:hAnsi="KaiTi" w:cs="Times New Roman"/>
          <w:noProof/>
          <w:kern w:val="0"/>
        </w:rPr>
        <w:pict w14:anchorId="4323D4B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8A99727" w14:textId="77777777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b/>
          <w:bCs/>
          <w:kern w:val="0"/>
          <w14:ligatures w14:val="none"/>
        </w:rPr>
        <w:t>旺达财智团队</w:t>
      </w:r>
    </w:p>
    <w:p w14:paraId="6D1879AC" w14:textId="35FE2D73" w:rsidR="00690C0D" w:rsidRPr="001C3F9D" w:rsidRDefault="00690C0D" w:rsidP="00690C0D">
      <w:pPr>
        <w:spacing w:before="100" w:beforeAutospacing="1" w:after="100" w:afterAutospacing="1" w:line="240" w:lineRule="auto"/>
        <w:rPr>
          <w:rFonts w:ascii="KaiTi" w:eastAsia="KaiTi" w:hAnsi="KaiTi" w:cs="PingFang TC"/>
          <w:kern w:val="0"/>
          <w14:ligatures w14:val="none"/>
        </w:rPr>
      </w:pPr>
      <w:r w:rsidRPr="001C3F9D">
        <w:rPr>
          <w:rFonts w:ascii="KaiTi" w:eastAsia="KaiTi" w:hAnsi="KaiTi" w:cs="PingFang TC"/>
          <w:kern w:val="0"/>
          <w14:ligatures w14:val="none"/>
        </w:rPr>
        <w:lastRenderedPageBreak/>
        <w:t>2025年</w:t>
      </w:r>
      <w:r w:rsidR="00852620">
        <w:rPr>
          <w:rFonts w:ascii="KaiTi" w:eastAsia="KaiTi" w:hAnsi="KaiTi" w:cs="PingFang TC" w:hint="eastAsia"/>
          <w:kern w:val="0"/>
          <w14:ligatures w14:val="none"/>
        </w:rPr>
        <w:t>10</w:t>
      </w:r>
      <w:r w:rsidRPr="001C3F9D">
        <w:rPr>
          <w:rFonts w:ascii="KaiTi" w:eastAsia="KaiTi" w:hAnsi="KaiTi" w:cs="PingFang TC"/>
          <w:kern w:val="0"/>
          <w14:ligatures w14:val="none"/>
        </w:rPr>
        <w:t>月</w:t>
      </w:r>
    </w:p>
    <w:p w14:paraId="5F00B8C3" w14:textId="77777777" w:rsidR="00690C0D" w:rsidRDefault="00690C0D" w:rsidP="00690C0D">
      <w:pPr>
        <w:rPr>
          <w:rFonts w:ascii="KaiTi" w:eastAsia="KaiTi" w:hAnsi="KaiTi" w:cs="PingFang TC"/>
          <w:b/>
          <w:bCs/>
          <w:color w:val="FF0000"/>
          <w:kern w:val="0"/>
          <w:sz w:val="28"/>
          <w:szCs w:val="28"/>
          <w14:ligatures w14:val="none"/>
        </w:rPr>
      </w:pPr>
    </w:p>
    <w:p w14:paraId="30D09270" w14:textId="77777777" w:rsidR="003A1E35" w:rsidRDefault="003A1E35">
      <w:pPr>
        <w:rPr>
          <w:rFonts w:ascii="KaiTi" w:eastAsia="KaiTi" w:hAnsi="KaiTi"/>
          <w:b/>
          <w:bCs/>
        </w:rPr>
      </w:pPr>
      <w:r>
        <w:rPr>
          <w:rFonts w:ascii="KaiTi" w:eastAsia="KaiTi" w:hAnsi="KaiTi"/>
          <w:b/>
          <w:bCs/>
        </w:rPr>
        <w:br w:type="page"/>
      </w:r>
    </w:p>
    <w:p w14:paraId="39BD05A7" w14:textId="0140DFA6" w:rsidR="00690C0D" w:rsidRPr="000C1D9B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lastRenderedPageBreak/>
        <w:t>示例组合运行情况</w:t>
      </w:r>
    </w:p>
    <w:p w14:paraId="238EB854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为了能够更好地帮助大家理解和熟悉我们的长期配置思路，我们通过公司投连险平台管理了两个典型组合。两个组合都以100万美金的初始投入为例，并于</w:t>
      </w:r>
      <w:r>
        <w:rPr>
          <w:rFonts w:ascii="KaiTi" w:eastAsia="KaiTi" w:hAnsi="KaiTi" w:hint="eastAsia"/>
        </w:rPr>
        <w:t>2024年</w:t>
      </w:r>
      <w:r w:rsidRPr="000C1D9B">
        <w:rPr>
          <w:rFonts w:ascii="KaiTi" w:eastAsia="KaiTi" w:hAnsi="KaiTi" w:hint="eastAsia"/>
        </w:rPr>
        <w:t>10月24日完成建仓买入。</w:t>
      </w:r>
    </w:p>
    <w:p w14:paraId="35422E21" w14:textId="77777777" w:rsidR="00690C0D" w:rsidRPr="000E2963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组合1: 长线增长 ILI Long Term Accumulation</w:t>
      </w:r>
    </w:p>
    <w:p w14:paraId="46F089FF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其中第一个组合更关注长期的增长，通过固定收益、房地产</w:t>
      </w:r>
      <w:r>
        <w:rPr>
          <w:rFonts w:ascii="KaiTi" w:eastAsia="KaiTi" w:hAnsi="KaiTi" w:hint="eastAsia"/>
        </w:rPr>
        <w:t>信托基金</w:t>
      </w:r>
      <w:r w:rsidRPr="000C1D9B">
        <w:rPr>
          <w:rFonts w:ascii="KaiTi" w:eastAsia="KaiTi" w:hAnsi="KaiTi" w:hint="eastAsia"/>
        </w:rPr>
        <w:t>和优质股票的组合来实现，他们的</w:t>
      </w:r>
      <w:r>
        <w:rPr>
          <w:rFonts w:ascii="KaiTi" w:eastAsia="KaiTi" w:hAnsi="KaiTi" w:hint="eastAsia"/>
        </w:rPr>
        <w:t>初始</w:t>
      </w:r>
      <w:r w:rsidRPr="000C1D9B">
        <w:rPr>
          <w:rFonts w:ascii="KaiTi" w:eastAsia="KaiTi" w:hAnsi="KaiTi" w:hint="eastAsia"/>
        </w:rPr>
        <w:t>配置比例为40%：25%：35%。</w:t>
      </w:r>
    </w:p>
    <w:p w14:paraId="14EAC598" w14:textId="42F4EA4A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10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/>
        </w:rPr>
        <w:t>2</w:t>
      </w:r>
      <w:r w:rsidR="005429BE">
        <w:rPr>
          <w:rFonts w:ascii="KaiTi" w:eastAsia="KaiTi" w:hAnsi="KaiTi" w:hint="eastAsia"/>
        </w:rPr>
        <w:t>7</w:t>
      </w:r>
      <w:r w:rsidRPr="000C1D9B">
        <w:rPr>
          <w:rFonts w:ascii="KaiTi" w:eastAsia="KaiTi" w:hAnsi="KaiTi" w:hint="eastAsia"/>
        </w:rPr>
        <w:t>日，这个组合的运行情况如下：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4"/>
        <w:gridCol w:w="1326"/>
        <w:gridCol w:w="1145"/>
        <w:gridCol w:w="1640"/>
        <w:gridCol w:w="1038"/>
        <w:gridCol w:w="1857"/>
      </w:tblGrid>
      <w:tr w:rsidR="00690C0D" w:rsidRPr="00B769EE" w14:paraId="271922B8" w14:textId="77777777" w:rsidTr="000121F4">
        <w:trPr>
          <w:trHeight w:val="320"/>
        </w:trPr>
        <w:tc>
          <w:tcPr>
            <w:tcW w:w="2344" w:type="dxa"/>
            <w:noWrap/>
            <w:hideMark/>
          </w:tcPr>
          <w:p w14:paraId="0DAB166A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Calibri" w:eastAsia="KaiTi" w:hAnsi="Calibri" w:cs="Calibri"/>
                <w:sz w:val="21"/>
                <w:szCs w:val="21"/>
              </w:rPr>
              <w:t> </w:t>
            </w:r>
          </w:p>
        </w:tc>
        <w:tc>
          <w:tcPr>
            <w:tcW w:w="1326" w:type="dxa"/>
            <w:noWrap/>
            <w:hideMark/>
          </w:tcPr>
          <w:p w14:paraId="77878AD7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日期</w:t>
            </w:r>
          </w:p>
        </w:tc>
        <w:tc>
          <w:tcPr>
            <w:tcW w:w="1145" w:type="dxa"/>
            <w:noWrap/>
            <w:hideMark/>
          </w:tcPr>
          <w:p w14:paraId="25E64C00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价格</w:t>
            </w:r>
          </w:p>
        </w:tc>
        <w:tc>
          <w:tcPr>
            <w:tcW w:w="1640" w:type="dxa"/>
            <w:noWrap/>
            <w:vAlign w:val="center"/>
            <w:hideMark/>
          </w:tcPr>
          <w:p w14:paraId="0EFE5313" w14:textId="77777777" w:rsidR="00690C0D" w:rsidRPr="00B769EE" w:rsidRDefault="00690C0D" w:rsidP="000121F4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CC3084">
              <w:rPr>
                <w:rFonts w:ascii="KaiTi" w:eastAsia="KaiTi" w:hAnsi="KaiTi"/>
                <w:sz w:val="21"/>
                <w:szCs w:val="21"/>
              </w:rPr>
              <w:t>金</w:t>
            </w:r>
            <w:r w:rsidRPr="00CC3084">
              <w:rPr>
                <w:rFonts w:ascii="KaiTi" w:eastAsia="KaiTi" w:hAnsi="KaiTi" w:hint="eastAsia"/>
                <w:sz w:val="21"/>
                <w:szCs w:val="21"/>
              </w:rPr>
              <w:t>额</w:t>
            </w:r>
          </w:p>
        </w:tc>
        <w:tc>
          <w:tcPr>
            <w:tcW w:w="1038" w:type="dxa"/>
            <w:noWrap/>
            <w:hideMark/>
          </w:tcPr>
          <w:p w14:paraId="4DC5C6C9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占比</w:t>
            </w:r>
          </w:p>
        </w:tc>
        <w:tc>
          <w:tcPr>
            <w:tcW w:w="1857" w:type="dxa"/>
            <w:noWrap/>
            <w:hideMark/>
          </w:tcPr>
          <w:p w14:paraId="3767E06A" w14:textId="77777777" w:rsidR="00690C0D" w:rsidRPr="00B769EE" w:rsidRDefault="00690C0D" w:rsidP="000121F4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组合</w:t>
            </w:r>
            <w:r>
              <w:rPr>
                <w:rFonts w:ascii="KaiTi" w:eastAsia="KaiTi" w:hAnsi="KaiTi" w:hint="eastAsia"/>
                <w:sz w:val="21"/>
                <w:szCs w:val="21"/>
              </w:rPr>
              <w:t>净值</w:t>
            </w:r>
            <w:r w:rsidRPr="00B769EE">
              <w:rPr>
                <w:rFonts w:ascii="KaiTi" w:eastAsia="KaiTi" w:hAnsi="KaiTi"/>
                <w:sz w:val="21"/>
                <w:szCs w:val="21"/>
              </w:rPr>
              <w:t>增长</w:t>
            </w:r>
          </w:p>
        </w:tc>
      </w:tr>
      <w:tr w:rsidR="005429BE" w:rsidRPr="00B769EE" w14:paraId="2873622C" w14:textId="77777777" w:rsidTr="005429BE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0A55A904" w14:textId="77777777" w:rsidR="005429BE" w:rsidRPr="00B769EE" w:rsidRDefault="005429BE" w:rsidP="005429BE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I17 美国优质股权基金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1341AC76" w14:textId="4A188989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 w:hint="eastAsia"/>
                <w:color w:val="000000"/>
              </w:rPr>
              <w:t>10</w:t>
            </w:r>
            <w:r>
              <w:rPr>
                <w:rFonts w:ascii="Aptos Narrow" w:hAnsi="Aptos Narrow"/>
                <w:color w:val="000000"/>
              </w:rPr>
              <w:t>/2</w:t>
            </w:r>
            <w:r>
              <w:rPr>
                <w:rFonts w:ascii="Aptos Narrow" w:hAnsi="Aptos Narrow" w:hint="eastAsia"/>
                <w:color w:val="000000"/>
              </w:rPr>
              <w:t>7</w:t>
            </w:r>
            <w:r>
              <w:rPr>
                <w:rFonts w:ascii="Aptos Narrow" w:hAnsi="Aptos Narrow"/>
                <w:color w:val="000000"/>
              </w:rPr>
              <w:t>/25</w:t>
            </w:r>
          </w:p>
        </w:tc>
        <w:tc>
          <w:tcPr>
            <w:tcW w:w="1145" w:type="dxa"/>
            <w:noWrap/>
            <w:vAlign w:val="center"/>
            <w:hideMark/>
          </w:tcPr>
          <w:p w14:paraId="5981F293" w14:textId="2F8C1A07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24.21</w:t>
            </w:r>
          </w:p>
        </w:tc>
        <w:tc>
          <w:tcPr>
            <w:tcW w:w="1640" w:type="dxa"/>
            <w:noWrap/>
            <w:vAlign w:val="center"/>
            <w:hideMark/>
          </w:tcPr>
          <w:p w14:paraId="6943C4B8" w14:textId="5948E317" w:rsidR="005429BE" w:rsidRPr="00CC3084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379,395</w:t>
            </w:r>
          </w:p>
        </w:tc>
        <w:tc>
          <w:tcPr>
            <w:tcW w:w="1038" w:type="dxa"/>
            <w:noWrap/>
            <w:vAlign w:val="center"/>
            <w:hideMark/>
          </w:tcPr>
          <w:p w14:paraId="67DEC672" w14:textId="3757BBA4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35.6%</w:t>
            </w:r>
          </w:p>
        </w:tc>
        <w:tc>
          <w:tcPr>
            <w:tcW w:w="1857" w:type="dxa"/>
            <w:noWrap/>
            <w:vAlign w:val="center"/>
            <w:hideMark/>
          </w:tcPr>
          <w:p w14:paraId="686FEA10" w14:textId="42EE50E4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10.68%</w:t>
            </w:r>
          </w:p>
        </w:tc>
      </w:tr>
      <w:tr w:rsidR="005429BE" w:rsidRPr="00B769EE" w14:paraId="165DF8F9" w14:textId="77777777" w:rsidTr="005429BE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6D89FD36" w14:textId="77777777" w:rsidR="005429BE" w:rsidRPr="00B769EE" w:rsidRDefault="005429BE" w:rsidP="005429BE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R01 美国房地产基金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61C3E88A" w14:textId="5B547AE6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 w:hint="eastAsia"/>
                <w:color w:val="000000"/>
              </w:rPr>
              <w:t>10</w:t>
            </w:r>
            <w:r>
              <w:rPr>
                <w:rFonts w:ascii="Aptos Narrow" w:hAnsi="Aptos Narrow"/>
                <w:color w:val="000000"/>
              </w:rPr>
              <w:t>/2</w:t>
            </w:r>
            <w:r>
              <w:rPr>
                <w:rFonts w:ascii="Aptos Narrow" w:hAnsi="Aptos Narrow" w:hint="eastAsia"/>
                <w:color w:val="000000"/>
              </w:rPr>
              <w:t>7</w:t>
            </w:r>
            <w:r>
              <w:rPr>
                <w:rFonts w:ascii="Aptos Narrow" w:hAnsi="Aptos Narrow"/>
                <w:color w:val="000000"/>
              </w:rPr>
              <w:t>/25</w:t>
            </w:r>
          </w:p>
        </w:tc>
        <w:tc>
          <w:tcPr>
            <w:tcW w:w="1145" w:type="dxa"/>
            <w:noWrap/>
            <w:vAlign w:val="center"/>
            <w:hideMark/>
          </w:tcPr>
          <w:p w14:paraId="33BCF3F0" w14:textId="21989179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26.23</w:t>
            </w:r>
          </w:p>
        </w:tc>
        <w:tc>
          <w:tcPr>
            <w:tcW w:w="1640" w:type="dxa"/>
            <w:noWrap/>
            <w:vAlign w:val="center"/>
            <w:hideMark/>
          </w:tcPr>
          <w:p w14:paraId="72E7170D" w14:textId="268E537F" w:rsidR="005429BE" w:rsidRPr="00CC3084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269,618</w:t>
            </w:r>
          </w:p>
        </w:tc>
        <w:tc>
          <w:tcPr>
            <w:tcW w:w="1038" w:type="dxa"/>
            <w:noWrap/>
            <w:vAlign w:val="center"/>
            <w:hideMark/>
          </w:tcPr>
          <w:p w14:paraId="266C37E6" w14:textId="5B54BD55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25.3%</w:t>
            </w:r>
          </w:p>
        </w:tc>
        <w:tc>
          <w:tcPr>
            <w:tcW w:w="1857" w:type="dxa"/>
            <w:noWrap/>
            <w:vAlign w:val="center"/>
            <w:hideMark/>
          </w:tcPr>
          <w:p w14:paraId="20A934DE" w14:textId="0C0216E4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1.66%</w:t>
            </w:r>
          </w:p>
        </w:tc>
      </w:tr>
      <w:tr w:rsidR="005429BE" w:rsidRPr="00B769EE" w14:paraId="39242B6D" w14:textId="77777777" w:rsidTr="005429BE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2E253782" w14:textId="77777777" w:rsidR="005429BE" w:rsidRPr="00B769EE" w:rsidRDefault="005429BE" w:rsidP="005429BE">
            <w:pPr>
              <w:rPr>
                <w:rFonts w:ascii="KaiTi" w:eastAsia="KaiTi" w:hAnsi="KaiTi"/>
                <w:sz w:val="21"/>
                <w:szCs w:val="21"/>
              </w:rPr>
            </w:pPr>
            <w:r w:rsidRPr="00B769EE">
              <w:rPr>
                <w:rFonts w:ascii="KaiTi" w:eastAsia="KaiTi" w:hAnsi="KaiTi"/>
                <w:sz w:val="21"/>
                <w:szCs w:val="21"/>
              </w:rPr>
              <w:t>F16 美国中高等级债券基金</w:t>
            </w:r>
          </w:p>
        </w:tc>
        <w:tc>
          <w:tcPr>
            <w:tcW w:w="1326" w:type="dxa"/>
            <w:noWrap/>
            <w:vAlign w:val="center"/>
            <w:hideMark/>
          </w:tcPr>
          <w:p w14:paraId="64CF41E7" w14:textId="69EB7052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 w:hint="eastAsia"/>
                <w:color w:val="000000"/>
              </w:rPr>
              <w:t>10</w:t>
            </w:r>
            <w:r>
              <w:rPr>
                <w:rFonts w:ascii="Aptos Narrow" w:hAnsi="Aptos Narrow"/>
                <w:color w:val="000000"/>
              </w:rPr>
              <w:t>/2</w:t>
            </w:r>
            <w:r>
              <w:rPr>
                <w:rFonts w:ascii="Aptos Narrow" w:hAnsi="Aptos Narrow" w:hint="eastAsia"/>
                <w:color w:val="000000"/>
              </w:rPr>
              <w:t>7</w:t>
            </w:r>
            <w:r>
              <w:rPr>
                <w:rFonts w:ascii="Aptos Narrow" w:hAnsi="Aptos Narrow"/>
                <w:color w:val="000000"/>
              </w:rPr>
              <w:t>/25</w:t>
            </w:r>
          </w:p>
        </w:tc>
        <w:tc>
          <w:tcPr>
            <w:tcW w:w="1145" w:type="dxa"/>
            <w:noWrap/>
            <w:vAlign w:val="center"/>
            <w:hideMark/>
          </w:tcPr>
          <w:p w14:paraId="7E202649" w14:textId="5564066F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143.66</w:t>
            </w:r>
          </w:p>
        </w:tc>
        <w:tc>
          <w:tcPr>
            <w:tcW w:w="1640" w:type="dxa"/>
            <w:noWrap/>
            <w:vAlign w:val="center"/>
            <w:hideMark/>
          </w:tcPr>
          <w:p w14:paraId="3269C9E3" w14:textId="736A7C12" w:rsidR="005429BE" w:rsidRPr="00CC3084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416,614</w:t>
            </w:r>
          </w:p>
        </w:tc>
        <w:tc>
          <w:tcPr>
            <w:tcW w:w="1038" w:type="dxa"/>
            <w:noWrap/>
            <w:vAlign w:val="center"/>
            <w:hideMark/>
          </w:tcPr>
          <w:p w14:paraId="1F72DD9D" w14:textId="30552A96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39.1%</w:t>
            </w:r>
          </w:p>
        </w:tc>
        <w:tc>
          <w:tcPr>
            <w:tcW w:w="1857" w:type="dxa"/>
            <w:noWrap/>
            <w:vAlign w:val="center"/>
            <w:hideMark/>
          </w:tcPr>
          <w:p w14:paraId="14AC82D7" w14:textId="5EFF0446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6.00%</w:t>
            </w:r>
          </w:p>
        </w:tc>
      </w:tr>
      <w:tr w:rsidR="005429BE" w:rsidRPr="00B769EE" w14:paraId="37C6EDA2" w14:textId="77777777" w:rsidTr="005429BE">
        <w:trPr>
          <w:trHeight w:val="320"/>
        </w:trPr>
        <w:tc>
          <w:tcPr>
            <w:tcW w:w="2344" w:type="dxa"/>
            <w:noWrap/>
            <w:vAlign w:val="center"/>
            <w:hideMark/>
          </w:tcPr>
          <w:p w14:paraId="3BA2CCB7" w14:textId="77777777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KaiTi" w:eastAsia="KaiTi" w:hAnsi="KaiTi" w:hint="eastAsia"/>
                <w:sz w:val="21"/>
                <w:szCs w:val="21"/>
              </w:rPr>
              <w:t>合计</w:t>
            </w:r>
          </w:p>
        </w:tc>
        <w:tc>
          <w:tcPr>
            <w:tcW w:w="1326" w:type="dxa"/>
            <w:noWrap/>
            <w:vAlign w:val="center"/>
            <w:hideMark/>
          </w:tcPr>
          <w:p w14:paraId="6F945355" w14:textId="60D518B5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145" w:type="dxa"/>
            <w:noWrap/>
            <w:vAlign w:val="center"/>
            <w:hideMark/>
          </w:tcPr>
          <w:p w14:paraId="284DCF54" w14:textId="5726C602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640" w:type="dxa"/>
            <w:noWrap/>
            <w:vAlign w:val="center"/>
            <w:hideMark/>
          </w:tcPr>
          <w:p w14:paraId="4C178F20" w14:textId="2C82B573" w:rsidR="005429BE" w:rsidRPr="00CC3084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1,065,627</w:t>
            </w:r>
          </w:p>
        </w:tc>
        <w:tc>
          <w:tcPr>
            <w:tcW w:w="1038" w:type="dxa"/>
            <w:noWrap/>
            <w:vAlign w:val="center"/>
            <w:hideMark/>
          </w:tcPr>
          <w:p w14:paraId="3EDA8EA6" w14:textId="1716D06F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100.0%</w:t>
            </w:r>
          </w:p>
        </w:tc>
        <w:tc>
          <w:tcPr>
            <w:tcW w:w="1857" w:type="dxa"/>
            <w:noWrap/>
            <w:vAlign w:val="center"/>
            <w:hideMark/>
          </w:tcPr>
          <w:p w14:paraId="619F4FD8" w14:textId="7AB67AF0" w:rsidR="005429BE" w:rsidRPr="00B769EE" w:rsidRDefault="005429BE" w:rsidP="005429BE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>
              <w:rPr>
                <w:rFonts w:ascii="Aptos Narrow" w:hAnsi="Aptos Narrow"/>
                <w:color w:val="000000"/>
              </w:rPr>
              <w:t>6.58%</w:t>
            </w:r>
          </w:p>
        </w:tc>
      </w:tr>
    </w:tbl>
    <w:p w14:paraId="6597235C" w14:textId="6766149B" w:rsidR="00690C0D" w:rsidRDefault="00690C0D" w:rsidP="00690C0D">
      <w:pPr>
        <w:rPr>
          <w:rFonts w:ascii="KaiTi" w:eastAsia="KaiTi" w:hAnsi="KaiTi"/>
        </w:rPr>
      </w:pPr>
      <w:r w:rsidRPr="00331F36">
        <w:rPr>
          <w:rFonts w:ascii="KaiTi" w:eastAsia="KaiTi" w:hAnsi="KaiTi" w:hint="eastAsia"/>
          <w:sz w:val="21"/>
          <w:szCs w:val="21"/>
        </w:rPr>
        <w:t>注：因晨星系统改版，该组合数据由人工整理获得</w:t>
      </w:r>
      <w:r>
        <w:rPr>
          <w:rFonts w:ascii="KaiTi" w:eastAsia="KaiTi" w:hAnsi="KaiTi" w:hint="eastAsia"/>
        </w:rPr>
        <w:t>。</w:t>
      </w:r>
    </w:p>
    <w:p w14:paraId="72347382" w14:textId="3EBF9913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截止</w:t>
      </w:r>
      <w:r w:rsidR="005429BE">
        <w:rPr>
          <w:rFonts w:ascii="KaiTi" w:eastAsia="KaiTi" w:hAnsi="KaiTi" w:hint="eastAsia"/>
        </w:rPr>
        <w:t>10</w:t>
      </w:r>
      <w:r>
        <w:rPr>
          <w:rFonts w:ascii="KaiTi" w:eastAsia="KaiTi" w:hAnsi="KaiTi" w:hint="eastAsia"/>
        </w:rPr>
        <w:t>月2</w:t>
      </w:r>
      <w:r w:rsidR="005429BE">
        <w:rPr>
          <w:rFonts w:ascii="KaiTi" w:eastAsia="KaiTi" w:hAnsi="KaiTi" w:hint="eastAsia"/>
        </w:rPr>
        <w:t>7</w:t>
      </w:r>
      <w:r>
        <w:rPr>
          <w:rFonts w:ascii="KaiTi" w:eastAsia="KaiTi" w:hAnsi="KaiTi" w:hint="eastAsia"/>
        </w:rPr>
        <w:t>号的收盘数据，组合自成立起累计增长</w:t>
      </w:r>
      <w:r w:rsidR="005429BE">
        <w:rPr>
          <w:rFonts w:ascii="KaiTi" w:eastAsia="KaiTi" w:hAnsi="KaiTi" w:hint="eastAsia"/>
        </w:rPr>
        <w:t>6.58</w:t>
      </w:r>
      <w:r>
        <w:rPr>
          <w:rFonts w:ascii="KaiTi" w:eastAsia="KaiTi" w:hAnsi="KaiTi" w:hint="eastAsia"/>
        </w:rPr>
        <w:t>%，年内累计增长</w:t>
      </w:r>
      <w:r w:rsidR="005429BE">
        <w:rPr>
          <w:rFonts w:ascii="KaiTi" w:eastAsia="KaiTi" w:hAnsi="KaiTi" w:hint="eastAsia"/>
        </w:rPr>
        <w:t>8.35</w:t>
      </w:r>
      <w:r>
        <w:rPr>
          <w:rFonts w:ascii="KaiTi" w:eastAsia="KaiTi" w:hAnsi="KaiTi" w:hint="eastAsia"/>
        </w:rPr>
        <w:t>%。</w:t>
      </w:r>
    </w:p>
    <w:p w14:paraId="794147B4" w14:textId="4C8E8FD4" w:rsidR="00690C0D" w:rsidRPr="00300E28" w:rsidRDefault="005429BE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随着美联储进一步开始降息和宽松，利率敏感型的资产，例如固定收益和房地产REITS的表现可能会受益。</w:t>
      </w:r>
    </w:p>
    <w:p w14:paraId="5868CB1C" w14:textId="77777777" w:rsidR="00690C0D" w:rsidRPr="00B14E80" w:rsidRDefault="00690C0D" w:rsidP="00690C0D">
      <w:pPr>
        <w:rPr>
          <w:rFonts w:ascii="KaiTi" w:eastAsia="KaiTi" w:hAnsi="KaiTi"/>
          <w:b/>
          <w:bCs/>
        </w:rPr>
      </w:pPr>
      <w:r w:rsidRPr="000C1D9B">
        <w:rPr>
          <w:rFonts w:ascii="KaiTi" w:eastAsia="KaiTi" w:hAnsi="KaiTi" w:hint="eastAsia"/>
          <w:b/>
          <w:bCs/>
        </w:rPr>
        <w:t>组合2: 收息现金流 ILI CASH GENERATOR</w:t>
      </w:r>
    </w:p>
    <w:p w14:paraId="4744E1A4" w14:textId="77777777" w:rsidR="00690C0D" w:rsidRPr="000C1D9B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该组合</w:t>
      </w:r>
      <w:r w:rsidRPr="000C1D9B">
        <w:rPr>
          <w:rFonts w:ascii="KaiTi" w:eastAsia="KaiTi" w:hAnsi="KaiTi" w:hint="eastAsia"/>
        </w:rPr>
        <w:t>选择派息型的基金，可以在投入后第一个月就开始收取分红，在储蓄分红险之外打造一个即时产生的被动现金流工具</w:t>
      </w:r>
      <w:r>
        <w:rPr>
          <w:rFonts w:ascii="KaiTi" w:eastAsia="KaiTi" w:hAnsi="KaiTi" w:hint="eastAsia"/>
        </w:rPr>
        <w:t>。该组合</w:t>
      </w:r>
      <w:r w:rsidRPr="000C1D9B">
        <w:rPr>
          <w:rFonts w:ascii="KaiTi" w:eastAsia="KaiTi" w:hAnsi="KaiTi" w:hint="eastAsia"/>
        </w:rPr>
        <w:t>通过</w:t>
      </w:r>
      <w:r>
        <w:rPr>
          <w:rFonts w:ascii="KaiTi" w:eastAsia="KaiTi" w:hAnsi="KaiTi" w:hint="eastAsia"/>
        </w:rPr>
        <w:t>美国</w:t>
      </w:r>
      <w:r w:rsidRPr="000C1D9B">
        <w:rPr>
          <w:rFonts w:ascii="KaiTi" w:eastAsia="KaiTi" w:hAnsi="KaiTi" w:hint="eastAsia"/>
        </w:rPr>
        <w:t>优质股票和固定收益的组合来实现，他们的配置比例为40%：</w:t>
      </w:r>
      <w:r>
        <w:rPr>
          <w:rFonts w:ascii="KaiTi" w:eastAsia="KaiTi" w:hAnsi="KaiTi" w:hint="eastAsia"/>
        </w:rPr>
        <w:t>60</w:t>
      </w:r>
      <w:r w:rsidRPr="000C1D9B">
        <w:rPr>
          <w:rFonts w:ascii="KaiTi" w:eastAsia="KaiTi" w:hAnsi="KaiTi" w:hint="eastAsia"/>
        </w:rPr>
        <w:t>%。</w:t>
      </w:r>
    </w:p>
    <w:p w14:paraId="38911CB5" w14:textId="77777777" w:rsidR="00690C0D" w:rsidRPr="000C1D9B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初始投入约100万美金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按照买入价格，大约可以产生年化6.5%的分红收益，并按月派发。</w:t>
      </w:r>
    </w:p>
    <w:p w14:paraId="32071436" w14:textId="362843C6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截止202</w:t>
      </w:r>
      <w:r>
        <w:rPr>
          <w:rFonts w:ascii="KaiTi" w:eastAsia="KaiTi" w:hAnsi="KaiTi" w:hint="eastAsia"/>
        </w:rPr>
        <w:t>5</w:t>
      </w:r>
      <w:r w:rsidRPr="000C1D9B">
        <w:rPr>
          <w:rFonts w:ascii="KaiTi" w:eastAsia="KaiTi" w:hAnsi="KaiTi" w:hint="eastAsia"/>
        </w:rPr>
        <w:t>年</w:t>
      </w:r>
      <w:r w:rsidR="005429BE">
        <w:rPr>
          <w:rFonts w:ascii="KaiTi" w:eastAsia="KaiTi" w:hAnsi="KaiTi" w:hint="eastAsia"/>
        </w:rPr>
        <w:t>10</w:t>
      </w:r>
      <w:r w:rsidRPr="000C1D9B">
        <w:rPr>
          <w:rFonts w:ascii="KaiTi" w:eastAsia="KaiTi" w:hAnsi="KaiTi" w:hint="eastAsia"/>
        </w:rPr>
        <w:t>月</w:t>
      </w:r>
      <w:r>
        <w:rPr>
          <w:rFonts w:ascii="KaiTi" w:eastAsia="KaiTi" w:hAnsi="KaiTi" w:hint="eastAsia"/>
        </w:rPr>
        <w:t>2</w:t>
      </w:r>
      <w:r w:rsidR="005429BE">
        <w:rPr>
          <w:rFonts w:ascii="KaiTi" w:eastAsia="KaiTi" w:hAnsi="KaiTi" w:hint="eastAsia"/>
        </w:rPr>
        <w:t>7</w:t>
      </w:r>
      <w:r w:rsidRPr="000C1D9B">
        <w:rPr>
          <w:rFonts w:ascii="KaiTi" w:eastAsia="KaiTi" w:hAnsi="KaiTi" w:hint="eastAsia"/>
        </w:rPr>
        <w:t>日，组合运行情况：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1043"/>
        <w:gridCol w:w="1225"/>
        <w:gridCol w:w="1594"/>
        <w:gridCol w:w="1258"/>
        <w:gridCol w:w="1258"/>
      </w:tblGrid>
      <w:tr w:rsidR="00690C0D" w:rsidRPr="00344E79" w14:paraId="46EB74CA" w14:textId="77777777" w:rsidTr="000121F4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49F27E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043" w:type="dxa"/>
            <w:noWrap/>
            <w:vAlign w:val="center"/>
            <w:hideMark/>
          </w:tcPr>
          <w:p w14:paraId="78CA5295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日期</w:t>
            </w:r>
          </w:p>
        </w:tc>
        <w:tc>
          <w:tcPr>
            <w:tcW w:w="1225" w:type="dxa"/>
            <w:noWrap/>
            <w:vAlign w:val="center"/>
            <w:hideMark/>
          </w:tcPr>
          <w:p w14:paraId="04CF0888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价格</w:t>
            </w:r>
          </w:p>
        </w:tc>
        <w:tc>
          <w:tcPr>
            <w:tcW w:w="1594" w:type="dxa"/>
            <w:noWrap/>
            <w:vAlign w:val="center"/>
            <w:hideMark/>
          </w:tcPr>
          <w:p w14:paraId="1586FA30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金额</w:t>
            </w:r>
          </w:p>
        </w:tc>
        <w:tc>
          <w:tcPr>
            <w:tcW w:w="1258" w:type="dxa"/>
            <w:noWrap/>
            <w:vAlign w:val="center"/>
            <w:hideMark/>
          </w:tcPr>
          <w:p w14:paraId="7638C06D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占比</w:t>
            </w:r>
          </w:p>
        </w:tc>
        <w:tc>
          <w:tcPr>
            <w:tcW w:w="1258" w:type="dxa"/>
            <w:noWrap/>
            <w:vAlign w:val="center"/>
            <w:hideMark/>
          </w:tcPr>
          <w:p w14:paraId="7A3B1041" w14:textId="77777777" w:rsidR="00690C0D" w:rsidRPr="00344E79" w:rsidRDefault="00690C0D" w:rsidP="000121F4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组合净值增长</w:t>
            </w:r>
          </w:p>
        </w:tc>
      </w:tr>
      <w:tr w:rsidR="005429BE" w:rsidRPr="00344E79" w14:paraId="4D73C297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51EC47DE" w14:textId="77777777" w:rsidR="005429BE" w:rsidRPr="00344E79" w:rsidRDefault="005429BE" w:rsidP="005429BE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Z12美国中高等级债券基金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708DEB5C" w14:textId="24115D29" w:rsidR="005429BE" w:rsidRPr="005429BE" w:rsidRDefault="005429BE" w:rsidP="005429BE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5429BE">
              <w:rPr>
                <w:rFonts w:ascii="Aptos Narrow" w:hAnsi="Aptos Narrow"/>
                <w:sz w:val="22"/>
                <w:szCs w:val="22"/>
              </w:rPr>
              <w:t>10/2</w:t>
            </w:r>
            <w:r>
              <w:rPr>
                <w:rFonts w:ascii="Aptos Narrow" w:hAnsi="Aptos Narrow" w:hint="eastAsia"/>
                <w:sz w:val="22"/>
                <w:szCs w:val="22"/>
              </w:rPr>
              <w:t>7</w:t>
            </w:r>
            <w:r w:rsidRPr="005429BE">
              <w:rPr>
                <w:rFonts w:ascii="Aptos Narrow" w:hAnsi="Aptos Narrow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0F8B0EDA" w14:textId="2388882C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7.79</w:t>
            </w:r>
          </w:p>
        </w:tc>
        <w:tc>
          <w:tcPr>
            <w:tcW w:w="1594" w:type="dxa"/>
            <w:noWrap/>
            <w:vAlign w:val="center"/>
            <w:hideMark/>
          </w:tcPr>
          <w:p w14:paraId="64C5805C" w14:textId="7CB1BB6F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598466.75</w:t>
            </w:r>
          </w:p>
        </w:tc>
        <w:tc>
          <w:tcPr>
            <w:tcW w:w="1258" w:type="dxa"/>
            <w:noWrap/>
            <w:vAlign w:val="center"/>
            <w:hideMark/>
          </w:tcPr>
          <w:p w14:paraId="07DA27FC" w14:textId="0099C20D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59%</w:t>
            </w:r>
          </w:p>
        </w:tc>
        <w:tc>
          <w:tcPr>
            <w:tcW w:w="1258" w:type="dxa"/>
            <w:noWrap/>
            <w:vAlign w:val="center"/>
            <w:hideMark/>
          </w:tcPr>
          <w:p w14:paraId="573CAADD" w14:textId="58E3E058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-0.26%</w:t>
            </w:r>
          </w:p>
        </w:tc>
      </w:tr>
      <w:tr w:rsidR="005429BE" w:rsidRPr="00344E79" w14:paraId="3CC9A658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6CFD00AE" w14:textId="77777777" w:rsidR="005429BE" w:rsidRPr="00344E79" w:rsidRDefault="005429BE" w:rsidP="005429BE">
            <w:pPr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Z17美国优质股权基金</w:t>
            </w:r>
          </w:p>
        </w:tc>
        <w:tc>
          <w:tcPr>
            <w:tcW w:w="1043" w:type="dxa"/>
            <w:noWrap/>
            <w:vAlign w:val="center"/>
            <w:hideMark/>
          </w:tcPr>
          <w:p w14:paraId="41100DA5" w14:textId="5F2B7C41" w:rsidR="005429BE" w:rsidRPr="005429BE" w:rsidRDefault="005429BE" w:rsidP="005429BE">
            <w:pPr>
              <w:jc w:val="center"/>
              <w:rPr>
                <w:rFonts w:ascii="Aptos Narrow" w:hAnsi="Aptos Narrow"/>
                <w:sz w:val="22"/>
                <w:szCs w:val="22"/>
              </w:rPr>
            </w:pPr>
            <w:r w:rsidRPr="005429BE">
              <w:rPr>
                <w:rFonts w:ascii="Aptos Narrow" w:hAnsi="Aptos Narrow"/>
                <w:sz w:val="22"/>
                <w:szCs w:val="22"/>
              </w:rPr>
              <w:t>10/2</w:t>
            </w:r>
            <w:r>
              <w:rPr>
                <w:rFonts w:ascii="Aptos Narrow" w:hAnsi="Aptos Narrow" w:hint="eastAsia"/>
                <w:sz w:val="22"/>
                <w:szCs w:val="22"/>
              </w:rPr>
              <w:t>7</w:t>
            </w:r>
            <w:r w:rsidRPr="005429BE">
              <w:rPr>
                <w:rFonts w:ascii="Aptos Narrow" w:hAnsi="Aptos Narrow"/>
                <w:sz w:val="22"/>
                <w:szCs w:val="22"/>
              </w:rPr>
              <w:t>/25</w:t>
            </w:r>
          </w:p>
        </w:tc>
        <w:tc>
          <w:tcPr>
            <w:tcW w:w="1225" w:type="dxa"/>
            <w:noWrap/>
            <w:vAlign w:val="center"/>
            <w:hideMark/>
          </w:tcPr>
          <w:p w14:paraId="1FE84524" w14:textId="192EAF7B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9.3</w:t>
            </w:r>
          </w:p>
        </w:tc>
        <w:tc>
          <w:tcPr>
            <w:tcW w:w="1594" w:type="dxa"/>
            <w:noWrap/>
            <w:vAlign w:val="center"/>
            <w:hideMark/>
          </w:tcPr>
          <w:p w14:paraId="2CB13385" w14:textId="644B406A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412408.5</w:t>
            </w:r>
          </w:p>
        </w:tc>
        <w:tc>
          <w:tcPr>
            <w:tcW w:w="1258" w:type="dxa"/>
            <w:noWrap/>
            <w:vAlign w:val="center"/>
            <w:hideMark/>
          </w:tcPr>
          <w:p w14:paraId="25124D0F" w14:textId="4A25E1B2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41%</w:t>
            </w:r>
          </w:p>
        </w:tc>
        <w:tc>
          <w:tcPr>
            <w:tcW w:w="1258" w:type="dxa"/>
            <w:noWrap/>
            <w:vAlign w:val="center"/>
            <w:hideMark/>
          </w:tcPr>
          <w:p w14:paraId="4A2306D3" w14:textId="65629036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3.10%</w:t>
            </w:r>
          </w:p>
        </w:tc>
      </w:tr>
      <w:tr w:rsidR="005429BE" w:rsidRPr="00344E79" w14:paraId="67BC5DE5" w14:textId="77777777" w:rsidTr="005429BE">
        <w:trPr>
          <w:trHeight w:val="320"/>
        </w:trPr>
        <w:tc>
          <w:tcPr>
            <w:tcW w:w="2972" w:type="dxa"/>
            <w:noWrap/>
            <w:vAlign w:val="center"/>
            <w:hideMark/>
          </w:tcPr>
          <w:p w14:paraId="1EFF41B5" w14:textId="77777777" w:rsidR="005429BE" w:rsidRPr="00344E79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344E79">
              <w:rPr>
                <w:rFonts w:ascii="KaiTi" w:eastAsia="KaiTi" w:hAnsi="KaiTi"/>
                <w:sz w:val="22"/>
                <w:szCs w:val="22"/>
              </w:rPr>
              <w:t>合计</w:t>
            </w:r>
          </w:p>
        </w:tc>
        <w:tc>
          <w:tcPr>
            <w:tcW w:w="1043" w:type="dxa"/>
            <w:noWrap/>
            <w:vAlign w:val="center"/>
            <w:hideMark/>
          </w:tcPr>
          <w:p w14:paraId="41887806" w14:textId="1FE36377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225" w:type="dxa"/>
            <w:noWrap/>
            <w:vAlign w:val="center"/>
            <w:hideMark/>
          </w:tcPr>
          <w:p w14:paraId="2B714BA8" w14:textId="77777777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</w:p>
        </w:tc>
        <w:tc>
          <w:tcPr>
            <w:tcW w:w="1594" w:type="dxa"/>
            <w:noWrap/>
            <w:vAlign w:val="center"/>
            <w:hideMark/>
          </w:tcPr>
          <w:p w14:paraId="34703ED4" w14:textId="6A5AF905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1010875.25</w:t>
            </w:r>
          </w:p>
        </w:tc>
        <w:tc>
          <w:tcPr>
            <w:tcW w:w="1258" w:type="dxa"/>
            <w:noWrap/>
            <w:vAlign w:val="center"/>
            <w:hideMark/>
          </w:tcPr>
          <w:p w14:paraId="512719D7" w14:textId="67E0BFC0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100%</w:t>
            </w:r>
          </w:p>
        </w:tc>
        <w:tc>
          <w:tcPr>
            <w:tcW w:w="1258" w:type="dxa"/>
            <w:noWrap/>
            <w:vAlign w:val="center"/>
            <w:hideMark/>
          </w:tcPr>
          <w:p w14:paraId="64172A3D" w14:textId="27B385BB" w:rsidR="005429BE" w:rsidRPr="005429BE" w:rsidRDefault="005429BE" w:rsidP="005429BE">
            <w:pPr>
              <w:jc w:val="center"/>
              <w:rPr>
                <w:rFonts w:ascii="KaiTi" w:eastAsia="KaiTi" w:hAnsi="KaiTi"/>
                <w:sz w:val="22"/>
                <w:szCs w:val="22"/>
              </w:rPr>
            </w:pPr>
            <w:r w:rsidRPr="005429BE">
              <w:rPr>
                <w:rFonts w:ascii="Aptos Narrow" w:hAnsi="Aptos Narrow"/>
                <w:color w:val="000000"/>
                <w:sz w:val="22"/>
                <w:szCs w:val="22"/>
              </w:rPr>
              <w:t>1.09%</w:t>
            </w:r>
          </w:p>
        </w:tc>
      </w:tr>
    </w:tbl>
    <w:p w14:paraId="406AFE12" w14:textId="77777777" w:rsidR="00690C0D" w:rsidRPr="00344E79" w:rsidRDefault="00690C0D" w:rsidP="00690C0D">
      <w:pPr>
        <w:rPr>
          <w:rFonts w:ascii="KaiTi" w:eastAsia="KaiTi" w:hAnsi="KaiTi"/>
          <w:sz w:val="22"/>
          <w:szCs w:val="22"/>
        </w:rPr>
      </w:pPr>
    </w:p>
    <w:p w14:paraId="63A1D73F" w14:textId="30B803DE" w:rsidR="00690C0D" w:rsidRDefault="00690C0D" w:rsidP="00690C0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lastRenderedPageBreak/>
        <w:t>从账面价格来看，本组合</w:t>
      </w:r>
      <w:r>
        <w:rPr>
          <w:rFonts w:ascii="KaiTi" w:eastAsia="KaiTi" w:hAnsi="KaiTi" w:hint="eastAsia"/>
        </w:rPr>
        <w:t>净值累计</w:t>
      </w:r>
      <w:r w:rsidRPr="000C1D9B">
        <w:rPr>
          <w:rFonts w:ascii="KaiTi" w:eastAsia="KaiTi" w:hAnsi="KaiTi" w:hint="eastAsia"/>
        </w:rPr>
        <w:t>表现为</w:t>
      </w:r>
      <w:r>
        <w:rPr>
          <w:rFonts w:ascii="KaiTi" w:eastAsia="KaiTi" w:hAnsi="KaiTi"/>
        </w:rPr>
        <w:t>1.</w:t>
      </w:r>
      <w:r w:rsidR="005429BE">
        <w:rPr>
          <w:rFonts w:ascii="KaiTi" w:eastAsia="KaiTi" w:hAnsi="KaiTi" w:hint="eastAsia"/>
        </w:rPr>
        <w:t>09</w:t>
      </w:r>
      <w:r w:rsidRPr="000C1D9B">
        <w:rPr>
          <w:rFonts w:ascii="KaiTi" w:eastAsia="KaiTi" w:hAnsi="KaiTi" w:hint="eastAsia"/>
        </w:rPr>
        <w:t>%，但如果加上</w:t>
      </w:r>
      <w:r>
        <w:rPr>
          <w:rFonts w:ascii="KaiTi" w:eastAsia="KaiTi" w:hAnsi="KaiTi" w:hint="eastAsia"/>
        </w:rPr>
        <w:t>累计</w:t>
      </w:r>
      <w:r w:rsidRPr="000C1D9B">
        <w:rPr>
          <w:rFonts w:ascii="KaiTi" w:eastAsia="KaiTi" w:hAnsi="KaiTi" w:hint="eastAsia"/>
        </w:rPr>
        <w:t>发放</w:t>
      </w:r>
      <w:r>
        <w:rPr>
          <w:rFonts w:ascii="KaiTi" w:eastAsia="KaiTi" w:hAnsi="KaiTi" w:hint="eastAsia"/>
        </w:rPr>
        <w:t>的</w:t>
      </w:r>
      <w:r w:rsidRPr="000C1D9B">
        <w:rPr>
          <w:rFonts w:ascii="KaiTi" w:eastAsia="KaiTi" w:hAnsi="KaiTi" w:hint="eastAsia"/>
        </w:rPr>
        <w:t>分红，</w:t>
      </w:r>
      <w:r>
        <w:rPr>
          <w:rFonts w:ascii="KaiTi" w:eastAsia="KaiTi" w:hAnsi="KaiTi" w:hint="eastAsia"/>
        </w:rPr>
        <w:t>组合</w:t>
      </w:r>
      <w:r w:rsidRPr="000C1D9B">
        <w:rPr>
          <w:rFonts w:ascii="KaiTi" w:eastAsia="KaiTi" w:hAnsi="KaiTi" w:hint="eastAsia"/>
        </w:rPr>
        <w:t>整体</w:t>
      </w:r>
      <w:r>
        <w:rPr>
          <w:rFonts w:ascii="KaiTi" w:eastAsia="KaiTi" w:hAnsi="KaiTi" w:hint="eastAsia"/>
        </w:rPr>
        <w:t>累积收益为</w:t>
      </w:r>
      <w:r w:rsidR="00606837">
        <w:rPr>
          <w:rFonts w:ascii="KaiTi" w:eastAsia="KaiTi" w:hAnsi="KaiTi" w:hint="eastAsia"/>
          <w:color w:val="FF0000"/>
        </w:rPr>
        <w:t>7.</w:t>
      </w:r>
      <w:r w:rsidR="00B83B9D">
        <w:rPr>
          <w:rFonts w:ascii="KaiTi" w:eastAsia="KaiTi" w:hAnsi="KaiTi" w:hint="eastAsia"/>
          <w:color w:val="FF0000"/>
        </w:rPr>
        <w:t>7</w:t>
      </w:r>
      <w:r w:rsidR="00606837">
        <w:rPr>
          <w:rFonts w:ascii="KaiTi" w:eastAsia="KaiTi" w:hAnsi="KaiTi" w:hint="eastAsia"/>
          <w:color w:val="FF0000"/>
        </w:rPr>
        <w:t>2</w:t>
      </w:r>
      <w:r w:rsidRPr="00BC62AF">
        <w:rPr>
          <w:rFonts w:ascii="KaiTi" w:eastAsia="KaiTi" w:hAnsi="KaiTi" w:hint="eastAsia"/>
          <w:b/>
          <w:bCs/>
          <w:color w:val="FF0000"/>
        </w:rPr>
        <w:t>%</w:t>
      </w:r>
      <w:r w:rsidRPr="000C1D9B">
        <w:rPr>
          <w:rFonts w:ascii="KaiTi" w:eastAsia="KaiTi" w:hAnsi="KaiTi" w:hint="eastAsia"/>
        </w:rPr>
        <w:t>。</w:t>
      </w:r>
    </w:p>
    <w:p w14:paraId="52CB7C81" w14:textId="41F3FA5C" w:rsidR="00690C0D" w:rsidRDefault="00690C0D" w:rsidP="00690C0D">
      <w:pPr>
        <w:rPr>
          <w:rFonts w:ascii="KaiTi" w:eastAsia="KaiTi" w:hAnsi="KaiTi"/>
        </w:rPr>
      </w:pPr>
      <w:r>
        <w:rPr>
          <w:rFonts w:ascii="KaiTi" w:eastAsia="KaiTi" w:hAnsi="KaiTi" w:hint="eastAsia"/>
        </w:rPr>
        <w:t>自2024年10月到25年</w:t>
      </w:r>
      <w:r w:rsidR="00B83B9D">
        <w:rPr>
          <w:rFonts w:ascii="KaiTi" w:eastAsia="KaiTi" w:hAnsi="KaiTi" w:hint="eastAsia"/>
        </w:rPr>
        <w:t>10</w:t>
      </w:r>
      <w:r>
        <w:rPr>
          <w:rFonts w:ascii="KaiTi" w:eastAsia="KaiTi" w:hAnsi="KaiTi" w:hint="eastAsia"/>
        </w:rPr>
        <w:t>月，</w:t>
      </w:r>
      <w:r w:rsidRPr="000C1D9B">
        <w:rPr>
          <w:rFonts w:ascii="KaiTi" w:eastAsia="KaiTi" w:hAnsi="KaiTi" w:hint="eastAsia"/>
        </w:rPr>
        <w:t>Z12美国中高等级债券基金</w:t>
      </w:r>
      <w:r>
        <w:rPr>
          <w:rFonts w:ascii="KaiTi" w:eastAsia="KaiTi" w:hAnsi="KaiTi" w:hint="eastAsia"/>
        </w:rPr>
        <w:t>每月</w:t>
      </w:r>
      <w:r w:rsidRPr="000C1D9B">
        <w:rPr>
          <w:rFonts w:ascii="KaiTi" w:eastAsia="KaiTi" w:hAnsi="KaiTi" w:hint="eastAsia"/>
        </w:rPr>
        <w:t>派发</w:t>
      </w:r>
      <w:r>
        <w:rPr>
          <w:rFonts w:ascii="KaiTi" w:eastAsia="KaiTi" w:hAnsi="KaiTi" w:hint="eastAsia"/>
        </w:rPr>
        <w:t>分红</w:t>
      </w:r>
      <w:r w:rsidRPr="000C1D9B">
        <w:rPr>
          <w:rFonts w:ascii="KaiTi" w:eastAsia="KaiTi" w:hAnsi="KaiTi" w:hint="eastAsia"/>
        </w:rPr>
        <w:t>$0.04/股</w:t>
      </w:r>
      <w:r>
        <w:rPr>
          <w:rFonts w:ascii="KaiTi" w:eastAsia="KaiTi" w:hAnsi="KaiTi" w:hint="eastAsia"/>
        </w:rPr>
        <w:t>。</w:t>
      </w:r>
      <w:r w:rsidRPr="000C1D9B">
        <w:rPr>
          <w:rFonts w:ascii="KaiTi" w:eastAsia="KaiTi" w:hAnsi="KaiTi" w:hint="eastAsia"/>
        </w:rPr>
        <w:t>Z17美国优质股权基金</w:t>
      </w:r>
      <w:r>
        <w:rPr>
          <w:rFonts w:ascii="KaiTi" w:eastAsia="KaiTi" w:hAnsi="KaiTi" w:hint="eastAsia"/>
        </w:rPr>
        <w:t>现时月度分红派发</w:t>
      </w:r>
      <w:r w:rsidRPr="000C1D9B">
        <w:rPr>
          <w:rFonts w:ascii="KaiTi" w:eastAsia="KaiTi" w:hAnsi="KaiTi" w:hint="eastAsia"/>
        </w:rPr>
        <w:t>$0.05</w:t>
      </w:r>
      <w:r w:rsidR="00606837">
        <w:rPr>
          <w:rFonts w:ascii="KaiTi" w:eastAsia="KaiTi" w:hAnsi="KaiTi" w:hint="eastAsia"/>
        </w:rPr>
        <w:t>75</w:t>
      </w:r>
      <w:r w:rsidRPr="000C1D9B">
        <w:rPr>
          <w:rFonts w:ascii="KaiTi" w:eastAsia="KaiTi" w:hAnsi="KaiTi" w:hint="eastAsia"/>
        </w:rPr>
        <w:t>/股。</w:t>
      </w:r>
    </w:p>
    <w:p w14:paraId="1CF6B81C" w14:textId="1E5CCC38" w:rsidR="005A417E" w:rsidRDefault="00690C0D" w:rsidP="00B83B9D">
      <w:pPr>
        <w:rPr>
          <w:rFonts w:ascii="KaiTi" w:eastAsia="KaiTi" w:hAnsi="KaiTi"/>
        </w:rPr>
      </w:pPr>
      <w:r w:rsidRPr="000C1D9B">
        <w:rPr>
          <w:rFonts w:ascii="KaiTi" w:eastAsia="KaiTi" w:hAnsi="KaiTi" w:hint="eastAsia"/>
        </w:rPr>
        <w:t>合计投资者</w:t>
      </w:r>
      <w:r>
        <w:rPr>
          <w:rFonts w:ascii="KaiTi" w:eastAsia="KaiTi" w:hAnsi="KaiTi" w:hint="eastAsia"/>
        </w:rPr>
        <w:t>已累计</w:t>
      </w:r>
      <w:r w:rsidRPr="000C1D9B">
        <w:rPr>
          <w:rFonts w:ascii="KaiTi" w:eastAsia="KaiTi" w:hAnsi="KaiTi" w:hint="eastAsia"/>
        </w:rPr>
        <w:t>获得$</w:t>
      </w:r>
      <w:r w:rsidR="00606837">
        <w:rPr>
          <w:rFonts w:ascii="KaiTi" w:eastAsia="KaiTi" w:hAnsi="KaiTi" w:hint="eastAsia"/>
        </w:rPr>
        <w:t>6</w:t>
      </w:r>
      <w:r w:rsidR="00B83B9D">
        <w:rPr>
          <w:rFonts w:ascii="KaiTi" w:eastAsia="KaiTi" w:hAnsi="KaiTi" w:hint="eastAsia"/>
        </w:rPr>
        <w:t>6321</w:t>
      </w:r>
      <w:r>
        <w:rPr>
          <w:rFonts w:ascii="KaiTi" w:eastAsia="KaiTi" w:hAnsi="KaiTi" w:hint="eastAsia"/>
        </w:rPr>
        <w:t>（折合人民币</w:t>
      </w:r>
      <w:r w:rsidR="00B83B9D">
        <w:rPr>
          <w:rFonts w:ascii="KaiTi" w:eastAsia="KaiTi" w:hAnsi="KaiTi" w:hint="eastAsia"/>
        </w:rPr>
        <w:t>47.75</w:t>
      </w:r>
      <w:r w:rsidR="00606837">
        <w:rPr>
          <w:rFonts w:ascii="KaiTi" w:eastAsia="KaiTi" w:hAnsi="KaiTi" w:hint="eastAsia"/>
        </w:rPr>
        <w:t>万</w:t>
      </w:r>
      <w:r>
        <w:rPr>
          <w:rFonts w:ascii="KaiTi" w:eastAsia="KaiTi" w:hAnsi="KaiTi" w:hint="eastAsia"/>
        </w:rPr>
        <w:t>元，汇率按照7.2计算）</w:t>
      </w:r>
      <w:r w:rsidRPr="000C1D9B">
        <w:rPr>
          <w:rFonts w:ascii="KaiTi" w:eastAsia="KaiTi" w:hAnsi="KaiTi" w:hint="eastAsia"/>
        </w:rPr>
        <w:t>的现金流收入，派息</w:t>
      </w:r>
      <w:r>
        <w:rPr>
          <w:rFonts w:ascii="KaiTi" w:eastAsia="KaiTi" w:hAnsi="KaiTi" w:hint="eastAsia"/>
        </w:rPr>
        <w:t>年化</w:t>
      </w:r>
      <w:r w:rsidRPr="000C1D9B">
        <w:rPr>
          <w:rFonts w:ascii="KaiTi" w:eastAsia="KaiTi" w:hAnsi="KaiTi" w:hint="eastAsia"/>
        </w:rPr>
        <w:t>收益率为</w:t>
      </w:r>
      <w:r w:rsidRPr="00F51BCD">
        <w:rPr>
          <w:rFonts w:ascii="KaiTi" w:eastAsia="KaiTi" w:hAnsi="KaiTi" w:hint="eastAsia"/>
          <w:color w:val="FF0000"/>
        </w:rPr>
        <w:t>6.</w:t>
      </w:r>
      <w:r>
        <w:rPr>
          <w:rFonts w:ascii="KaiTi" w:eastAsia="KaiTi" w:hAnsi="KaiTi" w:hint="eastAsia"/>
          <w:color w:val="FF0000"/>
        </w:rPr>
        <w:t>6</w:t>
      </w:r>
      <w:r w:rsidR="00B83B9D">
        <w:rPr>
          <w:rFonts w:ascii="KaiTi" w:eastAsia="KaiTi" w:hAnsi="KaiTi" w:hint="eastAsia"/>
          <w:color w:val="FF0000"/>
        </w:rPr>
        <w:t>3</w:t>
      </w:r>
      <w:r w:rsidRPr="00F51BCD">
        <w:rPr>
          <w:rFonts w:ascii="KaiTi" w:eastAsia="KaiTi" w:hAnsi="KaiTi" w:hint="eastAsia"/>
          <w:color w:val="FF0000"/>
        </w:rPr>
        <w:t>%</w:t>
      </w:r>
      <w:r w:rsidRPr="00F51BCD">
        <w:rPr>
          <w:rFonts w:ascii="KaiTi" w:eastAsia="KaiTi" w:hAnsi="KaiTi" w:hint="eastAsia"/>
          <w:color w:val="000000" w:themeColor="text1"/>
        </w:rPr>
        <w:t>（按照初始投资金额计算）</w:t>
      </w:r>
      <w:r w:rsidRPr="000C1D9B">
        <w:rPr>
          <w:rFonts w:ascii="KaiTi" w:eastAsia="KaiTi" w:hAnsi="KaiTi" w:hint="eastAsia"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284"/>
        <w:gridCol w:w="958"/>
        <w:gridCol w:w="958"/>
        <w:gridCol w:w="1013"/>
        <w:gridCol w:w="958"/>
        <w:gridCol w:w="958"/>
        <w:gridCol w:w="958"/>
      </w:tblGrid>
      <w:tr w:rsidR="00B83B9D" w:rsidRPr="00B83B9D" w14:paraId="5F146BCB" w14:textId="77777777" w:rsidTr="00E343B4">
        <w:trPr>
          <w:trHeight w:val="320"/>
        </w:trPr>
        <w:tc>
          <w:tcPr>
            <w:tcW w:w="2263" w:type="dxa"/>
            <w:noWrap/>
            <w:vAlign w:val="center"/>
            <w:hideMark/>
          </w:tcPr>
          <w:p w14:paraId="28F6616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基金名称</w:t>
            </w:r>
          </w:p>
        </w:tc>
        <w:tc>
          <w:tcPr>
            <w:tcW w:w="1284" w:type="dxa"/>
            <w:noWrap/>
            <w:vAlign w:val="center"/>
            <w:hideMark/>
          </w:tcPr>
          <w:p w14:paraId="0F0306E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除净日期</w:t>
            </w:r>
          </w:p>
        </w:tc>
        <w:tc>
          <w:tcPr>
            <w:tcW w:w="958" w:type="dxa"/>
            <w:noWrap/>
            <w:vAlign w:val="center"/>
            <w:hideMark/>
          </w:tcPr>
          <w:p w14:paraId="022BBF8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每单位派发</w:t>
            </w:r>
          </w:p>
        </w:tc>
        <w:tc>
          <w:tcPr>
            <w:tcW w:w="958" w:type="dxa"/>
            <w:noWrap/>
            <w:vAlign w:val="center"/>
            <w:hideMark/>
          </w:tcPr>
          <w:p w14:paraId="635E829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持有份额</w:t>
            </w:r>
          </w:p>
        </w:tc>
        <w:tc>
          <w:tcPr>
            <w:tcW w:w="1013" w:type="dxa"/>
            <w:noWrap/>
            <w:vAlign w:val="center"/>
            <w:hideMark/>
          </w:tcPr>
          <w:p w14:paraId="3BC3D23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派发合计</w:t>
            </w:r>
          </w:p>
        </w:tc>
        <w:tc>
          <w:tcPr>
            <w:tcW w:w="958" w:type="dxa"/>
            <w:noWrap/>
            <w:vAlign w:val="center"/>
            <w:hideMark/>
          </w:tcPr>
          <w:p w14:paraId="6263604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初始投资额</w:t>
            </w:r>
          </w:p>
        </w:tc>
        <w:tc>
          <w:tcPr>
            <w:tcW w:w="958" w:type="dxa"/>
            <w:noWrap/>
            <w:vAlign w:val="center"/>
            <w:hideMark/>
          </w:tcPr>
          <w:p w14:paraId="1971E37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月度派息收益率</w:t>
            </w:r>
          </w:p>
        </w:tc>
        <w:tc>
          <w:tcPr>
            <w:tcW w:w="958" w:type="dxa"/>
            <w:noWrap/>
            <w:vAlign w:val="center"/>
            <w:hideMark/>
          </w:tcPr>
          <w:p w14:paraId="412FBA8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年化派息收益率</w:t>
            </w:r>
          </w:p>
        </w:tc>
      </w:tr>
      <w:tr w:rsidR="00B83B9D" w:rsidRPr="00B83B9D" w14:paraId="09621269" w14:textId="77777777" w:rsidTr="00E343B4">
        <w:trPr>
          <w:trHeight w:val="320"/>
        </w:trPr>
        <w:tc>
          <w:tcPr>
            <w:tcW w:w="2263" w:type="dxa"/>
            <w:vMerge w:val="restart"/>
            <w:noWrap/>
            <w:vAlign w:val="center"/>
            <w:hideMark/>
          </w:tcPr>
          <w:p w14:paraId="2D7829E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Z12 美国中高等级债券基金</w:t>
            </w:r>
          </w:p>
        </w:tc>
        <w:tc>
          <w:tcPr>
            <w:tcW w:w="1284" w:type="dxa"/>
            <w:noWrap/>
            <w:vAlign w:val="center"/>
            <w:hideMark/>
          </w:tcPr>
          <w:p w14:paraId="75EC76F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11/1/24</w:t>
            </w:r>
          </w:p>
        </w:tc>
        <w:tc>
          <w:tcPr>
            <w:tcW w:w="958" w:type="dxa"/>
            <w:noWrap/>
            <w:vAlign w:val="center"/>
            <w:hideMark/>
          </w:tcPr>
          <w:p w14:paraId="0B9D62E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2FE760E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5A7E425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38C48A3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66F7C5D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4A6E6D4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248592AE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1268F7A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FF25DC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12/2/24</w:t>
            </w:r>
          </w:p>
        </w:tc>
        <w:tc>
          <w:tcPr>
            <w:tcW w:w="958" w:type="dxa"/>
            <w:noWrap/>
            <w:vAlign w:val="center"/>
            <w:hideMark/>
          </w:tcPr>
          <w:p w14:paraId="70052C8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118B2E7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238132E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2E8B05A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266414C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687D287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0FE17D6B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3358DAF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72D48FE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12/30/24</w:t>
            </w:r>
          </w:p>
        </w:tc>
        <w:tc>
          <w:tcPr>
            <w:tcW w:w="958" w:type="dxa"/>
            <w:noWrap/>
            <w:vAlign w:val="center"/>
            <w:hideMark/>
          </w:tcPr>
          <w:p w14:paraId="5FA1021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3ED9BAD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41E0BFF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6630361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62993E9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2C03264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0094BFBB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589527B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D2294D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1/31/25</w:t>
            </w:r>
          </w:p>
        </w:tc>
        <w:tc>
          <w:tcPr>
            <w:tcW w:w="958" w:type="dxa"/>
            <w:noWrap/>
            <w:vAlign w:val="center"/>
            <w:hideMark/>
          </w:tcPr>
          <w:p w14:paraId="62B5D14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742984E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77DC670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5D69AB4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39DD532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7ACC097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3AF5E310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658C08C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8399BB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3/3/25</w:t>
            </w:r>
          </w:p>
        </w:tc>
        <w:tc>
          <w:tcPr>
            <w:tcW w:w="958" w:type="dxa"/>
            <w:noWrap/>
            <w:vAlign w:val="center"/>
            <w:hideMark/>
          </w:tcPr>
          <w:p w14:paraId="65170C6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404488B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203E9E0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1D40D3C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5B082D7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63C5EBD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798DA2E3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0614A0A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062DC5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4/1/25</w:t>
            </w:r>
          </w:p>
        </w:tc>
        <w:tc>
          <w:tcPr>
            <w:tcW w:w="958" w:type="dxa"/>
            <w:noWrap/>
            <w:vAlign w:val="center"/>
            <w:hideMark/>
          </w:tcPr>
          <w:p w14:paraId="4BACA52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3948294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2063478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1BBCDB1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372EE12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1C801AB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7DBDC2FF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49AED87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3B2828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5/1/25</w:t>
            </w:r>
          </w:p>
        </w:tc>
        <w:tc>
          <w:tcPr>
            <w:tcW w:w="958" w:type="dxa"/>
            <w:noWrap/>
            <w:vAlign w:val="center"/>
            <w:hideMark/>
          </w:tcPr>
          <w:p w14:paraId="02464B3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5DC02C1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306911A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49D8131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0160E26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7CDB223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238CA7B6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73EE9C7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23F51D0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6/2/25</w:t>
            </w:r>
          </w:p>
        </w:tc>
        <w:tc>
          <w:tcPr>
            <w:tcW w:w="958" w:type="dxa"/>
            <w:noWrap/>
            <w:vAlign w:val="center"/>
            <w:hideMark/>
          </w:tcPr>
          <w:p w14:paraId="0D677E5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5667BA6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646714F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619BA11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2A7EED8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626A500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5A6E2758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660AA71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1B808A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7/1/25</w:t>
            </w:r>
          </w:p>
        </w:tc>
        <w:tc>
          <w:tcPr>
            <w:tcW w:w="958" w:type="dxa"/>
            <w:noWrap/>
            <w:vAlign w:val="center"/>
            <w:hideMark/>
          </w:tcPr>
          <w:p w14:paraId="4C2FA69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5B17894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30F999F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729495A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493D603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529FE05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27BABD44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4EE84E9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11B8E6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8/1/25</w:t>
            </w:r>
          </w:p>
        </w:tc>
        <w:tc>
          <w:tcPr>
            <w:tcW w:w="958" w:type="dxa"/>
            <w:noWrap/>
            <w:vAlign w:val="center"/>
            <w:hideMark/>
          </w:tcPr>
          <w:p w14:paraId="593220C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7320C16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4AA81BA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2E38C48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52D8757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551F2AD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48616E96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41FBA0A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D4F4DC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9/2/25</w:t>
            </w:r>
          </w:p>
        </w:tc>
        <w:tc>
          <w:tcPr>
            <w:tcW w:w="958" w:type="dxa"/>
            <w:noWrap/>
            <w:vAlign w:val="center"/>
            <w:hideMark/>
          </w:tcPr>
          <w:p w14:paraId="1666E79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04CE624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7C9DAF0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4851CE2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055EAA2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1BB34B6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1814A414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5CDC501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AF9C69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10/1/25</w:t>
            </w:r>
          </w:p>
        </w:tc>
        <w:tc>
          <w:tcPr>
            <w:tcW w:w="958" w:type="dxa"/>
            <w:noWrap/>
            <w:vAlign w:val="center"/>
            <w:hideMark/>
          </w:tcPr>
          <w:p w14:paraId="2B44843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0.04</w:t>
            </w:r>
          </w:p>
        </w:tc>
        <w:tc>
          <w:tcPr>
            <w:tcW w:w="958" w:type="dxa"/>
            <w:noWrap/>
            <w:vAlign w:val="center"/>
            <w:hideMark/>
          </w:tcPr>
          <w:p w14:paraId="7E9036D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76825</w:t>
            </w:r>
          </w:p>
        </w:tc>
        <w:tc>
          <w:tcPr>
            <w:tcW w:w="1013" w:type="dxa"/>
            <w:noWrap/>
            <w:vAlign w:val="center"/>
            <w:hideMark/>
          </w:tcPr>
          <w:p w14:paraId="7D95F88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3073</w:t>
            </w:r>
          </w:p>
        </w:tc>
        <w:tc>
          <w:tcPr>
            <w:tcW w:w="958" w:type="dxa"/>
            <w:noWrap/>
            <w:vAlign w:val="center"/>
            <w:hideMark/>
          </w:tcPr>
          <w:p w14:paraId="7D6B517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600003</w:t>
            </w:r>
          </w:p>
        </w:tc>
        <w:tc>
          <w:tcPr>
            <w:tcW w:w="958" w:type="dxa"/>
            <w:noWrap/>
            <w:vAlign w:val="center"/>
            <w:hideMark/>
          </w:tcPr>
          <w:p w14:paraId="1922268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0.51%</w:t>
            </w:r>
          </w:p>
        </w:tc>
        <w:tc>
          <w:tcPr>
            <w:tcW w:w="958" w:type="dxa"/>
            <w:noWrap/>
            <w:vAlign w:val="center"/>
            <w:hideMark/>
          </w:tcPr>
          <w:p w14:paraId="4E2C646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6.15%</w:t>
            </w:r>
          </w:p>
        </w:tc>
      </w:tr>
      <w:tr w:rsidR="00B83B9D" w:rsidRPr="00B83B9D" w14:paraId="5205FD2A" w14:textId="77777777" w:rsidTr="00E343B4">
        <w:trPr>
          <w:trHeight w:val="320"/>
        </w:trPr>
        <w:tc>
          <w:tcPr>
            <w:tcW w:w="2263" w:type="dxa"/>
            <w:vMerge w:val="restart"/>
            <w:noWrap/>
            <w:vAlign w:val="center"/>
            <w:hideMark/>
          </w:tcPr>
          <w:p w14:paraId="6AE752E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Z17 美国优质股权基金</w:t>
            </w:r>
          </w:p>
        </w:tc>
        <w:tc>
          <w:tcPr>
            <w:tcW w:w="1284" w:type="dxa"/>
            <w:noWrap/>
            <w:vAlign w:val="center"/>
            <w:hideMark/>
          </w:tcPr>
          <w:p w14:paraId="476363B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10/30/24</w:t>
            </w:r>
          </w:p>
        </w:tc>
        <w:tc>
          <w:tcPr>
            <w:tcW w:w="958" w:type="dxa"/>
            <w:noWrap/>
            <w:vAlign w:val="center"/>
            <w:hideMark/>
          </w:tcPr>
          <w:p w14:paraId="4AF6605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958" w:type="dxa"/>
            <w:noWrap/>
            <w:vAlign w:val="center"/>
            <w:hideMark/>
          </w:tcPr>
          <w:p w14:paraId="68DACE2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2D23CB9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958" w:type="dxa"/>
            <w:noWrap/>
            <w:vAlign w:val="center"/>
            <w:hideMark/>
          </w:tcPr>
          <w:p w14:paraId="514651B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11BAE9D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4AA90A8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B83B9D" w:rsidRPr="00B83B9D" w14:paraId="485670DB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4ACE147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EF3FBC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11/28/24</w:t>
            </w:r>
          </w:p>
        </w:tc>
        <w:tc>
          <w:tcPr>
            <w:tcW w:w="958" w:type="dxa"/>
            <w:noWrap/>
            <w:vAlign w:val="center"/>
            <w:hideMark/>
          </w:tcPr>
          <w:p w14:paraId="510E3C3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958" w:type="dxa"/>
            <w:noWrap/>
            <w:vAlign w:val="center"/>
            <w:hideMark/>
          </w:tcPr>
          <w:p w14:paraId="2A28AB5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7541627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958" w:type="dxa"/>
            <w:noWrap/>
            <w:vAlign w:val="center"/>
            <w:hideMark/>
          </w:tcPr>
          <w:p w14:paraId="686B953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024785E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0CE856C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B83B9D" w:rsidRPr="00B83B9D" w14:paraId="08664F57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37345A7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E804F4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12/24/24</w:t>
            </w:r>
          </w:p>
        </w:tc>
        <w:tc>
          <w:tcPr>
            <w:tcW w:w="958" w:type="dxa"/>
            <w:noWrap/>
            <w:vAlign w:val="center"/>
            <w:hideMark/>
          </w:tcPr>
          <w:p w14:paraId="4B6DC61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958" w:type="dxa"/>
            <w:noWrap/>
            <w:vAlign w:val="center"/>
            <w:hideMark/>
          </w:tcPr>
          <w:p w14:paraId="4D55008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5101056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958" w:type="dxa"/>
            <w:noWrap/>
            <w:vAlign w:val="center"/>
            <w:hideMark/>
          </w:tcPr>
          <w:p w14:paraId="2F39A85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51FB327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2CCB256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B83B9D" w:rsidRPr="00B83B9D" w14:paraId="4C4BFCB2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57FE603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4BD42B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1/31/25</w:t>
            </w:r>
          </w:p>
        </w:tc>
        <w:tc>
          <w:tcPr>
            <w:tcW w:w="958" w:type="dxa"/>
            <w:noWrap/>
            <w:vAlign w:val="center"/>
            <w:hideMark/>
          </w:tcPr>
          <w:p w14:paraId="7BB55D8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</w:t>
            </w:r>
          </w:p>
        </w:tc>
        <w:tc>
          <w:tcPr>
            <w:tcW w:w="958" w:type="dxa"/>
            <w:noWrap/>
            <w:vAlign w:val="center"/>
            <w:hideMark/>
          </w:tcPr>
          <w:p w14:paraId="77D2690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5E13E89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2395</w:t>
            </w:r>
          </w:p>
        </w:tc>
        <w:tc>
          <w:tcPr>
            <w:tcW w:w="958" w:type="dxa"/>
            <w:noWrap/>
            <w:vAlign w:val="center"/>
            <w:hideMark/>
          </w:tcPr>
          <w:p w14:paraId="3CCFBC5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0879C96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4331105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7.18%</w:t>
            </w:r>
          </w:p>
        </w:tc>
      </w:tr>
      <w:tr w:rsidR="00B83B9D" w:rsidRPr="00B83B9D" w14:paraId="75FD41E7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1A2A098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59BBC00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2/28/25</w:t>
            </w:r>
          </w:p>
        </w:tc>
        <w:tc>
          <w:tcPr>
            <w:tcW w:w="958" w:type="dxa"/>
            <w:noWrap/>
            <w:vAlign w:val="center"/>
            <w:hideMark/>
          </w:tcPr>
          <w:p w14:paraId="12C3AE4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958" w:type="dxa"/>
            <w:noWrap/>
            <w:vAlign w:val="center"/>
            <w:hideMark/>
          </w:tcPr>
          <w:p w14:paraId="7801C7C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775A5CB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958" w:type="dxa"/>
            <w:noWrap/>
            <w:vAlign w:val="center"/>
            <w:hideMark/>
          </w:tcPr>
          <w:p w14:paraId="60A475B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2045744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2389BBF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B83B9D" w:rsidRPr="00B83B9D" w14:paraId="7857B874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0FD6443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2A02B64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3/31/25</w:t>
            </w:r>
          </w:p>
        </w:tc>
        <w:tc>
          <w:tcPr>
            <w:tcW w:w="958" w:type="dxa"/>
            <w:noWrap/>
            <w:vAlign w:val="center"/>
            <w:hideMark/>
          </w:tcPr>
          <w:p w14:paraId="4517E7F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958" w:type="dxa"/>
            <w:noWrap/>
            <w:vAlign w:val="center"/>
            <w:hideMark/>
          </w:tcPr>
          <w:p w14:paraId="412B83B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3D69D7A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958" w:type="dxa"/>
            <w:noWrap/>
            <w:vAlign w:val="center"/>
            <w:hideMark/>
          </w:tcPr>
          <w:p w14:paraId="2083146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5FB1D0F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43AA53A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B83B9D" w:rsidRPr="00B83B9D" w14:paraId="1886B95E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584C405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04D096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4/30/25</w:t>
            </w:r>
          </w:p>
        </w:tc>
        <w:tc>
          <w:tcPr>
            <w:tcW w:w="958" w:type="dxa"/>
            <w:noWrap/>
            <w:vAlign w:val="center"/>
            <w:hideMark/>
          </w:tcPr>
          <w:p w14:paraId="266D4B1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0.0545</w:t>
            </w:r>
          </w:p>
        </w:tc>
        <w:tc>
          <w:tcPr>
            <w:tcW w:w="958" w:type="dxa"/>
            <w:noWrap/>
            <w:vAlign w:val="center"/>
            <w:hideMark/>
          </w:tcPr>
          <w:p w14:paraId="49E6996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2E9904A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2417</w:t>
            </w:r>
          </w:p>
        </w:tc>
        <w:tc>
          <w:tcPr>
            <w:tcW w:w="958" w:type="dxa"/>
            <w:noWrap/>
            <w:vAlign w:val="center"/>
            <w:hideMark/>
          </w:tcPr>
          <w:p w14:paraId="3F543F8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1E15F51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0.60%</w:t>
            </w:r>
          </w:p>
        </w:tc>
        <w:tc>
          <w:tcPr>
            <w:tcW w:w="958" w:type="dxa"/>
            <w:noWrap/>
            <w:vAlign w:val="center"/>
            <w:hideMark/>
          </w:tcPr>
          <w:p w14:paraId="4B690F8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7.25%</w:t>
            </w:r>
          </w:p>
        </w:tc>
      </w:tr>
      <w:tr w:rsidR="00B83B9D" w:rsidRPr="00B83B9D" w14:paraId="15AD4C47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03820B84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2F007B8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5/30/25</w:t>
            </w:r>
          </w:p>
        </w:tc>
        <w:tc>
          <w:tcPr>
            <w:tcW w:w="958" w:type="dxa"/>
            <w:noWrap/>
            <w:vAlign w:val="center"/>
            <w:hideMark/>
          </w:tcPr>
          <w:p w14:paraId="4090BDB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958" w:type="dxa"/>
            <w:noWrap/>
            <w:vAlign w:val="center"/>
            <w:hideMark/>
          </w:tcPr>
          <w:p w14:paraId="0BCA179B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62F842C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958" w:type="dxa"/>
            <w:noWrap/>
            <w:vAlign w:val="center"/>
            <w:hideMark/>
          </w:tcPr>
          <w:p w14:paraId="6927230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1D78007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958" w:type="dxa"/>
            <w:noWrap/>
            <w:vAlign w:val="center"/>
            <w:hideMark/>
          </w:tcPr>
          <w:p w14:paraId="1FB59F4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B83B9D" w:rsidRPr="00B83B9D" w14:paraId="32F125F2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34540A9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1726678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6/30/25</w:t>
            </w:r>
          </w:p>
        </w:tc>
        <w:tc>
          <w:tcPr>
            <w:tcW w:w="958" w:type="dxa"/>
            <w:noWrap/>
            <w:vAlign w:val="center"/>
            <w:hideMark/>
          </w:tcPr>
          <w:p w14:paraId="375E230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958" w:type="dxa"/>
            <w:noWrap/>
            <w:vAlign w:val="center"/>
            <w:hideMark/>
          </w:tcPr>
          <w:p w14:paraId="3173530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304450C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958" w:type="dxa"/>
            <w:noWrap/>
            <w:vAlign w:val="center"/>
            <w:hideMark/>
          </w:tcPr>
          <w:p w14:paraId="47DC1FC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62BC4A05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958" w:type="dxa"/>
            <w:noWrap/>
            <w:vAlign w:val="center"/>
            <w:hideMark/>
          </w:tcPr>
          <w:p w14:paraId="6C70802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B83B9D" w:rsidRPr="00B83B9D" w14:paraId="0A32DE2D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68497D38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6655B20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7/31/25</w:t>
            </w:r>
          </w:p>
        </w:tc>
        <w:tc>
          <w:tcPr>
            <w:tcW w:w="958" w:type="dxa"/>
            <w:noWrap/>
            <w:vAlign w:val="center"/>
            <w:hideMark/>
          </w:tcPr>
          <w:p w14:paraId="009C54FF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0.0565</w:t>
            </w:r>
          </w:p>
        </w:tc>
        <w:tc>
          <w:tcPr>
            <w:tcW w:w="958" w:type="dxa"/>
            <w:noWrap/>
            <w:vAlign w:val="center"/>
            <w:hideMark/>
          </w:tcPr>
          <w:p w14:paraId="08757DED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1E6CA4E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2505</w:t>
            </w:r>
          </w:p>
        </w:tc>
        <w:tc>
          <w:tcPr>
            <w:tcW w:w="958" w:type="dxa"/>
            <w:noWrap/>
            <w:vAlign w:val="center"/>
            <w:hideMark/>
          </w:tcPr>
          <w:p w14:paraId="48FFBD1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1605611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0.63%</w:t>
            </w:r>
          </w:p>
        </w:tc>
        <w:tc>
          <w:tcPr>
            <w:tcW w:w="958" w:type="dxa"/>
            <w:noWrap/>
            <w:vAlign w:val="center"/>
            <w:hideMark/>
          </w:tcPr>
          <w:p w14:paraId="676AE07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7.52%</w:t>
            </w:r>
          </w:p>
        </w:tc>
      </w:tr>
      <w:tr w:rsidR="00B83B9D" w:rsidRPr="00B83B9D" w14:paraId="7FEC1292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5C8211C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04EFF5C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8/29/25</w:t>
            </w:r>
          </w:p>
        </w:tc>
        <w:tc>
          <w:tcPr>
            <w:tcW w:w="958" w:type="dxa"/>
            <w:noWrap/>
            <w:vAlign w:val="center"/>
            <w:hideMark/>
          </w:tcPr>
          <w:p w14:paraId="04B58767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0.0575</w:t>
            </w:r>
          </w:p>
        </w:tc>
        <w:tc>
          <w:tcPr>
            <w:tcW w:w="958" w:type="dxa"/>
            <w:noWrap/>
            <w:vAlign w:val="center"/>
            <w:hideMark/>
          </w:tcPr>
          <w:p w14:paraId="43182A4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111B8213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2550</w:t>
            </w:r>
          </w:p>
        </w:tc>
        <w:tc>
          <w:tcPr>
            <w:tcW w:w="958" w:type="dxa"/>
            <w:noWrap/>
            <w:vAlign w:val="center"/>
            <w:hideMark/>
          </w:tcPr>
          <w:p w14:paraId="6759CBEC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7AF0FF5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0.64%</w:t>
            </w:r>
          </w:p>
        </w:tc>
        <w:tc>
          <w:tcPr>
            <w:tcW w:w="958" w:type="dxa"/>
            <w:noWrap/>
            <w:vAlign w:val="center"/>
            <w:hideMark/>
          </w:tcPr>
          <w:p w14:paraId="0A8087F2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7.65%</w:t>
            </w:r>
          </w:p>
        </w:tc>
      </w:tr>
      <w:tr w:rsidR="00B83B9D" w:rsidRPr="00B83B9D" w14:paraId="30876632" w14:textId="77777777" w:rsidTr="00E343B4">
        <w:trPr>
          <w:trHeight w:val="320"/>
        </w:trPr>
        <w:tc>
          <w:tcPr>
            <w:tcW w:w="2263" w:type="dxa"/>
            <w:vMerge/>
            <w:vAlign w:val="center"/>
            <w:hideMark/>
          </w:tcPr>
          <w:p w14:paraId="1E916C11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</w:p>
        </w:tc>
        <w:tc>
          <w:tcPr>
            <w:tcW w:w="1284" w:type="dxa"/>
            <w:noWrap/>
            <w:vAlign w:val="center"/>
            <w:hideMark/>
          </w:tcPr>
          <w:p w14:paraId="4BEB99C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9/30/25</w:t>
            </w:r>
          </w:p>
        </w:tc>
        <w:tc>
          <w:tcPr>
            <w:tcW w:w="958" w:type="dxa"/>
            <w:noWrap/>
            <w:vAlign w:val="center"/>
            <w:hideMark/>
          </w:tcPr>
          <w:p w14:paraId="2877135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0.0575</w:t>
            </w:r>
          </w:p>
        </w:tc>
        <w:tc>
          <w:tcPr>
            <w:tcW w:w="958" w:type="dxa"/>
            <w:noWrap/>
            <w:vAlign w:val="center"/>
            <w:hideMark/>
          </w:tcPr>
          <w:p w14:paraId="7B2E360A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44345</w:t>
            </w:r>
          </w:p>
        </w:tc>
        <w:tc>
          <w:tcPr>
            <w:tcW w:w="1013" w:type="dxa"/>
            <w:noWrap/>
            <w:vAlign w:val="center"/>
            <w:hideMark/>
          </w:tcPr>
          <w:p w14:paraId="36DC0F6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2550</w:t>
            </w:r>
          </w:p>
        </w:tc>
        <w:tc>
          <w:tcPr>
            <w:tcW w:w="958" w:type="dxa"/>
            <w:noWrap/>
            <w:vAlign w:val="center"/>
            <w:hideMark/>
          </w:tcPr>
          <w:p w14:paraId="3346A56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399992</w:t>
            </w:r>
          </w:p>
        </w:tc>
        <w:tc>
          <w:tcPr>
            <w:tcW w:w="958" w:type="dxa"/>
            <w:noWrap/>
            <w:vAlign w:val="center"/>
            <w:hideMark/>
          </w:tcPr>
          <w:p w14:paraId="38432300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0.64%</w:t>
            </w:r>
          </w:p>
        </w:tc>
        <w:tc>
          <w:tcPr>
            <w:tcW w:w="958" w:type="dxa"/>
            <w:noWrap/>
            <w:vAlign w:val="center"/>
            <w:hideMark/>
          </w:tcPr>
          <w:p w14:paraId="02A289A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7.65%</w:t>
            </w:r>
          </w:p>
        </w:tc>
      </w:tr>
      <w:tr w:rsidR="00B83B9D" w:rsidRPr="00B83B9D" w14:paraId="6379D5B4" w14:textId="77777777" w:rsidTr="00E343B4">
        <w:trPr>
          <w:trHeight w:val="320"/>
        </w:trPr>
        <w:tc>
          <w:tcPr>
            <w:tcW w:w="5463" w:type="dxa"/>
            <w:gridSpan w:val="4"/>
            <w:noWrap/>
            <w:vAlign w:val="center"/>
            <w:hideMark/>
          </w:tcPr>
          <w:p w14:paraId="55684B2E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合计</w:t>
            </w:r>
          </w:p>
        </w:tc>
        <w:tc>
          <w:tcPr>
            <w:tcW w:w="1013" w:type="dxa"/>
            <w:noWrap/>
            <w:vAlign w:val="center"/>
            <w:hideMark/>
          </w:tcPr>
          <w:p w14:paraId="1D190B57" w14:textId="39BD7611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66,321</w:t>
            </w:r>
          </w:p>
        </w:tc>
        <w:tc>
          <w:tcPr>
            <w:tcW w:w="958" w:type="dxa"/>
            <w:noWrap/>
            <w:vAlign w:val="center"/>
            <w:hideMark/>
          </w:tcPr>
          <w:p w14:paraId="64D4C419" w14:textId="76253C1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999,995</w:t>
            </w:r>
          </w:p>
        </w:tc>
        <w:tc>
          <w:tcPr>
            <w:tcW w:w="958" w:type="dxa"/>
            <w:noWrap/>
            <w:vAlign w:val="center"/>
            <w:hideMark/>
          </w:tcPr>
          <w:p w14:paraId="5173D576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0.55%</w:t>
            </w:r>
          </w:p>
        </w:tc>
        <w:tc>
          <w:tcPr>
            <w:tcW w:w="958" w:type="dxa"/>
            <w:noWrap/>
            <w:vAlign w:val="center"/>
            <w:hideMark/>
          </w:tcPr>
          <w:p w14:paraId="63D0FCA9" w14:textId="77777777" w:rsidR="00B83B9D" w:rsidRPr="00B83B9D" w:rsidRDefault="00B83B9D" w:rsidP="00B83B9D">
            <w:pPr>
              <w:jc w:val="center"/>
              <w:rPr>
                <w:rFonts w:ascii="KaiTi" w:eastAsia="KaiTi" w:hAnsi="KaiTi"/>
                <w:sz w:val="21"/>
                <w:szCs w:val="21"/>
              </w:rPr>
            </w:pPr>
            <w:r w:rsidRPr="00B83B9D">
              <w:rPr>
                <w:rFonts w:ascii="KaiTi" w:eastAsia="KaiTi" w:hAnsi="KaiTi"/>
                <w:sz w:val="21"/>
                <w:szCs w:val="21"/>
              </w:rPr>
              <w:t>6.63%</w:t>
            </w:r>
          </w:p>
        </w:tc>
      </w:tr>
    </w:tbl>
    <w:p w14:paraId="2380B0E4" w14:textId="77777777" w:rsidR="00B83B9D" w:rsidRDefault="00B83B9D" w:rsidP="00B83B9D"/>
    <w:sectPr w:rsidR="00B83B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E7747"/>
    <w:multiLevelType w:val="multilevel"/>
    <w:tmpl w:val="84D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1B77"/>
    <w:multiLevelType w:val="multilevel"/>
    <w:tmpl w:val="984E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821F50"/>
    <w:multiLevelType w:val="multilevel"/>
    <w:tmpl w:val="E7042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A328B"/>
    <w:multiLevelType w:val="multilevel"/>
    <w:tmpl w:val="9BB6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5FB6"/>
    <w:multiLevelType w:val="multilevel"/>
    <w:tmpl w:val="3816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727A0"/>
    <w:multiLevelType w:val="multilevel"/>
    <w:tmpl w:val="B6788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D711E"/>
    <w:multiLevelType w:val="multilevel"/>
    <w:tmpl w:val="DA4A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87E93"/>
    <w:multiLevelType w:val="multilevel"/>
    <w:tmpl w:val="272E93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3D53AF"/>
    <w:multiLevelType w:val="multilevel"/>
    <w:tmpl w:val="53C2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E3D1F"/>
    <w:multiLevelType w:val="multilevel"/>
    <w:tmpl w:val="0B66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E53A66"/>
    <w:multiLevelType w:val="multilevel"/>
    <w:tmpl w:val="21401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1871904">
    <w:abstractNumId w:val="5"/>
  </w:num>
  <w:num w:numId="2" w16cid:durableId="710691052">
    <w:abstractNumId w:val="3"/>
  </w:num>
  <w:num w:numId="3" w16cid:durableId="1960987936">
    <w:abstractNumId w:val="8"/>
  </w:num>
  <w:num w:numId="4" w16cid:durableId="595285986">
    <w:abstractNumId w:val="10"/>
  </w:num>
  <w:num w:numId="5" w16cid:durableId="651103352">
    <w:abstractNumId w:val="6"/>
  </w:num>
  <w:num w:numId="6" w16cid:durableId="833960539">
    <w:abstractNumId w:val="7"/>
  </w:num>
  <w:num w:numId="7" w16cid:durableId="1215122610">
    <w:abstractNumId w:val="2"/>
  </w:num>
  <w:num w:numId="8" w16cid:durableId="2071029364">
    <w:abstractNumId w:val="4"/>
  </w:num>
  <w:num w:numId="9" w16cid:durableId="752707343">
    <w:abstractNumId w:val="9"/>
  </w:num>
  <w:num w:numId="10" w16cid:durableId="416709276">
    <w:abstractNumId w:val="0"/>
  </w:num>
  <w:num w:numId="11" w16cid:durableId="1236862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17E"/>
    <w:rsid w:val="00007648"/>
    <w:rsid w:val="00045F6D"/>
    <w:rsid w:val="0005582F"/>
    <w:rsid w:val="000572D6"/>
    <w:rsid w:val="0006499F"/>
    <w:rsid w:val="000779A5"/>
    <w:rsid w:val="000B3144"/>
    <w:rsid w:val="001E020F"/>
    <w:rsid w:val="00220985"/>
    <w:rsid w:val="002537F8"/>
    <w:rsid w:val="002A085D"/>
    <w:rsid w:val="00375CC7"/>
    <w:rsid w:val="003A1E35"/>
    <w:rsid w:val="00412126"/>
    <w:rsid w:val="00436C20"/>
    <w:rsid w:val="004545E5"/>
    <w:rsid w:val="00457656"/>
    <w:rsid w:val="00494555"/>
    <w:rsid w:val="005429BE"/>
    <w:rsid w:val="00547239"/>
    <w:rsid w:val="00597530"/>
    <w:rsid w:val="005A417E"/>
    <w:rsid w:val="005C0EF2"/>
    <w:rsid w:val="00606837"/>
    <w:rsid w:val="00690C0D"/>
    <w:rsid w:val="0069546C"/>
    <w:rsid w:val="007A4EF5"/>
    <w:rsid w:val="00852620"/>
    <w:rsid w:val="00924F46"/>
    <w:rsid w:val="00A31813"/>
    <w:rsid w:val="00A94A1E"/>
    <w:rsid w:val="00B31F83"/>
    <w:rsid w:val="00B83B9D"/>
    <w:rsid w:val="00BE7A70"/>
    <w:rsid w:val="00C969E6"/>
    <w:rsid w:val="00CA376C"/>
    <w:rsid w:val="00DA3EEF"/>
    <w:rsid w:val="00E343B4"/>
    <w:rsid w:val="00F43A59"/>
    <w:rsid w:val="00FB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FC029"/>
  <w15:chartTrackingRefBased/>
  <w15:docId w15:val="{3857B44B-0845-5447-B2C8-06113F4D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4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4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4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A4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17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5A4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45E5"/>
  </w:style>
  <w:style w:type="paragraph" w:customStyle="1" w:styleId="p3">
    <w:name w:val="p3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45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90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1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72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23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49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59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6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2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74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Wu</dc:creator>
  <cp:keywords/>
  <dc:description/>
  <cp:lastModifiedBy>Derek Wu</cp:lastModifiedBy>
  <cp:revision>13</cp:revision>
  <dcterms:created xsi:type="dcterms:W3CDTF">2025-10-28T00:24:00Z</dcterms:created>
  <dcterms:modified xsi:type="dcterms:W3CDTF">2025-10-28T01:29:00Z</dcterms:modified>
</cp:coreProperties>
</file>