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90E3D" w14:textId="445970DA" w:rsidR="00436C20" w:rsidRPr="00A07C6F" w:rsidRDefault="00436C20" w:rsidP="00436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旺达财智客户月报（</w:t>
      </w:r>
      <w:r w:rsidRPr="00A07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2025</w:t>
      </w:r>
      <w:r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年</w:t>
      </w:r>
      <w:r w:rsidR="001E020F"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1</w:t>
      </w:r>
      <w:r w:rsidR="00DF0D5E"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1</w:t>
      </w:r>
      <w:r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月</w:t>
      </w:r>
      <w:r w:rsidRPr="00A07C6F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14254A54" w14:textId="15A36612" w:rsidR="005A417E" w:rsidRDefault="005A417E"/>
    <w:p w14:paraId="7D8E9ADA" w14:textId="77777777" w:rsidR="00436C20" w:rsidRPr="00531EC5" w:rsidRDefault="00436C20" w:rsidP="00436C20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531EC5">
        <w:rPr>
          <w:rFonts w:ascii="KaiTi" w:eastAsia="KaiTi" w:hAnsi="KaiTi" w:cs="PingFang TC"/>
          <w:kern w:val="0"/>
          <w14:ligatures w14:val="none"/>
        </w:rPr>
        <w:t>亲爱的朋友们，大家好！</w:t>
      </w:r>
    </w:p>
    <w:p w14:paraId="2C00FCFA" w14:textId="77777777" w:rsidR="0006499F" w:rsidRDefault="0006499F" w:rsidP="0006499F">
      <w:pPr>
        <w:pStyle w:val="p1"/>
        <w:rPr>
          <w:rFonts w:ascii="KaiTi" w:eastAsia="KaiTi" w:hAnsi="KaiTi" w:cs="PingFang TC"/>
        </w:rPr>
      </w:pPr>
    </w:p>
    <w:p w14:paraId="37C16763" w14:textId="11A81B55" w:rsidR="00AC20C2" w:rsidRPr="00AC20C2" w:rsidRDefault="00AC20C2" w:rsidP="00AC20C2">
      <w:pPr>
        <w:spacing w:before="100" w:beforeAutospacing="1" w:after="100" w:afterAutospacing="1" w:line="240" w:lineRule="auto"/>
        <w:outlineLvl w:val="1"/>
        <w:rPr>
          <w:rFonts w:ascii="KaiTi" w:eastAsia="KaiTi" w:hAnsi="KaiTi" w:cs="PingFang TC"/>
          <w:kern w:val="0"/>
          <w14:ligatures w14:val="none"/>
        </w:rPr>
      </w:pPr>
      <w:r w:rsidRPr="00AC20C2">
        <w:rPr>
          <w:rFonts w:ascii="KaiTi" w:eastAsia="KaiTi" w:hAnsi="KaiTi" w:cs="PingFang TC" w:hint="eastAsia"/>
          <w:kern w:val="0"/>
          <w14:ligatures w14:val="none"/>
        </w:rPr>
        <w:t>进入</w:t>
      </w:r>
      <w:r>
        <w:rPr>
          <w:rFonts w:ascii="KaiTi" w:eastAsia="KaiTi" w:hAnsi="KaiTi" w:cs="PingFang TC" w:hint="eastAsia"/>
          <w:kern w:val="0"/>
          <w14:ligatures w14:val="none"/>
        </w:rPr>
        <w:t>11</w:t>
      </w:r>
      <w:r w:rsidRPr="00AC20C2">
        <w:rPr>
          <w:rFonts w:ascii="KaiTi" w:eastAsia="KaiTi" w:hAnsi="KaiTi" w:cs="PingFang TC" w:hint="eastAsia"/>
          <w:kern w:val="0"/>
          <w14:ligatures w14:val="none"/>
        </w:rPr>
        <w:t>月，香港的街头已经被圣诞灯饰点亮。海风带着些许凉意，人们的脚步却比往常更轻快，节日的气氛在城市里缓缓升温。</w:t>
      </w:r>
    </w:p>
    <w:p w14:paraId="17B190BE" w14:textId="77777777" w:rsidR="00AC20C2" w:rsidRDefault="00AC20C2" w:rsidP="00AC20C2">
      <w:pPr>
        <w:spacing w:before="100" w:beforeAutospacing="1" w:after="100" w:afterAutospacing="1" w:line="240" w:lineRule="auto"/>
        <w:outlineLvl w:val="1"/>
        <w:rPr>
          <w:rFonts w:ascii="KaiTi" w:eastAsia="KaiTi" w:hAnsi="KaiTi" w:cs="PingFang TC"/>
          <w:kern w:val="0"/>
          <w14:ligatures w14:val="none"/>
        </w:rPr>
      </w:pPr>
      <w:r w:rsidRPr="00AC20C2">
        <w:rPr>
          <w:rFonts w:ascii="KaiTi" w:eastAsia="KaiTi" w:hAnsi="KaiTi" w:cs="PingFang TC" w:hint="eastAsia"/>
          <w:kern w:val="0"/>
          <w14:ligatures w14:val="none"/>
        </w:rPr>
        <w:t>但与节庆的温暖不同，过去一个月的全球市场依旧波动不止：情绪起伏、估值震荡、资产价格反复，就像在节日前夕上演的一场“逆行的风”。</w:t>
      </w:r>
    </w:p>
    <w:p w14:paraId="5F3A6280" w14:textId="5B990069" w:rsidR="0006499F" w:rsidRDefault="0006499F" w:rsidP="00AC20C2">
      <w:pPr>
        <w:spacing w:before="100" w:beforeAutospacing="1" w:after="100" w:afterAutospacing="1" w:line="240" w:lineRule="auto"/>
        <w:outlineLvl w:val="1"/>
        <w:rPr>
          <w:rFonts w:ascii="KaiTi" w:eastAsia="KaiTi" w:hAnsi="KaiTi" w:cs="PingFang TC"/>
          <w:kern w:val="0"/>
          <w14:ligatures w14:val="none"/>
        </w:rPr>
      </w:pPr>
      <w:r w:rsidRPr="0006499F">
        <w:rPr>
          <w:rFonts w:ascii="KaiTi" w:eastAsia="KaiTi" w:hAnsi="KaiTi" w:cs="PingFang TC" w:hint="eastAsia"/>
          <w:kern w:val="0"/>
          <w14:ligatures w14:val="none"/>
        </w:rPr>
        <w:t>从月初的避险情绪升温，到中下旬中美关系缓和、通胀数据回落、政策预期转向，风险资产迎来一波明显的修复行情。</w:t>
      </w:r>
    </w:p>
    <w:p w14:paraId="22F4E1BB" w14:textId="6ACD455F" w:rsidR="004545E5" w:rsidRPr="00EA096B" w:rsidRDefault="004545E5" w:rsidP="00EA096B">
      <w:pPr>
        <w:spacing w:before="100" w:beforeAutospacing="1" w:after="100" w:afterAutospacing="1" w:line="240" w:lineRule="auto"/>
        <w:outlineLvl w:val="1"/>
        <w:rPr>
          <w:rFonts w:ascii="KaiTi" w:eastAsia="KaiTi" w:hAnsi="KaiTi" w:cs="Times New Roman"/>
          <w:b/>
          <w:bCs/>
          <w:kern w:val="0"/>
          <w:sz w:val="36"/>
          <w:szCs w:val="36"/>
          <w14:ligatures w14:val="none"/>
        </w:rPr>
      </w:pPr>
      <w:r w:rsidRPr="00436C20">
        <w:rPr>
          <w:rFonts w:ascii="KaiTi" w:eastAsia="KaiTi" w:hAnsi="KaiTi" w:cs="PingFang TC" w:hint="eastAsia"/>
          <w:b/>
          <w:bCs/>
          <w:kern w:val="0"/>
          <w:sz w:val="36"/>
          <w:szCs w:val="36"/>
          <w14:ligatures w14:val="none"/>
        </w:rPr>
        <w:t>市场观察</w:t>
      </w:r>
    </w:p>
    <w:p w14:paraId="2331802A" w14:textId="6C6061C5" w:rsidR="00DF0D5E" w:rsidRPr="00DF0D5E" w:rsidRDefault="00DF0D5E" w:rsidP="00DF0D5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KaiTi" w:eastAsia="KaiTi" w:hAnsi="KaiTi" w:cs="Times New Roman"/>
          <w:b/>
          <w:bCs/>
          <w:kern w:val="0"/>
          <w14:ligatures w14:val="none"/>
        </w:rPr>
      </w:pPr>
      <w:r w:rsidRPr="00DF0D5E">
        <w:rPr>
          <w:rFonts w:ascii="KaiTi" w:eastAsia="KaiTi" w:hAnsi="KaiTi" w:cs="Times New Roman" w:hint="eastAsia"/>
          <w:b/>
          <w:bCs/>
          <w:kern w:val="0"/>
          <w14:ligatures w14:val="none"/>
        </w:rPr>
        <w:t>过去一个月的市场，多少有点在“重演四月份”</w:t>
      </w:r>
    </w:p>
    <w:p w14:paraId="6B919097" w14:textId="22DAEDA5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 w:hint="eastAsia"/>
          <w:kern w:val="0"/>
          <w14:ligatures w14:val="none"/>
        </w:rPr>
        <w:t>美国科技股在前期的高估值、AI叙事透支后出现明显踩踏；A股在政策节奏反复下，再度大幅调整</w:t>
      </w:r>
      <w:r>
        <w:rPr>
          <w:rFonts w:ascii="KaiTi" w:eastAsia="KaiTi" w:hAnsi="KaiTi" w:cs="Times New Roman" w:hint="eastAsia"/>
          <w:kern w:val="0"/>
          <w14:ligatures w14:val="none"/>
        </w:rPr>
        <w:t>，一些指数</w:t>
      </w:r>
      <w:r w:rsidR="00AB1079">
        <w:rPr>
          <w:rFonts w:ascii="KaiTi" w:eastAsia="KaiTi" w:hAnsi="KaiTi" w:cs="Times New Roman" w:hint="eastAsia"/>
          <w:kern w:val="0"/>
          <w14:ligatures w14:val="none"/>
        </w:rPr>
        <w:t>都</w:t>
      </w:r>
      <w:r>
        <w:rPr>
          <w:rFonts w:ascii="KaiTi" w:eastAsia="KaiTi" w:hAnsi="KaiTi" w:cs="Times New Roman" w:hint="eastAsia"/>
          <w:kern w:val="0"/>
          <w14:ligatures w14:val="none"/>
        </w:rPr>
        <w:t>回调</w:t>
      </w:r>
      <w:r w:rsidR="00AB1079">
        <w:rPr>
          <w:rFonts w:ascii="KaiTi" w:eastAsia="KaiTi" w:hAnsi="KaiTi" w:cs="Times New Roman" w:hint="eastAsia"/>
          <w:kern w:val="0"/>
          <w14:ligatures w14:val="none"/>
        </w:rPr>
        <w:t>达到</w:t>
      </w:r>
      <w:r>
        <w:rPr>
          <w:rFonts w:ascii="KaiTi" w:eastAsia="KaiTi" w:hAnsi="KaiTi" w:cs="Times New Roman" w:hint="eastAsia"/>
          <w:kern w:val="0"/>
          <w14:ligatures w14:val="none"/>
        </w:rPr>
        <w:t>双位数</w:t>
      </w:r>
      <w:r w:rsidRPr="00DF0D5E">
        <w:rPr>
          <w:rFonts w:ascii="KaiTi" w:eastAsia="KaiTi" w:hAnsi="KaiTi" w:cs="Times New Roman" w:hint="eastAsia"/>
          <w:kern w:val="0"/>
          <w14:ligatures w14:val="none"/>
        </w:rPr>
        <w:t>。</w:t>
      </w:r>
      <w:r>
        <w:rPr>
          <w:rFonts w:ascii="KaiTi" w:eastAsia="KaiTi" w:hAnsi="KaiTi" w:cs="Times New Roman" w:hint="eastAsia"/>
          <w:kern w:val="0"/>
          <w14:ligatures w14:val="none"/>
        </w:rPr>
        <w:t>一位</w:t>
      </w:r>
      <w:r w:rsidRPr="00DF0D5E">
        <w:rPr>
          <w:rFonts w:ascii="KaiTi" w:eastAsia="KaiTi" w:hAnsi="KaiTi" w:cs="Times New Roman" w:hint="eastAsia"/>
          <w:kern w:val="0"/>
          <w14:ligatures w14:val="none"/>
        </w:rPr>
        <w:t>朋友给我发消息：“还是不能碰我大A，又被套进去了。”甚至有几位原本计划投保的客户，在波动中暂时收回资金安排。</w:t>
      </w:r>
    </w:p>
    <w:p w14:paraId="4A64DE1A" w14:textId="3F409D03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 w:hint="eastAsia"/>
          <w:kern w:val="0"/>
          <w14:ligatures w14:val="none"/>
        </w:rPr>
        <w:t>加密资产更是上演高空坠落。比特币从12万急跌至8万</w:t>
      </w:r>
      <w:r w:rsidR="00AB1079">
        <w:rPr>
          <w:rFonts w:ascii="KaiTi" w:eastAsia="KaiTi" w:hAnsi="KaiTi" w:cs="Times New Roman" w:hint="eastAsia"/>
          <w:kern w:val="0"/>
          <w14:ligatures w14:val="none"/>
        </w:rPr>
        <w:t>刀</w:t>
      </w:r>
      <w:r w:rsidRPr="00DF0D5E">
        <w:rPr>
          <w:rFonts w:ascii="KaiTi" w:eastAsia="KaiTi" w:hAnsi="KaiTi" w:cs="Times New Roman" w:hint="eastAsia"/>
          <w:kern w:val="0"/>
          <w14:ligatures w14:val="none"/>
        </w:rPr>
        <w:t>，</w:t>
      </w:r>
      <w:r w:rsidR="00AC20C2">
        <w:rPr>
          <w:rFonts w:ascii="KaiTi" w:eastAsia="KaiTi" w:hAnsi="KaiTi" w:cs="Times New Roman" w:hint="eastAsia"/>
          <w:kern w:val="0"/>
          <w14:ligatures w14:val="none"/>
        </w:rPr>
        <w:t>不仅</w:t>
      </w:r>
      <w:r w:rsidRPr="00DF0D5E">
        <w:rPr>
          <w:rFonts w:ascii="KaiTi" w:eastAsia="KaiTi" w:hAnsi="KaiTi" w:cs="Times New Roman" w:hint="eastAsia"/>
          <w:kern w:val="0"/>
          <w14:ligatures w14:val="none"/>
        </w:rPr>
        <w:t>抹平</w:t>
      </w:r>
      <w:r w:rsidR="00AC20C2">
        <w:rPr>
          <w:rFonts w:ascii="KaiTi" w:eastAsia="KaiTi" w:hAnsi="KaiTi" w:cs="Times New Roman" w:hint="eastAsia"/>
          <w:kern w:val="0"/>
          <w14:ligatures w14:val="none"/>
        </w:rPr>
        <w:t>今年以来的全部</w:t>
      </w:r>
      <w:r w:rsidRPr="00DF0D5E">
        <w:rPr>
          <w:rFonts w:ascii="KaiTi" w:eastAsia="KaiTi" w:hAnsi="KaiTi" w:cs="Times New Roman" w:hint="eastAsia"/>
          <w:kern w:val="0"/>
          <w14:ligatures w14:val="none"/>
        </w:rPr>
        <w:t>涨幅，</w:t>
      </w:r>
      <w:r>
        <w:rPr>
          <w:rFonts w:ascii="KaiTi" w:eastAsia="KaiTi" w:hAnsi="KaiTi" w:cs="Times New Roman" w:hint="eastAsia"/>
          <w:kern w:val="0"/>
          <w14:ligatures w14:val="none"/>
        </w:rPr>
        <w:t>还下跌了6%。</w:t>
      </w:r>
      <w:r w:rsidRPr="00DF0D5E">
        <w:rPr>
          <w:rFonts w:ascii="KaiTi" w:eastAsia="KaiTi" w:hAnsi="KaiTi" w:cs="Times New Roman" w:hint="eastAsia"/>
          <w:kern w:val="0"/>
          <w14:ligatures w14:val="none"/>
        </w:rPr>
        <w:t>无数高杠杆账户被市场“扫地出门”。</w:t>
      </w:r>
    </w:p>
    <w:p w14:paraId="6EA83E50" w14:textId="51322FA0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 w:hint="eastAsia"/>
          <w:kern w:val="0"/>
          <w14:ligatures w14:val="none"/>
        </w:rPr>
        <w:t>市场的情绪反转，就是可以这么快、这么狠。</w:t>
      </w:r>
    </w:p>
    <w:p w14:paraId="476B6598" w14:textId="77777777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 w:hint="eastAsia"/>
          <w:kern w:val="0"/>
          <w14:ligatures w14:val="none"/>
        </w:rPr>
        <w:t>不过风向从来不会只吹一边。</w:t>
      </w:r>
    </w:p>
    <w:p w14:paraId="3F9785F4" w14:textId="77777777" w:rsidR="00EA096B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 w:hint="eastAsia"/>
          <w:kern w:val="0"/>
          <w14:ligatures w14:val="none"/>
        </w:rPr>
        <w:t>谷歌发布 Gemini 3，</w:t>
      </w:r>
      <w:r w:rsidR="00EA096B">
        <w:rPr>
          <w:rFonts w:ascii="KaiTi" w:eastAsia="KaiTi" w:hAnsi="KaiTi" w:cs="Times New Roman" w:hint="eastAsia"/>
          <w:kern w:val="0"/>
          <w14:ligatures w14:val="none"/>
        </w:rPr>
        <w:t>引发了新一轮DeepSeek时刻；</w:t>
      </w:r>
    </w:p>
    <w:p w14:paraId="63797022" w14:textId="77777777" w:rsidR="00EA096B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 w:hint="eastAsia"/>
          <w:kern w:val="0"/>
          <w14:ligatures w14:val="none"/>
        </w:rPr>
        <w:t>美联储重新管理预期，</w:t>
      </w:r>
      <w:r w:rsidR="00EA096B">
        <w:rPr>
          <w:rFonts w:ascii="KaiTi" w:eastAsia="KaiTi" w:hAnsi="KaiTi" w:cs="Times New Roman" w:hint="eastAsia"/>
          <w:kern w:val="0"/>
          <w14:ligatures w14:val="none"/>
        </w:rPr>
        <w:t>连续</w:t>
      </w:r>
      <w:r w:rsidRPr="00DF0D5E">
        <w:rPr>
          <w:rFonts w:ascii="KaiTi" w:eastAsia="KaiTi" w:hAnsi="KaiTi" w:cs="Times New Roman" w:hint="eastAsia"/>
          <w:kern w:val="0"/>
          <w14:ligatures w14:val="none"/>
        </w:rPr>
        <w:t>两天</w:t>
      </w:r>
      <w:r w:rsidR="00EA096B">
        <w:rPr>
          <w:rFonts w:ascii="KaiTi" w:eastAsia="KaiTi" w:hAnsi="KaiTi" w:cs="Times New Roman" w:hint="eastAsia"/>
          <w:kern w:val="0"/>
          <w14:ligatures w14:val="none"/>
        </w:rPr>
        <w:t>美股</w:t>
      </w:r>
      <w:r w:rsidRPr="00DF0D5E">
        <w:rPr>
          <w:rFonts w:ascii="KaiTi" w:eastAsia="KaiTi" w:hAnsi="KaiTi" w:cs="Times New Roman" w:hint="eastAsia"/>
          <w:kern w:val="0"/>
          <w14:ligatures w14:val="none"/>
        </w:rPr>
        <w:t>强势反弹</w:t>
      </w:r>
      <w:r w:rsidR="00EA096B">
        <w:rPr>
          <w:rFonts w:ascii="KaiTi" w:eastAsia="KaiTi" w:hAnsi="KaiTi" w:cs="Times New Roman" w:hint="eastAsia"/>
          <w:kern w:val="0"/>
          <w14:ligatures w14:val="none"/>
        </w:rPr>
        <w:t>，</w:t>
      </w:r>
    </w:p>
    <w:p w14:paraId="7E254CA9" w14:textId="2ED98B99" w:rsidR="00DF0D5E" w:rsidRPr="00DF0D5E" w:rsidRDefault="00EA096B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>
        <w:rPr>
          <w:rFonts w:ascii="KaiTi" w:eastAsia="KaiTi" w:hAnsi="KaiTi" w:cs="Times New Roman" w:hint="eastAsia"/>
          <w:kern w:val="0"/>
          <w14:ligatures w14:val="none"/>
        </w:rPr>
        <w:t>市场</w:t>
      </w:r>
      <w:r w:rsidR="00DF0D5E" w:rsidRPr="00DF0D5E">
        <w:rPr>
          <w:rFonts w:ascii="KaiTi" w:eastAsia="KaiTi" w:hAnsi="KaiTi" w:cs="Times New Roman" w:hint="eastAsia"/>
          <w:kern w:val="0"/>
          <w14:ligatures w14:val="none"/>
        </w:rPr>
        <w:t>提醒我们：</w:t>
      </w:r>
    </w:p>
    <w:p w14:paraId="2BBA38BE" w14:textId="77FAE46E" w:rsidR="00597530" w:rsidRPr="00597530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 w:hint="eastAsia"/>
          <w:kern w:val="0"/>
          <w14:ligatures w14:val="none"/>
        </w:rPr>
        <w:t>市场的短期价格，大部分时间与真实价值并没有严格同步。</w:t>
      </w:r>
    </w:p>
    <w:p w14:paraId="09A3D13E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010132FA" w14:textId="77777777" w:rsidR="00DF0D5E" w:rsidRPr="00DF0D5E" w:rsidRDefault="00DF0D5E" w:rsidP="00DF0D5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KaiTi" w:eastAsia="KaiTi" w:hAnsi="KaiTi" w:cs="Times New Roman"/>
          <w:b/>
          <w:bCs/>
          <w:kern w:val="0"/>
          <w14:ligatures w14:val="none"/>
        </w:rPr>
      </w:pPr>
      <w:r w:rsidRPr="00DF0D5E">
        <w:rPr>
          <w:rFonts w:ascii="KaiTi" w:eastAsia="KaiTi" w:hAnsi="KaiTi" w:cs="Times New Roman"/>
          <w:b/>
          <w:bCs/>
          <w:kern w:val="0"/>
          <w14:ligatures w14:val="none"/>
        </w:rPr>
        <w:lastRenderedPageBreak/>
        <w:t>市场一直在变，人性从未改变</w:t>
      </w:r>
    </w:p>
    <w:p w14:paraId="260D4157" w14:textId="77777777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65907A00" w14:textId="77777777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/>
          <w:kern w:val="0"/>
          <w14:ligatures w14:val="none"/>
        </w:rPr>
        <w:t>只要呆在市场里，就一定会受到波动影响。</w:t>
      </w:r>
    </w:p>
    <w:p w14:paraId="72A53DB5" w14:textId="77777777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/>
          <w:kern w:val="0"/>
          <w14:ligatures w14:val="none"/>
        </w:rPr>
        <w:t>恐惧与贪婪，是投资者长期收益的两大天敌。</w:t>
      </w:r>
    </w:p>
    <w:p w14:paraId="483D39F8" w14:textId="77777777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6FE5CA9D" w14:textId="77777777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/>
          <w:kern w:val="0"/>
          <w14:ligatures w14:val="none"/>
        </w:rPr>
        <w:t>巴菲特在《股东信》中反复提醒投资者两条朴素但极难做到的基本功：</w:t>
      </w:r>
    </w:p>
    <w:p w14:paraId="5D9ADBF9" w14:textId="77777777" w:rsidR="00DF0D5E" w:rsidRPr="00DF0D5E" w:rsidRDefault="00DF0D5E" w:rsidP="00DF0D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/>
          <w:b/>
          <w:bCs/>
          <w:kern w:val="0"/>
          <w14:ligatures w14:val="none"/>
        </w:rPr>
        <w:t>不要贪婪。</w:t>
      </w:r>
    </w:p>
    <w:p w14:paraId="18F5D1BA" w14:textId="77777777" w:rsidR="00DF0D5E" w:rsidRPr="00DF0D5E" w:rsidRDefault="00DF0D5E" w:rsidP="00DF0D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/>
          <w:b/>
          <w:bCs/>
          <w:kern w:val="0"/>
          <w14:ligatures w14:val="none"/>
        </w:rPr>
        <w:t>保持谨慎。</w:t>
      </w:r>
    </w:p>
    <w:p w14:paraId="297B801F" w14:textId="77777777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01EEFDE8" w14:textId="77777777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/>
          <w:kern w:val="0"/>
          <w14:ligatures w14:val="none"/>
        </w:rPr>
        <w:t>在情绪极端的月份里，你会发现他这两句话的现实意义：</w:t>
      </w:r>
    </w:p>
    <w:p w14:paraId="488F5C30" w14:textId="77777777" w:rsidR="00DF0D5E" w:rsidRPr="00DF0D5E" w:rsidRDefault="00DF0D5E" w:rsidP="00DF0D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/>
          <w:kern w:val="0"/>
          <w14:ligatures w14:val="none"/>
        </w:rPr>
        <w:t>市场涨得越快，越容易让人忘记风险敞口在哪里；</w:t>
      </w:r>
    </w:p>
    <w:p w14:paraId="3ED06C0A" w14:textId="77777777" w:rsidR="00DF0D5E" w:rsidRPr="00DF0D5E" w:rsidRDefault="00DF0D5E" w:rsidP="00DF0D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/>
          <w:kern w:val="0"/>
          <w14:ligatures w14:val="none"/>
        </w:rPr>
        <w:t>市场跌得越狠，越容易让人乱了阵脚，把长期规划随手推翻；</w:t>
      </w:r>
    </w:p>
    <w:p w14:paraId="5CCD9ADE" w14:textId="77777777" w:rsidR="00DF0D5E" w:rsidRPr="00DF0D5E" w:rsidRDefault="00DF0D5E" w:rsidP="00DF0D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/>
          <w:kern w:val="0"/>
          <w14:ligatures w14:val="none"/>
        </w:rPr>
        <w:t>本来稳健的现金流安排，在情绪冲击下突然“挪作他用”；</w:t>
      </w:r>
    </w:p>
    <w:p w14:paraId="56BB0B51" w14:textId="77777777" w:rsidR="00DF0D5E" w:rsidRPr="00DF0D5E" w:rsidRDefault="00DF0D5E" w:rsidP="00DF0D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/>
          <w:kern w:val="0"/>
          <w14:ligatures w14:val="none"/>
        </w:rPr>
        <w:t>想长期投资的人，最后输给了自己短期的反应。</w:t>
      </w:r>
    </w:p>
    <w:p w14:paraId="60AE0601" w14:textId="77777777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0F293D91" w14:textId="77777777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/>
          <w:kern w:val="0"/>
          <w14:ligatures w14:val="none"/>
        </w:rPr>
        <w:t>巴菲特之所以能穿越周期，不是因为他能预测市场，而是因为他</w:t>
      </w:r>
      <w:r w:rsidRPr="00DF0D5E">
        <w:rPr>
          <w:rFonts w:ascii="KaiTi" w:eastAsia="KaiTi" w:hAnsi="KaiTi" w:cs="Times New Roman"/>
          <w:b/>
          <w:bCs/>
          <w:kern w:val="0"/>
          <w14:ligatures w14:val="none"/>
        </w:rPr>
        <w:t>比别人更能不被市场牵着走</w:t>
      </w:r>
      <w:r w:rsidRPr="00DF0D5E">
        <w:rPr>
          <w:rFonts w:ascii="KaiTi" w:eastAsia="KaiTi" w:hAnsi="KaiTi" w:cs="Times New Roman"/>
          <w:kern w:val="0"/>
          <w14:ligatures w14:val="none"/>
        </w:rPr>
        <w:t>。</w:t>
      </w:r>
    </w:p>
    <w:p w14:paraId="3C2B980D" w14:textId="77777777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6F750349" w14:textId="77777777" w:rsidR="00DF0D5E" w:rsidRPr="00DF0D5E" w:rsidRDefault="00DF0D5E" w:rsidP="00DF0D5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DF0D5E">
        <w:rPr>
          <w:rFonts w:ascii="KaiTi" w:eastAsia="KaiTi" w:hAnsi="KaiTi" w:cs="Times New Roman"/>
          <w:b/>
          <w:bCs/>
          <w:kern w:val="0"/>
          <w14:ligatures w14:val="none"/>
        </w:rPr>
        <w:t>真正的长期胜利来自于：</w:t>
      </w:r>
    </w:p>
    <w:p w14:paraId="2EEE0BBD" w14:textId="4B0C91E8" w:rsidR="00CA376C" w:rsidRPr="00DF0D5E" w:rsidRDefault="00DF0D5E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b/>
          <w:bCs/>
          <w:kern w:val="0"/>
          <w14:ligatures w14:val="none"/>
        </w:rPr>
      </w:pPr>
      <w:r w:rsidRPr="00DF0D5E">
        <w:rPr>
          <w:rFonts w:ascii="KaiTi" w:eastAsia="KaiTi" w:hAnsi="KaiTi" w:cs="Times New Roman"/>
          <w:b/>
          <w:bCs/>
          <w:kern w:val="0"/>
          <w14:ligatures w14:val="none"/>
        </w:rPr>
        <w:t>不因为涨而贪，不因为跌而慌</w:t>
      </w:r>
      <w:r>
        <w:rPr>
          <w:rFonts w:ascii="KaiTi" w:eastAsia="KaiTi" w:hAnsi="KaiTi" w:cs="Times New Roman" w:hint="eastAsia"/>
          <w:b/>
          <w:bCs/>
          <w:kern w:val="0"/>
          <w14:ligatures w14:val="none"/>
        </w:rPr>
        <w:t>。</w:t>
      </w:r>
    </w:p>
    <w:p w14:paraId="3CD7694B" w14:textId="77777777" w:rsidR="004545E5" w:rsidRPr="00436C20" w:rsidRDefault="003F1D09" w:rsidP="004545E5">
      <w:pPr>
        <w:spacing w:after="0" w:line="240" w:lineRule="auto"/>
        <w:rPr>
          <w:rFonts w:ascii="KaiTi" w:eastAsia="KaiTi" w:hAnsi="KaiTi" w:cs="Times New Roman"/>
          <w:kern w:val="0"/>
          <w14:ligatures w14:val="none"/>
        </w:rPr>
      </w:pPr>
      <w:r>
        <w:rPr>
          <w:rFonts w:ascii="KaiTi" w:eastAsia="KaiTi" w:hAnsi="KaiTi" w:cs="Times New Roman"/>
          <w:noProof/>
          <w:kern w:val="0"/>
        </w:rPr>
        <w:pict w14:anchorId="4323D4B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A99727" w14:textId="77777777" w:rsidR="00690C0D" w:rsidRPr="001C3F9D" w:rsidRDefault="00690C0D" w:rsidP="00690C0D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1C3F9D">
        <w:rPr>
          <w:rFonts w:ascii="KaiTi" w:eastAsia="KaiTi" w:hAnsi="KaiTi" w:cs="PingFang TC"/>
          <w:b/>
          <w:bCs/>
          <w:kern w:val="0"/>
          <w14:ligatures w14:val="none"/>
        </w:rPr>
        <w:t>旺达财智团队</w:t>
      </w:r>
    </w:p>
    <w:p w14:paraId="6D1879AC" w14:textId="71695C6B" w:rsidR="00690C0D" w:rsidRPr="001C3F9D" w:rsidRDefault="00690C0D" w:rsidP="00690C0D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1C3F9D">
        <w:rPr>
          <w:rFonts w:ascii="KaiTi" w:eastAsia="KaiTi" w:hAnsi="KaiTi" w:cs="PingFang TC"/>
          <w:kern w:val="0"/>
          <w14:ligatures w14:val="none"/>
        </w:rPr>
        <w:t>2025年</w:t>
      </w:r>
      <w:r w:rsidR="00852620">
        <w:rPr>
          <w:rFonts w:ascii="KaiTi" w:eastAsia="KaiTi" w:hAnsi="KaiTi" w:cs="PingFang TC" w:hint="eastAsia"/>
          <w:kern w:val="0"/>
          <w14:ligatures w14:val="none"/>
        </w:rPr>
        <w:t>1</w:t>
      </w:r>
      <w:r w:rsidR="00DF0D5E">
        <w:rPr>
          <w:rFonts w:ascii="KaiTi" w:eastAsia="KaiTi" w:hAnsi="KaiTi" w:cs="PingFang TC" w:hint="eastAsia"/>
          <w:kern w:val="0"/>
          <w14:ligatures w14:val="none"/>
        </w:rPr>
        <w:t>1</w:t>
      </w:r>
      <w:r w:rsidRPr="001C3F9D">
        <w:rPr>
          <w:rFonts w:ascii="KaiTi" w:eastAsia="KaiTi" w:hAnsi="KaiTi" w:cs="PingFang TC"/>
          <w:kern w:val="0"/>
          <w14:ligatures w14:val="none"/>
        </w:rPr>
        <w:t>月</w:t>
      </w:r>
    </w:p>
    <w:p w14:paraId="30D09270" w14:textId="77777777" w:rsidR="003A1E35" w:rsidRDefault="003A1E35">
      <w:pPr>
        <w:rPr>
          <w:rFonts w:ascii="KaiTi" w:eastAsia="KaiTi" w:hAnsi="KaiTi"/>
          <w:b/>
          <w:bCs/>
        </w:rPr>
      </w:pPr>
      <w:r>
        <w:rPr>
          <w:rFonts w:ascii="KaiTi" w:eastAsia="KaiTi" w:hAnsi="KaiTi"/>
          <w:b/>
          <w:bCs/>
        </w:rPr>
        <w:br w:type="page"/>
      </w:r>
    </w:p>
    <w:p w14:paraId="39BD05A7" w14:textId="0140DFA6" w:rsidR="00690C0D" w:rsidRPr="000C1D9B" w:rsidRDefault="00690C0D" w:rsidP="00690C0D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lastRenderedPageBreak/>
        <w:t>示例组合运行情况</w:t>
      </w:r>
    </w:p>
    <w:p w14:paraId="238EB854" w14:textId="77777777" w:rsidR="00690C0D" w:rsidRPr="000C1D9B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为了能够更好地帮助大家理解和熟悉我们的长期配置思路，我们通过公司投连险平台管理了两个典型组合。两个组合都以100万美金的初始投入为例，并于</w:t>
      </w:r>
      <w:r>
        <w:rPr>
          <w:rFonts w:ascii="KaiTi" w:eastAsia="KaiTi" w:hAnsi="KaiTi" w:hint="eastAsia"/>
        </w:rPr>
        <w:t>2024年</w:t>
      </w:r>
      <w:r w:rsidRPr="000C1D9B">
        <w:rPr>
          <w:rFonts w:ascii="KaiTi" w:eastAsia="KaiTi" w:hAnsi="KaiTi" w:hint="eastAsia"/>
        </w:rPr>
        <w:t>10月24日完成建仓买入。</w:t>
      </w:r>
    </w:p>
    <w:p w14:paraId="35422E21" w14:textId="77777777" w:rsidR="00690C0D" w:rsidRPr="000E2963" w:rsidRDefault="00690C0D" w:rsidP="00690C0D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组合1: 长线增长 ILI Long Term Accumulation</w:t>
      </w:r>
    </w:p>
    <w:p w14:paraId="46F089FF" w14:textId="77777777" w:rsidR="00690C0D" w:rsidRPr="000C1D9B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其中第一个组合更关注长期的增长，通过固定收益、房地产</w:t>
      </w:r>
      <w:r>
        <w:rPr>
          <w:rFonts w:ascii="KaiTi" w:eastAsia="KaiTi" w:hAnsi="KaiTi" w:hint="eastAsia"/>
        </w:rPr>
        <w:t>信托基金</w:t>
      </w:r>
      <w:r w:rsidRPr="000C1D9B">
        <w:rPr>
          <w:rFonts w:ascii="KaiTi" w:eastAsia="KaiTi" w:hAnsi="KaiTi" w:hint="eastAsia"/>
        </w:rPr>
        <w:t>和优质股票的组合来实现，他们的</w:t>
      </w:r>
      <w:r>
        <w:rPr>
          <w:rFonts w:ascii="KaiTi" w:eastAsia="KaiTi" w:hAnsi="KaiTi" w:hint="eastAsia"/>
        </w:rPr>
        <w:t>初始</w:t>
      </w:r>
      <w:r w:rsidRPr="000C1D9B">
        <w:rPr>
          <w:rFonts w:ascii="KaiTi" w:eastAsia="KaiTi" w:hAnsi="KaiTi" w:hint="eastAsia"/>
        </w:rPr>
        <w:t>配置比例为40%：25%：35%。</w:t>
      </w:r>
    </w:p>
    <w:p w14:paraId="12C2CB9F" w14:textId="395343B6" w:rsidR="006D4536" w:rsidRPr="00331F36" w:rsidRDefault="00690C0D" w:rsidP="006D4536">
      <w:pPr>
        <w:rPr>
          <w:rFonts w:ascii="KaiTi" w:eastAsia="KaiTi" w:hAnsi="KaiTi"/>
          <w:sz w:val="21"/>
          <w:szCs w:val="21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5</w:t>
      </w:r>
      <w:r w:rsidRPr="000C1D9B">
        <w:rPr>
          <w:rFonts w:ascii="KaiTi" w:eastAsia="KaiTi" w:hAnsi="KaiTi" w:hint="eastAsia"/>
        </w:rPr>
        <w:t>年</w:t>
      </w:r>
      <w:r w:rsidR="005429BE">
        <w:rPr>
          <w:rFonts w:ascii="KaiTi" w:eastAsia="KaiTi" w:hAnsi="KaiTi" w:hint="eastAsia"/>
        </w:rPr>
        <w:t>1</w:t>
      </w:r>
      <w:r w:rsidR="00EA096B">
        <w:rPr>
          <w:rFonts w:ascii="KaiTi" w:eastAsia="KaiTi" w:hAnsi="KaiTi" w:hint="eastAsia"/>
        </w:rPr>
        <w:t>1</w:t>
      </w:r>
      <w:r w:rsidRPr="000C1D9B">
        <w:rPr>
          <w:rFonts w:ascii="KaiTi" w:eastAsia="KaiTi" w:hAnsi="KaiTi" w:hint="eastAsia"/>
        </w:rPr>
        <w:t>月</w:t>
      </w:r>
      <w:r>
        <w:rPr>
          <w:rFonts w:ascii="KaiTi" w:eastAsia="KaiTi" w:hAnsi="KaiTi"/>
        </w:rPr>
        <w:t>2</w:t>
      </w:r>
      <w:r w:rsidR="006D4536">
        <w:rPr>
          <w:rFonts w:ascii="KaiTi" w:eastAsia="KaiTi" w:hAnsi="KaiTi" w:hint="eastAsia"/>
        </w:rPr>
        <w:t>6</w:t>
      </w:r>
      <w:r w:rsidRPr="000C1D9B">
        <w:rPr>
          <w:rFonts w:ascii="KaiTi" w:eastAsia="KaiTi" w:hAnsi="KaiTi" w:hint="eastAsia"/>
        </w:rPr>
        <w:t>日，这个组合的运行情况如下：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1209"/>
        <w:gridCol w:w="1106"/>
        <w:gridCol w:w="1453"/>
        <w:gridCol w:w="1273"/>
        <w:gridCol w:w="1275"/>
      </w:tblGrid>
      <w:tr w:rsidR="006D4536" w:rsidRPr="006D4536" w14:paraId="28FCD757" w14:textId="77777777" w:rsidTr="006D4536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560A573F" w14:textId="77777777" w:rsidR="006D4536" w:rsidRPr="006D4536" w:rsidRDefault="006D4536" w:rsidP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Calibri" w:eastAsia="KaiTi" w:hAnsi="Calibri" w:cs="Calibri"/>
                <w:sz w:val="22"/>
                <w:szCs w:val="22"/>
              </w:rPr>
              <w:t> </w:t>
            </w:r>
          </w:p>
        </w:tc>
        <w:tc>
          <w:tcPr>
            <w:tcW w:w="1209" w:type="dxa"/>
            <w:noWrap/>
            <w:hideMark/>
          </w:tcPr>
          <w:p w14:paraId="65C1E679" w14:textId="77777777" w:rsidR="006D4536" w:rsidRPr="006D4536" w:rsidRDefault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日期</w:t>
            </w:r>
          </w:p>
        </w:tc>
        <w:tc>
          <w:tcPr>
            <w:tcW w:w="1106" w:type="dxa"/>
            <w:noWrap/>
            <w:hideMark/>
          </w:tcPr>
          <w:p w14:paraId="5AB3A0F3" w14:textId="77777777" w:rsidR="006D4536" w:rsidRPr="006D4536" w:rsidRDefault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价格</w:t>
            </w:r>
          </w:p>
        </w:tc>
        <w:tc>
          <w:tcPr>
            <w:tcW w:w="1453" w:type="dxa"/>
            <w:noWrap/>
            <w:hideMark/>
          </w:tcPr>
          <w:p w14:paraId="383260D2" w14:textId="77777777" w:rsidR="006D4536" w:rsidRPr="006D4536" w:rsidRDefault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金额</w:t>
            </w:r>
          </w:p>
        </w:tc>
        <w:tc>
          <w:tcPr>
            <w:tcW w:w="1273" w:type="dxa"/>
            <w:noWrap/>
            <w:hideMark/>
          </w:tcPr>
          <w:p w14:paraId="7FB92A42" w14:textId="77777777" w:rsidR="006D4536" w:rsidRPr="006D4536" w:rsidRDefault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占比</w:t>
            </w:r>
          </w:p>
        </w:tc>
        <w:tc>
          <w:tcPr>
            <w:tcW w:w="1275" w:type="dxa"/>
            <w:noWrap/>
            <w:hideMark/>
          </w:tcPr>
          <w:p w14:paraId="7D971B3C" w14:textId="77777777" w:rsidR="006D4536" w:rsidRPr="006D4536" w:rsidRDefault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组合净值增长</w:t>
            </w:r>
          </w:p>
        </w:tc>
      </w:tr>
      <w:tr w:rsidR="006D4536" w:rsidRPr="006D4536" w14:paraId="2B780CF4" w14:textId="77777777" w:rsidTr="006D4536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06DDF8E7" w14:textId="77777777" w:rsidR="006D4536" w:rsidRPr="006D4536" w:rsidRDefault="006D4536" w:rsidP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I17 美国优质股权基金</w:t>
            </w:r>
          </w:p>
        </w:tc>
        <w:tc>
          <w:tcPr>
            <w:tcW w:w="1209" w:type="dxa"/>
            <w:noWrap/>
            <w:vAlign w:val="center"/>
            <w:hideMark/>
          </w:tcPr>
          <w:p w14:paraId="0CA276A9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11/26/25</w:t>
            </w:r>
          </w:p>
        </w:tc>
        <w:tc>
          <w:tcPr>
            <w:tcW w:w="1106" w:type="dxa"/>
            <w:noWrap/>
            <w:vAlign w:val="center"/>
            <w:hideMark/>
          </w:tcPr>
          <w:p w14:paraId="4FAEE279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24.24</w:t>
            </w:r>
          </w:p>
        </w:tc>
        <w:tc>
          <w:tcPr>
            <w:tcW w:w="1453" w:type="dxa"/>
            <w:noWrap/>
            <w:vAlign w:val="center"/>
            <w:hideMark/>
          </w:tcPr>
          <w:p w14:paraId="033314D3" w14:textId="3ECCE5C9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379,865</w:t>
            </w:r>
          </w:p>
        </w:tc>
        <w:tc>
          <w:tcPr>
            <w:tcW w:w="1273" w:type="dxa"/>
            <w:noWrap/>
            <w:vAlign w:val="center"/>
            <w:hideMark/>
          </w:tcPr>
          <w:p w14:paraId="59B2A676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35.7%</w:t>
            </w:r>
          </w:p>
        </w:tc>
        <w:tc>
          <w:tcPr>
            <w:tcW w:w="1275" w:type="dxa"/>
            <w:noWrap/>
            <w:vAlign w:val="center"/>
            <w:hideMark/>
          </w:tcPr>
          <w:p w14:paraId="35A8E578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10.81%</w:t>
            </w:r>
          </w:p>
        </w:tc>
      </w:tr>
      <w:tr w:rsidR="006D4536" w:rsidRPr="006D4536" w14:paraId="7598B9D1" w14:textId="77777777" w:rsidTr="006D4536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3795B6BF" w14:textId="77777777" w:rsidR="006D4536" w:rsidRPr="006D4536" w:rsidRDefault="006D4536" w:rsidP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R01 美国房地产基金</w:t>
            </w:r>
          </w:p>
        </w:tc>
        <w:tc>
          <w:tcPr>
            <w:tcW w:w="1209" w:type="dxa"/>
            <w:noWrap/>
            <w:vAlign w:val="center"/>
            <w:hideMark/>
          </w:tcPr>
          <w:p w14:paraId="05908985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11/26/25</w:t>
            </w:r>
          </w:p>
        </w:tc>
        <w:tc>
          <w:tcPr>
            <w:tcW w:w="1106" w:type="dxa"/>
            <w:noWrap/>
            <w:vAlign w:val="center"/>
            <w:hideMark/>
          </w:tcPr>
          <w:p w14:paraId="14F85569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25.87</w:t>
            </w:r>
          </w:p>
        </w:tc>
        <w:tc>
          <w:tcPr>
            <w:tcW w:w="1453" w:type="dxa"/>
            <w:noWrap/>
            <w:vAlign w:val="center"/>
            <w:hideMark/>
          </w:tcPr>
          <w:p w14:paraId="15F1696D" w14:textId="49DB2AF9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265,918</w:t>
            </w:r>
          </w:p>
        </w:tc>
        <w:tc>
          <w:tcPr>
            <w:tcW w:w="1273" w:type="dxa"/>
            <w:noWrap/>
            <w:vAlign w:val="center"/>
            <w:hideMark/>
          </w:tcPr>
          <w:p w14:paraId="69662AA0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25.0%</w:t>
            </w:r>
          </w:p>
        </w:tc>
        <w:tc>
          <w:tcPr>
            <w:tcW w:w="1275" w:type="dxa"/>
            <w:noWrap/>
            <w:vAlign w:val="center"/>
            <w:hideMark/>
          </w:tcPr>
          <w:p w14:paraId="0F7E2687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0.27%</w:t>
            </w:r>
          </w:p>
        </w:tc>
      </w:tr>
      <w:tr w:rsidR="006D4536" w:rsidRPr="006D4536" w14:paraId="29941553" w14:textId="77777777" w:rsidTr="006D4536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7F1D90A4" w14:textId="77777777" w:rsidR="006D4536" w:rsidRPr="006D4536" w:rsidRDefault="006D4536" w:rsidP="006D4536">
            <w:pPr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F16 美国中高等级债券基金</w:t>
            </w:r>
          </w:p>
        </w:tc>
        <w:tc>
          <w:tcPr>
            <w:tcW w:w="1209" w:type="dxa"/>
            <w:noWrap/>
            <w:vAlign w:val="center"/>
            <w:hideMark/>
          </w:tcPr>
          <w:p w14:paraId="2C42DE3D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11/26/25</w:t>
            </w:r>
          </w:p>
        </w:tc>
        <w:tc>
          <w:tcPr>
            <w:tcW w:w="1106" w:type="dxa"/>
            <w:noWrap/>
            <w:vAlign w:val="center"/>
            <w:hideMark/>
          </w:tcPr>
          <w:p w14:paraId="1C548AFA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144.18</w:t>
            </w:r>
          </w:p>
        </w:tc>
        <w:tc>
          <w:tcPr>
            <w:tcW w:w="1453" w:type="dxa"/>
            <w:noWrap/>
            <w:vAlign w:val="center"/>
            <w:hideMark/>
          </w:tcPr>
          <w:p w14:paraId="726450DD" w14:textId="0F86B294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418,122</w:t>
            </w:r>
          </w:p>
        </w:tc>
        <w:tc>
          <w:tcPr>
            <w:tcW w:w="1273" w:type="dxa"/>
            <w:noWrap/>
            <w:vAlign w:val="center"/>
            <w:hideMark/>
          </w:tcPr>
          <w:p w14:paraId="0D7F2965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39.3%</w:t>
            </w:r>
          </w:p>
        </w:tc>
        <w:tc>
          <w:tcPr>
            <w:tcW w:w="1275" w:type="dxa"/>
            <w:noWrap/>
            <w:vAlign w:val="center"/>
            <w:hideMark/>
          </w:tcPr>
          <w:p w14:paraId="6263CBF3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6.38%</w:t>
            </w:r>
          </w:p>
        </w:tc>
      </w:tr>
      <w:tr w:rsidR="006D4536" w:rsidRPr="006D4536" w14:paraId="0CEBD530" w14:textId="77777777" w:rsidTr="006D4536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3102E825" w14:textId="3D7D8DA4" w:rsidR="006D4536" w:rsidRPr="006D4536" w:rsidRDefault="006D4536" w:rsidP="006D4536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09" w:type="dxa"/>
            <w:noWrap/>
            <w:vAlign w:val="center"/>
            <w:hideMark/>
          </w:tcPr>
          <w:p w14:paraId="5790A8DC" w14:textId="14AF970F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06" w:type="dxa"/>
            <w:noWrap/>
            <w:vAlign w:val="center"/>
            <w:hideMark/>
          </w:tcPr>
          <w:p w14:paraId="63AADC75" w14:textId="2F42E30E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53" w:type="dxa"/>
            <w:noWrap/>
            <w:vAlign w:val="center"/>
            <w:hideMark/>
          </w:tcPr>
          <w:p w14:paraId="2CD85ADC" w14:textId="01B3DA21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1,063,905</w:t>
            </w:r>
          </w:p>
        </w:tc>
        <w:tc>
          <w:tcPr>
            <w:tcW w:w="1273" w:type="dxa"/>
            <w:noWrap/>
            <w:vAlign w:val="center"/>
            <w:hideMark/>
          </w:tcPr>
          <w:p w14:paraId="0322620C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100.0%</w:t>
            </w:r>
          </w:p>
        </w:tc>
        <w:tc>
          <w:tcPr>
            <w:tcW w:w="1275" w:type="dxa"/>
            <w:noWrap/>
            <w:vAlign w:val="center"/>
            <w:hideMark/>
          </w:tcPr>
          <w:p w14:paraId="59181BB5" w14:textId="77777777" w:rsidR="006D4536" w:rsidRPr="006D4536" w:rsidRDefault="006D4536" w:rsidP="006D453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D4536">
              <w:rPr>
                <w:rFonts w:ascii="KaiTi" w:eastAsia="KaiTi" w:hAnsi="KaiTi"/>
                <w:sz w:val="22"/>
                <w:szCs w:val="22"/>
              </w:rPr>
              <w:t>6.40%</w:t>
            </w:r>
          </w:p>
        </w:tc>
      </w:tr>
    </w:tbl>
    <w:p w14:paraId="6597235C" w14:textId="4ECC681C" w:rsidR="00690C0D" w:rsidRDefault="00690C0D" w:rsidP="006D4536">
      <w:pPr>
        <w:rPr>
          <w:rFonts w:ascii="KaiTi" w:eastAsia="KaiTi" w:hAnsi="KaiTi"/>
        </w:rPr>
      </w:pPr>
      <w:r w:rsidRPr="00331F36">
        <w:rPr>
          <w:rFonts w:ascii="KaiTi" w:eastAsia="KaiTi" w:hAnsi="KaiTi" w:hint="eastAsia"/>
          <w:sz w:val="21"/>
          <w:szCs w:val="21"/>
        </w:rPr>
        <w:t>注：因晨星系统改版，该组合数据由人工整理获得</w:t>
      </w:r>
      <w:r>
        <w:rPr>
          <w:rFonts w:ascii="KaiTi" w:eastAsia="KaiTi" w:hAnsi="KaiTi" w:hint="eastAsia"/>
        </w:rPr>
        <w:t>。</w:t>
      </w:r>
    </w:p>
    <w:p w14:paraId="72347382" w14:textId="6174E299" w:rsidR="00690C0D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截止</w:t>
      </w:r>
      <w:r w:rsidR="005429BE">
        <w:rPr>
          <w:rFonts w:ascii="KaiTi" w:eastAsia="KaiTi" w:hAnsi="KaiTi" w:hint="eastAsia"/>
        </w:rPr>
        <w:t>1</w:t>
      </w:r>
      <w:r w:rsidR="00EA096B">
        <w:rPr>
          <w:rFonts w:ascii="KaiTi" w:eastAsia="KaiTi" w:hAnsi="KaiTi" w:hint="eastAsia"/>
        </w:rPr>
        <w:t>1</w:t>
      </w:r>
      <w:r>
        <w:rPr>
          <w:rFonts w:ascii="KaiTi" w:eastAsia="KaiTi" w:hAnsi="KaiTi" w:hint="eastAsia"/>
        </w:rPr>
        <w:t>月2</w:t>
      </w:r>
      <w:r w:rsidR="006D4536">
        <w:rPr>
          <w:rFonts w:ascii="KaiTi" w:eastAsia="KaiTi" w:hAnsi="KaiTi" w:hint="eastAsia"/>
        </w:rPr>
        <w:t>6</w:t>
      </w:r>
      <w:r>
        <w:rPr>
          <w:rFonts w:ascii="KaiTi" w:eastAsia="KaiTi" w:hAnsi="KaiTi" w:hint="eastAsia"/>
        </w:rPr>
        <w:t>号的收盘数据，组合自成立起累计增长</w:t>
      </w:r>
      <w:r w:rsidR="005429BE">
        <w:rPr>
          <w:rFonts w:ascii="KaiTi" w:eastAsia="KaiTi" w:hAnsi="KaiTi" w:hint="eastAsia"/>
        </w:rPr>
        <w:t>6.</w:t>
      </w:r>
      <w:r w:rsidR="006D4536">
        <w:rPr>
          <w:rFonts w:ascii="KaiTi" w:eastAsia="KaiTi" w:hAnsi="KaiTi" w:hint="eastAsia"/>
        </w:rPr>
        <w:t>4</w:t>
      </w:r>
      <w:r>
        <w:rPr>
          <w:rFonts w:ascii="KaiTi" w:eastAsia="KaiTi" w:hAnsi="KaiTi" w:hint="eastAsia"/>
        </w:rPr>
        <w:t>%，年内累计增长</w:t>
      </w:r>
      <w:r w:rsidR="005429BE">
        <w:rPr>
          <w:rFonts w:ascii="KaiTi" w:eastAsia="KaiTi" w:hAnsi="KaiTi" w:hint="eastAsia"/>
        </w:rPr>
        <w:t>8.</w:t>
      </w:r>
      <w:r w:rsidR="006D4536">
        <w:rPr>
          <w:rFonts w:ascii="KaiTi" w:eastAsia="KaiTi" w:hAnsi="KaiTi" w:hint="eastAsia"/>
        </w:rPr>
        <w:t>17</w:t>
      </w:r>
      <w:r>
        <w:rPr>
          <w:rFonts w:ascii="KaiTi" w:eastAsia="KaiTi" w:hAnsi="KaiTi" w:hint="eastAsia"/>
        </w:rPr>
        <w:t>%。</w:t>
      </w:r>
    </w:p>
    <w:p w14:paraId="5868CB1C" w14:textId="77777777" w:rsidR="00690C0D" w:rsidRPr="00B14E80" w:rsidRDefault="00690C0D" w:rsidP="00690C0D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组合2: 收息现金流 ILI CASH GENERATOR</w:t>
      </w:r>
    </w:p>
    <w:p w14:paraId="4744E1A4" w14:textId="77777777" w:rsidR="00690C0D" w:rsidRPr="000C1D9B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该组合</w:t>
      </w:r>
      <w:r w:rsidRPr="000C1D9B">
        <w:rPr>
          <w:rFonts w:ascii="KaiTi" w:eastAsia="KaiTi" w:hAnsi="KaiTi" w:hint="eastAsia"/>
        </w:rPr>
        <w:t>选择派息型的基金，可以在投入后第一个月就开始收取分红，在储蓄分红险之外打造一个即时产生的被动现金流工具</w:t>
      </w:r>
      <w:r>
        <w:rPr>
          <w:rFonts w:ascii="KaiTi" w:eastAsia="KaiTi" w:hAnsi="KaiTi" w:hint="eastAsia"/>
        </w:rPr>
        <w:t>。该组合</w:t>
      </w:r>
      <w:r w:rsidRPr="000C1D9B">
        <w:rPr>
          <w:rFonts w:ascii="KaiTi" w:eastAsia="KaiTi" w:hAnsi="KaiTi" w:hint="eastAsia"/>
        </w:rPr>
        <w:t>通过</w:t>
      </w:r>
      <w:r>
        <w:rPr>
          <w:rFonts w:ascii="KaiTi" w:eastAsia="KaiTi" w:hAnsi="KaiTi" w:hint="eastAsia"/>
        </w:rPr>
        <w:t>美国</w:t>
      </w:r>
      <w:r w:rsidRPr="000C1D9B">
        <w:rPr>
          <w:rFonts w:ascii="KaiTi" w:eastAsia="KaiTi" w:hAnsi="KaiTi" w:hint="eastAsia"/>
        </w:rPr>
        <w:t>优质股票和固定收益的组合来实现，他们的配置比例为40%：</w:t>
      </w:r>
      <w:r>
        <w:rPr>
          <w:rFonts w:ascii="KaiTi" w:eastAsia="KaiTi" w:hAnsi="KaiTi" w:hint="eastAsia"/>
        </w:rPr>
        <w:t>60</w:t>
      </w:r>
      <w:r w:rsidRPr="000C1D9B">
        <w:rPr>
          <w:rFonts w:ascii="KaiTi" w:eastAsia="KaiTi" w:hAnsi="KaiTi" w:hint="eastAsia"/>
        </w:rPr>
        <w:t>%。</w:t>
      </w:r>
    </w:p>
    <w:p w14:paraId="38911CB5" w14:textId="77777777" w:rsidR="00690C0D" w:rsidRPr="000C1D9B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初始投入约100万美金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按照买入价格，大约可以产生年化6.5%的分红收益，并按月派发。</w:t>
      </w:r>
    </w:p>
    <w:p w14:paraId="32071436" w14:textId="75421A21" w:rsidR="00690C0D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5</w:t>
      </w:r>
      <w:r w:rsidRPr="000C1D9B">
        <w:rPr>
          <w:rFonts w:ascii="KaiTi" w:eastAsia="KaiTi" w:hAnsi="KaiTi" w:hint="eastAsia"/>
        </w:rPr>
        <w:t>年</w:t>
      </w:r>
      <w:r w:rsidR="005429BE">
        <w:rPr>
          <w:rFonts w:ascii="KaiTi" w:eastAsia="KaiTi" w:hAnsi="KaiTi" w:hint="eastAsia"/>
        </w:rPr>
        <w:t>1</w:t>
      </w:r>
      <w:r w:rsidR="00EA096B">
        <w:rPr>
          <w:rFonts w:ascii="KaiTi" w:eastAsia="KaiTi" w:hAnsi="KaiTi" w:hint="eastAsia"/>
        </w:rPr>
        <w:t>1</w:t>
      </w:r>
      <w:r w:rsidRPr="000C1D9B">
        <w:rPr>
          <w:rFonts w:ascii="KaiTi" w:eastAsia="KaiTi" w:hAnsi="KaiTi" w:hint="eastAsia"/>
        </w:rPr>
        <w:t>月</w:t>
      </w:r>
      <w:r>
        <w:rPr>
          <w:rFonts w:ascii="KaiTi" w:eastAsia="KaiTi" w:hAnsi="KaiTi" w:hint="eastAsia"/>
        </w:rPr>
        <w:t>2</w:t>
      </w:r>
      <w:r w:rsidR="008E1A13">
        <w:rPr>
          <w:rFonts w:ascii="KaiTi" w:eastAsia="KaiTi" w:hAnsi="KaiTi" w:hint="eastAsia"/>
        </w:rPr>
        <w:t>6</w:t>
      </w:r>
      <w:r w:rsidRPr="000C1D9B">
        <w:rPr>
          <w:rFonts w:ascii="KaiTi" w:eastAsia="KaiTi" w:hAnsi="KaiTi" w:hint="eastAsia"/>
        </w:rPr>
        <w:t>日，组合运行情况：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043"/>
        <w:gridCol w:w="1225"/>
        <w:gridCol w:w="1594"/>
        <w:gridCol w:w="1258"/>
        <w:gridCol w:w="1258"/>
      </w:tblGrid>
      <w:tr w:rsidR="00690C0D" w:rsidRPr="00344E79" w14:paraId="46EB74CA" w14:textId="77777777" w:rsidTr="000121F4">
        <w:trPr>
          <w:trHeight w:val="320"/>
        </w:trPr>
        <w:tc>
          <w:tcPr>
            <w:tcW w:w="2972" w:type="dxa"/>
            <w:noWrap/>
            <w:vAlign w:val="center"/>
            <w:hideMark/>
          </w:tcPr>
          <w:p w14:paraId="549F27E5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043" w:type="dxa"/>
            <w:noWrap/>
            <w:vAlign w:val="center"/>
            <w:hideMark/>
          </w:tcPr>
          <w:p w14:paraId="78CA5295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日期</w:t>
            </w:r>
          </w:p>
        </w:tc>
        <w:tc>
          <w:tcPr>
            <w:tcW w:w="1225" w:type="dxa"/>
            <w:noWrap/>
            <w:vAlign w:val="center"/>
            <w:hideMark/>
          </w:tcPr>
          <w:p w14:paraId="04CF0888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价格</w:t>
            </w:r>
          </w:p>
        </w:tc>
        <w:tc>
          <w:tcPr>
            <w:tcW w:w="1594" w:type="dxa"/>
            <w:noWrap/>
            <w:vAlign w:val="center"/>
            <w:hideMark/>
          </w:tcPr>
          <w:p w14:paraId="1586FA30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金额</w:t>
            </w:r>
          </w:p>
        </w:tc>
        <w:tc>
          <w:tcPr>
            <w:tcW w:w="1258" w:type="dxa"/>
            <w:noWrap/>
            <w:vAlign w:val="center"/>
            <w:hideMark/>
          </w:tcPr>
          <w:p w14:paraId="7638C06D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占比</w:t>
            </w:r>
          </w:p>
        </w:tc>
        <w:tc>
          <w:tcPr>
            <w:tcW w:w="1258" w:type="dxa"/>
            <w:noWrap/>
            <w:vAlign w:val="center"/>
            <w:hideMark/>
          </w:tcPr>
          <w:p w14:paraId="7A3B1041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组合净值增长</w:t>
            </w:r>
          </w:p>
        </w:tc>
      </w:tr>
      <w:tr w:rsidR="008E1A13" w:rsidRPr="00344E79" w14:paraId="4D73C297" w14:textId="77777777" w:rsidTr="005429BE">
        <w:trPr>
          <w:trHeight w:val="320"/>
        </w:trPr>
        <w:tc>
          <w:tcPr>
            <w:tcW w:w="2972" w:type="dxa"/>
            <w:noWrap/>
            <w:vAlign w:val="center"/>
            <w:hideMark/>
          </w:tcPr>
          <w:p w14:paraId="51EC47DE" w14:textId="77777777" w:rsidR="008E1A13" w:rsidRPr="00344E79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Z12美国中高等级债券基金</w:t>
            </w:r>
          </w:p>
        </w:tc>
        <w:tc>
          <w:tcPr>
            <w:tcW w:w="1043" w:type="dxa"/>
            <w:noWrap/>
            <w:vAlign w:val="center"/>
            <w:hideMark/>
          </w:tcPr>
          <w:p w14:paraId="708DEB5C" w14:textId="34889A86" w:rsidR="008E1A13" w:rsidRPr="005429BE" w:rsidRDefault="008E1A13" w:rsidP="008E1A13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5429BE">
              <w:rPr>
                <w:rFonts w:ascii="Aptos Narrow" w:hAnsi="Aptos Narrow"/>
                <w:sz w:val="22"/>
                <w:szCs w:val="22"/>
              </w:rPr>
              <w:t>1</w:t>
            </w:r>
            <w:r>
              <w:rPr>
                <w:rFonts w:ascii="Aptos Narrow" w:hAnsi="Aptos Narrow" w:hint="eastAsia"/>
                <w:sz w:val="22"/>
                <w:szCs w:val="22"/>
              </w:rPr>
              <w:t>1</w:t>
            </w:r>
            <w:r w:rsidRPr="005429BE">
              <w:rPr>
                <w:rFonts w:ascii="Aptos Narrow" w:hAnsi="Aptos Narrow"/>
                <w:sz w:val="22"/>
                <w:szCs w:val="22"/>
              </w:rPr>
              <w:t>/2</w:t>
            </w:r>
            <w:r>
              <w:rPr>
                <w:rFonts w:ascii="Aptos Narrow" w:hAnsi="Aptos Narrow" w:hint="eastAsia"/>
                <w:sz w:val="22"/>
                <w:szCs w:val="22"/>
              </w:rPr>
              <w:t>6</w:t>
            </w:r>
            <w:r w:rsidRPr="005429BE">
              <w:rPr>
                <w:rFonts w:ascii="Aptos Narrow" w:hAnsi="Aptos Narrow"/>
                <w:sz w:val="22"/>
                <w:szCs w:val="22"/>
              </w:rPr>
              <w:t>/25</w:t>
            </w:r>
          </w:p>
        </w:tc>
        <w:tc>
          <w:tcPr>
            <w:tcW w:w="1225" w:type="dxa"/>
            <w:noWrap/>
            <w:vAlign w:val="center"/>
            <w:hideMark/>
          </w:tcPr>
          <w:p w14:paraId="0F8B0EDA" w14:textId="114571D4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7.78</w:t>
            </w:r>
          </w:p>
        </w:tc>
        <w:tc>
          <w:tcPr>
            <w:tcW w:w="1594" w:type="dxa"/>
            <w:noWrap/>
            <w:vAlign w:val="center"/>
            <w:hideMark/>
          </w:tcPr>
          <w:p w14:paraId="64C5805C" w14:textId="310582AC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596162</w:t>
            </w:r>
          </w:p>
        </w:tc>
        <w:tc>
          <w:tcPr>
            <w:tcW w:w="1258" w:type="dxa"/>
            <w:noWrap/>
            <w:vAlign w:val="center"/>
            <w:hideMark/>
          </w:tcPr>
          <w:p w14:paraId="07DA27FC" w14:textId="4056B204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60%</w:t>
            </w:r>
          </w:p>
        </w:tc>
        <w:tc>
          <w:tcPr>
            <w:tcW w:w="1258" w:type="dxa"/>
            <w:noWrap/>
            <w:vAlign w:val="center"/>
            <w:hideMark/>
          </w:tcPr>
          <w:p w14:paraId="573CAADD" w14:textId="3E91BA0F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-0.64%</w:t>
            </w:r>
          </w:p>
        </w:tc>
      </w:tr>
      <w:tr w:rsidR="008E1A13" w:rsidRPr="00344E79" w14:paraId="3CC9A658" w14:textId="77777777" w:rsidTr="005429BE">
        <w:trPr>
          <w:trHeight w:val="320"/>
        </w:trPr>
        <w:tc>
          <w:tcPr>
            <w:tcW w:w="2972" w:type="dxa"/>
            <w:noWrap/>
            <w:vAlign w:val="center"/>
            <w:hideMark/>
          </w:tcPr>
          <w:p w14:paraId="6CFD00AE" w14:textId="77777777" w:rsidR="008E1A13" w:rsidRPr="00344E79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Z17美国优质股权基金</w:t>
            </w:r>
          </w:p>
        </w:tc>
        <w:tc>
          <w:tcPr>
            <w:tcW w:w="1043" w:type="dxa"/>
            <w:noWrap/>
            <w:vAlign w:val="center"/>
            <w:hideMark/>
          </w:tcPr>
          <w:p w14:paraId="41100DA5" w14:textId="1D5160DB" w:rsidR="008E1A13" w:rsidRPr="005429BE" w:rsidRDefault="008E1A13" w:rsidP="008E1A13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5429BE">
              <w:rPr>
                <w:rFonts w:ascii="Aptos Narrow" w:hAnsi="Aptos Narrow"/>
                <w:sz w:val="22"/>
                <w:szCs w:val="22"/>
              </w:rPr>
              <w:t>1</w:t>
            </w:r>
            <w:r>
              <w:rPr>
                <w:rFonts w:ascii="Aptos Narrow" w:hAnsi="Aptos Narrow" w:hint="eastAsia"/>
                <w:sz w:val="22"/>
                <w:szCs w:val="22"/>
              </w:rPr>
              <w:t>1</w:t>
            </w:r>
            <w:r w:rsidRPr="005429BE">
              <w:rPr>
                <w:rFonts w:ascii="Aptos Narrow" w:hAnsi="Aptos Narrow"/>
                <w:sz w:val="22"/>
                <w:szCs w:val="22"/>
              </w:rPr>
              <w:t>/2</w:t>
            </w:r>
            <w:r>
              <w:rPr>
                <w:rFonts w:ascii="Aptos Narrow" w:hAnsi="Aptos Narrow" w:hint="eastAsia"/>
                <w:sz w:val="22"/>
                <w:szCs w:val="22"/>
              </w:rPr>
              <w:t>6</w:t>
            </w:r>
            <w:r w:rsidRPr="005429BE">
              <w:rPr>
                <w:rFonts w:ascii="Aptos Narrow" w:hAnsi="Aptos Narrow"/>
                <w:sz w:val="22"/>
                <w:szCs w:val="22"/>
              </w:rPr>
              <w:t>/25</w:t>
            </w:r>
          </w:p>
        </w:tc>
        <w:tc>
          <w:tcPr>
            <w:tcW w:w="1225" w:type="dxa"/>
            <w:noWrap/>
            <w:vAlign w:val="center"/>
            <w:hideMark/>
          </w:tcPr>
          <w:p w14:paraId="1FE84524" w14:textId="2C06B089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9.14</w:t>
            </w:r>
          </w:p>
        </w:tc>
        <w:tc>
          <w:tcPr>
            <w:tcW w:w="1594" w:type="dxa"/>
            <w:noWrap/>
            <w:vAlign w:val="center"/>
            <w:hideMark/>
          </w:tcPr>
          <w:p w14:paraId="2CB13385" w14:textId="3B172823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405313.3</w:t>
            </w:r>
          </w:p>
        </w:tc>
        <w:tc>
          <w:tcPr>
            <w:tcW w:w="1258" w:type="dxa"/>
            <w:noWrap/>
            <w:vAlign w:val="center"/>
            <w:hideMark/>
          </w:tcPr>
          <w:p w14:paraId="25124D0F" w14:textId="77AA65DB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40%</w:t>
            </w:r>
          </w:p>
        </w:tc>
        <w:tc>
          <w:tcPr>
            <w:tcW w:w="1258" w:type="dxa"/>
            <w:noWrap/>
            <w:vAlign w:val="center"/>
            <w:hideMark/>
          </w:tcPr>
          <w:p w14:paraId="4A2306D3" w14:textId="637763CA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1.33%</w:t>
            </w:r>
          </w:p>
        </w:tc>
      </w:tr>
      <w:tr w:rsidR="008E1A13" w:rsidRPr="00344E79" w14:paraId="67BC5DE5" w14:textId="77777777" w:rsidTr="005429BE">
        <w:trPr>
          <w:trHeight w:val="320"/>
        </w:trPr>
        <w:tc>
          <w:tcPr>
            <w:tcW w:w="2972" w:type="dxa"/>
            <w:noWrap/>
            <w:vAlign w:val="center"/>
            <w:hideMark/>
          </w:tcPr>
          <w:p w14:paraId="1EFF41B5" w14:textId="77777777" w:rsidR="008E1A13" w:rsidRPr="00344E79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合计</w:t>
            </w:r>
          </w:p>
        </w:tc>
        <w:tc>
          <w:tcPr>
            <w:tcW w:w="1043" w:type="dxa"/>
            <w:noWrap/>
            <w:vAlign w:val="center"/>
            <w:hideMark/>
          </w:tcPr>
          <w:p w14:paraId="41887806" w14:textId="1FE36377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25" w:type="dxa"/>
            <w:noWrap/>
            <w:vAlign w:val="center"/>
            <w:hideMark/>
          </w:tcPr>
          <w:p w14:paraId="2B714BA8" w14:textId="77777777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594" w:type="dxa"/>
            <w:noWrap/>
            <w:vAlign w:val="center"/>
            <w:hideMark/>
          </w:tcPr>
          <w:p w14:paraId="34703ED4" w14:textId="7DC810DD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1001475.3</w:t>
            </w:r>
          </w:p>
        </w:tc>
        <w:tc>
          <w:tcPr>
            <w:tcW w:w="1258" w:type="dxa"/>
            <w:noWrap/>
            <w:vAlign w:val="center"/>
            <w:hideMark/>
          </w:tcPr>
          <w:p w14:paraId="512719D7" w14:textId="3664A3BF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100%</w:t>
            </w:r>
          </w:p>
        </w:tc>
        <w:tc>
          <w:tcPr>
            <w:tcW w:w="1258" w:type="dxa"/>
            <w:noWrap/>
            <w:vAlign w:val="center"/>
            <w:hideMark/>
          </w:tcPr>
          <w:p w14:paraId="64172A3D" w14:textId="40DBE2B5" w:rsidR="008E1A13" w:rsidRPr="005429BE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0.15%</w:t>
            </w:r>
          </w:p>
        </w:tc>
      </w:tr>
    </w:tbl>
    <w:p w14:paraId="406AFE12" w14:textId="77777777" w:rsidR="00690C0D" w:rsidRPr="00344E79" w:rsidRDefault="00690C0D" w:rsidP="00690C0D">
      <w:pPr>
        <w:rPr>
          <w:rFonts w:ascii="KaiTi" w:eastAsia="KaiTi" w:hAnsi="KaiTi"/>
          <w:sz w:val="22"/>
          <w:szCs w:val="22"/>
        </w:rPr>
      </w:pPr>
    </w:p>
    <w:p w14:paraId="63A1D73F" w14:textId="78525EAD" w:rsidR="00690C0D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从账面价格来看，本组合</w:t>
      </w:r>
      <w:r>
        <w:rPr>
          <w:rFonts w:ascii="KaiTi" w:eastAsia="KaiTi" w:hAnsi="KaiTi" w:hint="eastAsia"/>
        </w:rPr>
        <w:t>净值累计</w:t>
      </w:r>
      <w:r w:rsidRPr="000C1D9B">
        <w:rPr>
          <w:rFonts w:ascii="KaiTi" w:eastAsia="KaiTi" w:hAnsi="KaiTi" w:hint="eastAsia"/>
        </w:rPr>
        <w:t>表现为</w:t>
      </w:r>
      <w:r w:rsidR="008E1A13">
        <w:rPr>
          <w:rFonts w:ascii="KaiTi" w:eastAsia="KaiTi" w:hAnsi="KaiTi" w:hint="eastAsia"/>
        </w:rPr>
        <w:t>0.15</w:t>
      </w:r>
      <w:r w:rsidRPr="000C1D9B">
        <w:rPr>
          <w:rFonts w:ascii="KaiTi" w:eastAsia="KaiTi" w:hAnsi="KaiTi" w:hint="eastAsia"/>
        </w:rPr>
        <w:t>%，但如果加上</w:t>
      </w:r>
      <w:r>
        <w:rPr>
          <w:rFonts w:ascii="KaiTi" w:eastAsia="KaiTi" w:hAnsi="KaiTi" w:hint="eastAsia"/>
        </w:rPr>
        <w:t>累计</w:t>
      </w:r>
      <w:r w:rsidRPr="000C1D9B">
        <w:rPr>
          <w:rFonts w:ascii="KaiTi" w:eastAsia="KaiTi" w:hAnsi="KaiTi" w:hint="eastAsia"/>
        </w:rPr>
        <w:t>发放</w:t>
      </w:r>
      <w:r>
        <w:rPr>
          <w:rFonts w:ascii="KaiTi" w:eastAsia="KaiTi" w:hAnsi="KaiTi" w:hint="eastAsia"/>
        </w:rPr>
        <w:t>的</w:t>
      </w:r>
      <w:r w:rsidRPr="000C1D9B">
        <w:rPr>
          <w:rFonts w:ascii="KaiTi" w:eastAsia="KaiTi" w:hAnsi="KaiTi" w:hint="eastAsia"/>
        </w:rPr>
        <w:t>分红，</w:t>
      </w:r>
      <w:r>
        <w:rPr>
          <w:rFonts w:ascii="KaiTi" w:eastAsia="KaiTi" w:hAnsi="KaiTi" w:hint="eastAsia"/>
        </w:rPr>
        <w:t>组合</w:t>
      </w:r>
      <w:r w:rsidRPr="000C1D9B">
        <w:rPr>
          <w:rFonts w:ascii="KaiTi" w:eastAsia="KaiTi" w:hAnsi="KaiTi" w:hint="eastAsia"/>
        </w:rPr>
        <w:t>整体</w:t>
      </w:r>
      <w:r>
        <w:rPr>
          <w:rFonts w:ascii="KaiTi" w:eastAsia="KaiTi" w:hAnsi="KaiTi" w:hint="eastAsia"/>
        </w:rPr>
        <w:t>累积收益为</w:t>
      </w:r>
      <w:r w:rsidR="00606837">
        <w:rPr>
          <w:rFonts w:ascii="KaiTi" w:eastAsia="KaiTi" w:hAnsi="KaiTi" w:hint="eastAsia"/>
          <w:color w:val="FF0000"/>
        </w:rPr>
        <w:t>7.</w:t>
      </w:r>
      <w:r w:rsidR="008E1A13">
        <w:rPr>
          <w:rFonts w:ascii="KaiTi" w:eastAsia="KaiTi" w:hAnsi="KaiTi" w:hint="eastAsia"/>
          <w:color w:val="FF0000"/>
        </w:rPr>
        <w:t>34</w:t>
      </w:r>
      <w:r w:rsidRPr="00BC62AF">
        <w:rPr>
          <w:rFonts w:ascii="KaiTi" w:eastAsia="KaiTi" w:hAnsi="KaiTi" w:hint="eastAsia"/>
          <w:b/>
          <w:bCs/>
          <w:color w:val="FF0000"/>
        </w:rPr>
        <w:t>%</w:t>
      </w:r>
      <w:r w:rsidRPr="000C1D9B">
        <w:rPr>
          <w:rFonts w:ascii="KaiTi" w:eastAsia="KaiTi" w:hAnsi="KaiTi" w:hint="eastAsia"/>
        </w:rPr>
        <w:t>。</w:t>
      </w:r>
    </w:p>
    <w:p w14:paraId="52CB7C81" w14:textId="2370D3FF" w:rsidR="00690C0D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lastRenderedPageBreak/>
        <w:t>自2024年10月到25年</w:t>
      </w:r>
      <w:r w:rsidR="00B83B9D">
        <w:rPr>
          <w:rFonts w:ascii="KaiTi" w:eastAsia="KaiTi" w:hAnsi="KaiTi" w:hint="eastAsia"/>
        </w:rPr>
        <w:t>1</w:t>
      </w:r>
      <w:r w:rsidR="00EA096B">
        <w:rPr>
          <w:rFonts w:ascii="KaiTi" w:eastAsia="KaiTi" w:hAnsi="KaiTi" w:hint="eastAsia"/>
        </w:rPr>
        <w:t>1</w:t>
      </w:r>
      <w:r>
        <w:rPr>
          <w:rFonts w:ascii="KaiTi" w:eastAsia="KaiTi" w:hAnsi="KaiTi" w:hint="eastAsia"/>
        </w:rPr>
        <w:t>月，</w:t>
      </w:r>
      <w:r w:rsidRPr="000C1D9B">
        <w:rPr>
          <w:rFonts w:ascii="KaiTi" w:eastAsia="KaiTi" w:hAnsi="KaiTi" w:hint="eastAsia"/>
        </w:rPr>
        <w:t>Z12美国中高等级债券基金</w:t>
      </w:r>
      <w:r>
        <w:rPr>
          <w:rFonts w:ascii="KaiTi" w:eastAsia="KaiTi" w:hAnsi="KaiTi" w:hint="eastAsia"/>
        </w:rPr>
        <w:t>每月</w:t>
      </w:r>
      <w:r w:rsidRPr="000C1D9B">
        <w:rPr>
          <w:rFonts w:ascii="KaiTi" w:eastAsia="KaiTi" w:hAnsi="KaiTi" w:hint="eastAsia"/>
        </w:rPr>
        <w:t>派发</w:t>
      </w:r>
      <w:r>
        <w:rPr>
          <w:rFonts w:ascii="KaiTi" w:eastAsia="KaiTi" w:hAnsi="KaiTi" w:hint="eastAsia"/>
        </w:rPr>
        <w:t>分红</w:t>
      </w:r>
      <w:r w:rsidRPr="000C1D9B">
        <w:rPr>
          <w:rFonts w:ascii="KaiTi" w:eastAsia="KaiTi" w:hAnsi="KaiTi" w:hint="eastAsia"/>
        </w:rPr>
        <w:t>$0.04/股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Z17美国优质股权基金</w:t>
      </w:r>
      <w:r>
        <w:rPr>
          <w:rFonts w:ascii="KaiTi" w:eastAsia="KaiTi" w:hAnsi="KaiTi" w:hint="eastAsia"/>
        </w:rPr>
        <w:t>现时月度分红派发</w:t>
      </w:r>
      <w:r w:rsidRPr="000C1D9B">
        <w:rPr>
          <w:rFonts w:ascii="KaiTi" w:eastAsia="KaiTi" w:hAnsi="KaiTi" w:hint="eastAsia"/>
        </w:rPr>
        <w:t>$0.05</w:t>
      </w:r>
      <w:r w:rsidR="00606837">
        <w:rPr>
          <w:rFonts w:ascii="KaiTi" w:eastAsia="KaiTi" w:hAnsi="KaiTi" w:hint="eastAsia"/>
        </w:rPr>
        <w:t>75</w:t>
      </w:r>
      <w:r w:rsidRPr="000C1D9B">
        <w:rPr>
          <w:rFonts w:ascii="KaiTi" w:eastAsia="KaiTi" w:hAnsi="KaiTi" w:hint="eastAsia"/>
        </w:rPr>
        <w:t>/股。</w:t>
      </w:r>
    </w:p>
    <w:p w14:paraId="04963283" w14:textId="77777777" w:rsidR="00EA096B" w:rsidRDefault="00690C0D" w:rsidP="00EA096B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合计投资者</w:t>
      </w:r>
      <w:r>
        <w:rPr>
          <w:rFonts w:ascii="KaiTi" w:eastAsia="KaiTi" w:hAnsi="KaiTi" w:hint="eastAsia"/>
        </w:rPr>
        <w:t>已累计</w:t>
      </w:r>
      <w:r w:rsidRPr="000C1D9B">
        <w:rPr>
          <w:rFonts w:ascii="KaiTi" w:eastAsia="KaiTi" w:hAnsi="KaiTi" w:hint="eastAsia"/>
        </w:rPr>
        <w:t>获得$</w:t>
      </w:r>
      <w:r w:rsidR="00EA096B">
        <w:rPr>
          <w:rFonts w:ascii="KaiTi" w:eastAsia="KaiTi" w:hAnsi="KaiTi" w:hint="eastAsia"/>
        </w:rPr>
        <w:t>71944</w:t>
      </w:r>
      <w:r>
        <w:rPr>
          <w:rFonts w:ascii="KaiTi" w:eastAsia="KaiTi" w:hAnsi="KaiTi" w:hint="eastAsia"/>
        </w:rPr>
        <w:t>（折合人民币</w:t>
      </w:r>
      <w:r w:rsidR="00EA096B">
        <w:rPr>
          <w:rFonts w:ascii="KaiTi" w:eastAsia="KaiTi" w:hAnsi="KaiTi" w:hint="eastAsia"/>
        </w:rPr>
        <w:t>51.8</w:t>
      </w:r>
      <w:r w:rsidR="00606837">
        <w:rPr>
          <w:rFonts w:ascii="KaiTi" w:eastAsia="KaiTi" w:hAnsi="KaiTi" w:hint="eastAsia"/>
        </w:rPr>
        <w:t>万</w:t>
      </w:r>
      <w:r>
        <w:rPr>
          <w:rFonts w:ascii="KaiTi" w:eastAsia="KaiTi" w:hAnsi="KaiTi" w:hint="eastAsia"/>
        </w:rPr>
        <w:t>元，汇率按照7.2计算）</w:t>
      </w:r>
      <w:r w:rsidRPr="000C1D9B">
        <w:rPr>
          <w:rFonts w:ascii="KaiTi" w:eastAsia="KaiTi" w:hAnsi="KaiTi" w:hint="eastAsia"/>
        </w:rPr>
        <w:t>的现金流收入，派息</w:t>
      </w:r>
      <w:r>
        <w:rPr>
          <w:rFonts w:ascii="KaiTi" w:eastAsia="KaiTi" w:hAnsi="KaiTi" w:hint="eastAsia"/>
        </w:rPr>
        <w:t>年化</w:t>
      </w:r>
      <w:r w:rsidRPr="000C1D9B">
        <w:rPr>
          <w:rFonts w:ascii="KaiTi" w:eastAsia="KaiTi" w:hAnsi="KaiTi" w:hint="eastAsia"/>
        </w:rPr>
        <w:t>收益率为</w:t>
      </w:r>
      <w:r w:rsidRPr="00F51BCD">
        <w:rPr>
          <w:rFonts w:ascii="KaiTi" w:eastAsia="KaiTi" w:hAnsi="KaiTi" w:hint="eastAsia"/>
          <w:color w:val="FF0000"/>
        </w:rPr>
        <w:t>6.</w:t>
      </w:r>
      <w:r>
        <w:rPr>
          <w:rFonts w:ascii="KaiTi" w:eastAsia="KaiTi" w:hAnsi="KaiTi" w:hint="eastAsia"/>
          <w:color w:val="FF0000"/>
        </w:rPr>
        <w:t>6</w:t>
      </w:r>
      <w:r w:rsidR="00EA096B">
        <w:rPr>
          <w:rFonts w:ascii="KaiTi" w:eastAsia="KaiTi" w:hAnsi="KaiTi" w:hint="eastAsia"/>
          <w:color w:val="FF0000"/>
        </w:rPr>
        <w:t>4</w:t>
      </w:r>
      <w:r w:rsidRPr="00F51BCD">
        <w:rPr>
          <w:rFonts w:ascii="KaiTi" w:eastAsia="KaiTi" w:hAnsi="KaiTi" w:hint="eastAsia"/>
          <w:color w:val="FF0000"/>
        </w:rPr>
        <w:t>%</w:t>
      </w:r>
      <w:r w:rsidRPr="00F51BCD">
        <w:rPr>
          <w:rFonts w:ascii="KaiTi" w:eastAsia="KaiTi" w:hAnsi="KaiTi" w:hint="eastAsia"/>
          <w:color w:val="000000" w:themeColor="text1"/>
        </w:rPr>
        <w:t>（按照初始投资金额计算）</w:t>
      </w:r>
      <w:r w:rsidRPr="000C1D9B">
        <w:rPr>
          <w:rFonts w:ascii="KaiTi" w:eastAsia="KaiTi" w:hAnsi="KaiTi" w:hint="eastAsia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4"/>
        <w:gridCol w:w="1420"/>
        <w:gridCol w:w="955"/>
        <w:gridCol w:w="955"/>
        <w:gridCol w:w="1010"/>
        <w:gridCol w:w="986"/>
        <w:gridCol w:w="955"/>
        <w:gridCol w:w="955"/>
      </w:tblGrid>
      <w:tr w:rsidR="008E1A13" w:rsidRPr="008E1A13" w14:paraId="48F4CD79" w14:textId="77777777" w:rsidTr="008E1A13">
        <w:trPr>
          <w:trHeight w:val="320"/>
        </w:trPr>
        <w:tc>
          <w:tcPr>
            <w:tcW w:w="2116" w:type="dxa"/>
            <w:noWrap/>
            <w:hideMark/>
          </w:tcPr>
          <w:p w14:paraId="4AFD6A42" w14:textId="77777777" w:rsidR="008E1A13" w:rsidRPr="008E1A13" w:rsidRDefault="008E1A13">
            <w:pPr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基金名称</w:t>
            </w:r>
          </w:p>
        </w:tc>
        <w:tc>
          <w:tcPr>
            <w:tcW w:w="1421" w:type="dxa"/>
            <w:noWrap/>
            <w:hideMark/>
          </w:tcPr>
          <w:p w14:paraId="76E23EEA" w14:textId="77777777" w:rsidR="008E1A13" w:rsidRPr="008E1A13" w:rsidRDefault="008E1A13">
            <w:pPr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除净日期</w:t>
            </w:r>
          </w:p>
        </w:tc>
        <w:tc>
          <w:tcPr>
            <w:tcW w:w="955" w:type="dxa"/>
            <w:noWrap/>
            <w:hideMark/>
          </w:tcPr>
          <w:p w14:paraId="60948826" w14:textId="77777777" w:rsidR="008E1A13" w:rsidRPr="008E1A13" w:rsidRDefault="008E1A13">
            <w:pPr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每单位派发</w:t>
            </w:r>
          </w:p>
        </w:tc>
        <w:tc>
          <w:tcPr>
            <w:tcW w:w="955" w:type="dxa"/>
            <w:noWrap/>
            <w:hideMark/>
          </w:tcPr>
          <w:p w14:paraId="3D37FE49" w14:textId="77777777" w:rsidR="008E1A13" w:rsidRPr="008E1A13" w:rsidRDefault="008E1A13">
            <w:pPr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持有份额</w:t>
            </w:r>
          </w:p>
        </w:tc>
        <w:tc>
          <w:tcPr>
            <w:tcW w:w="1010" w:type="dxa"/>
            <w:noWrap/>
            <w:hideMark/>
          </w:tcPr>
          <w:p w14:paraId="28230040" w14:textId="77777777" w:rsidR="008E1A13" w:rsidRPr="008E1A13" w:rsidRDefault="008E1A13">
            <w:pPr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派发合计</w:t>
            </w:r>
          </w:p>
        </w:tc>
        <w:tc>
          <w:tcPr>
            <w:tcW w:w="983" w:type="dxa"/>
            <w:noWrap/>
            <w:hideMark/>
          </w:tcPr>
          <w:p w14:paraId="61CD66E6" w14:textId="77777777" w:rsidR="008E1A13" w:rsidRPr="008E1A13" w:rsidRDefault="008E1A13">
            <w:pPr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初始投资额</w:t>
            </w:r>
          </w:p>
        </w:tc>
        <w:tc>
          <w:tcPr>
            <w:tcW w:w="955" w:type="dxa"/>
            <w:noWrap/>
            <w:hideMark/>
          </w:tcPr>
          <w:p w14:paraId="1FF1629E" w14:textId="77777777" w:rsidR="008E1A13" w:rsidRPr="008E1A13" w:rsidRDefault="008E1A13">
            <w:pPr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月度派息收益率</w:t>
            </w:r>
          </w:p>
        </w:tc>
        <w:tc>
          <w:tcPr>
            <w:tcW w:w="955" w:type="dxa"/>
            <w:noWrap/>
            <w:hideMark/>
          </w:tcPr>
          <w:p w14:paraId="0A6111CE" w14:textId="77777777" w:rsidR="008E1A13" w:rsidRPr="008E1A13" w:rsidRDefault="008E1A13">
            <w:pPr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年化派息收益率</w:t>
            </w:r>
          </w:p>
        </w:tc>
      </w:tr>
      <w:tr w:rsidR="008E1A13" w:rsidRPr="008E1A13" w14:paraId="1CED3498" w14:textId="77777777" w:rsidTr="008E1A13">
        <w:trPr>
          <w:trHeight w:val="320"/>
        </w:trPr>
        <w:tc>
          <w:tcPr>
            <w:tcW w:w="2116" w:type="dxa"/>
            <w:vMerge w:val="restart"/>
            <w:noWrap/>
            <w:vAlign w:val="center"/>
            <w:hideMark/>
          </w:tcPr>
          <w:p w14:paraId="727B794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Z12 美国中高等级债券基金</w:t>
            </w:r>
          </w:p>
        </w:tc>
        <w:tc>
          <w:tcPr>
            <w:tcW w:w="1421" w:type="dxa"/>
            <w:noWrap/>
            <w:vAlign w:val="center"/>
            <w:hideMark/>
          </w:tcPr>
          <w:p w14:paraId="05E90007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11/1/24</w:t>
            </w:r>
          </w:p>
        </w:tc>
        <w:tc>
          <w:tcPr>
            <w:tcW w:w="955" w:type="dxa"/>
            <w:noWrap/>
            <w:vAlign w:val="center"/>
            <w:hideMark/>
          </w:tcPr>
          <w:p w14:paraId="56B2AE7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1FDCAFC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704F3762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2A0C944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3FA0396F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00C83D88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2FE340DA" w14:textId="77777777" w:rsidTr="008E1A13">
        <w:trPr>
          <w:trHeight w:val="320"/>
        </w:trPr>
        <w:tc>
          <w:tcPr>
            <w:tcW w:w="2116" w:type="dxa"/>
            <w:vMerge/>
            <w:vAlign w:val="center"/>
            <w:hideMark/>
          </w:tcPr>
          <w:p w14:paraId="530768CF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5E4CBE6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12/2/24</w:t>
            </w:r>
          </w:p>
        </w:tc>
        <w:tc>
          <w:tcPr>
            <w:tcW w:w="955" w:type="dxa"/>
            <w:noWrap/>
            <w:vAlign w:val="center"/>
            <w:hideMark/>
          </w:tcPr>
          <w:p w14:paraId="4130640F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787B5E9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2FE91AE7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1CB9EB68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2388C64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512C69C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0074DB65" w14:textId="77777777" w:rsidTr="008E1A13">
        <w:trPr>
          <w:trHeight w:val="320"/>
        </w:trPr>
        <w:tc>
          <w:tcPr>
            <w:tcW w:w="2116" w:type="dxa"/>
            <w:vMerge/>
            <w:vAlign w:val="center"/>
            <w:hideMark/>
          </w:tcPr>
          <w:p w14:paraId="3C3BB63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59C9958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12/30/24</w:t>
            </w:r>
          </w:p>
        </w:tc>
        <w:tc>
          <w:tcPr>
            <w:tcW w:w="955" w:type="dxa"/>
            <w:noWrap/>
            <w:vAlign w:val="center"/>
            <w:hideMark/>
          </w:tcPr>
          <w:p w14:paraId="257AFF97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7AAC14A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36A036F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3B6A3AF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7563D76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124BC94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3FBDE88C" w14:textId="77777777" w:rsidTr="008E1A13">
        <w:trPr>
          <w:trHeight w:val="320"/>
        </w:trPr>
        <w:tc>
          <w:tcPr>
            <w:tcW w:w="2116" w:type="dxa"/>
            <w:vMerge/>
            <w:vAlign w:val="center"/>
            <w:hideMark/>
          </w:tcPr>
          <w:p w14:paraId="1E11732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1E7C7C1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1/31/25</w:t>
            </w:r>
          </w:p>
        </w:tc>
        <w:tc>
          <w:tcPr>
            <w:tcW w:w="955" w:type="dxa"/>
            <w:noWrap/>
            <w:vAlign w:val="center"/>
            <w:hideMark/>
          </w:tcPr>
          <w:p w14:paraId="28B21FB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54769F8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65D20405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44F1287B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72AAC967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1CFD62A4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1C802836" w14:textId="77777777" w:rsidTr="008E1A13">
        <w:trPr>
          <w:trHeight w:val="320"/>
        </w:trPr>
        <w:tc>
          <w:tcPr>
            <w:tcW w:w="2116" w:type="dxa"/>
            <w:vMerge/>
            <w:vAlign w:val="center"/>
            <w:hideMark/>
          </w:tcPr>
          <w:p w14:paraId="738F1AD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5404F3E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3/3/25</w:t>
            </w:r>
          </w:p>
        </w:tc>
        <w:tc>
          <w:tcPr>
            <w:tcW w:w="955" w:type="dxa"/>
            <w:noWrap/>
            <w:vAlign w:val="center"/>
            <w:hideMark/>
          </w:tcPr>
          <w:p w14:paraId="5D0EE53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1F7CADE6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0D28238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57E6C24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4AB7593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76E724E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695248BA" w14:textId="77777777" w:rsidTr="008E1A13">
        <w:trPr>
          <w:trHeight w:val="320"/>
        </w:trPr>
        <w:tc>
          <w:tcPr>
            <w:tcW w:w="2116" w:type="dxa"/>
            <w:vMerge/>
            <w:vAlign w:val="center"/>
            <w:hideMark/>
          </w:tcPr>
          <w:p w14:paraId="7B93553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5E380DC5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4/1/25</w:t>
            </w:r>
          </w:p>
        </w:tc>
        <w:tc>
          <w:tcPr>
            <w:tcW w:w="955" w:type="dxa"/>
            <w:noWrap/>
            <w:vAlign w:val="center"/>
            <w:hideMark/>
          </w:tcPr>
          <w:p w14:paraId="277517A8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521960BF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32A15BA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7344D39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3276A9E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0D61504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2B641BE1" w14:textId="77777777" w:rsidTr="008E1A13">
        <w:trPr>
          <w:trHeight w:val="320"/>
        </w:trPr>
        <w:tc>
          <w:tcPr>
            <w:tcW w:w="2116" w:type="dxa"/>
            <w:vMerge/>
            <w:vAlign w:val="center"/>
            <w:hideMark/>
          </w:tcPr>
          <w:p w14:paraId="14BCEE9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2F1A340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5/1/25</w:t>
            </w:r>
          </w:p>
        </w:tc>
        <w:tc>
          <w:tcPr>
            <w:tcW w:w="955" w:type="dxa"/>
            <w:noWrap/>
            <w:vAlign w:val="center"/>
            <w:hideMark/>
          </w:tcPr>
          <w:p w14:paraId="1B4BDA1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47F9CE56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556DA55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6A6DBEB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0F3B76B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7744F47B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662C6C72" w14:textId="77777777" w:rsidTr="008E1A13">
        <w:trPr>
          <w:trHeight w:val="320"/>
        </w:trPr>
        <w:tc>
          <w:tcPr>
            <w:tcW w:w="2116" w:type="dxa"/>
            <w:vMerge/>
            <w:vAlign w:val="center"/>
            <w:hideMark/>
          </w:tcPr>
          <w:p w14:paraId="3A8E50B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00BA7AD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6/2/25</w:t>
            </w:r>
          </w:p>
        </w:tc>
        <w:tc>
          <w:tcPr>
            <w:tcW w:w="955" w:type="dxa"/>
            <w:noWrap/>
            <w:vAlign w:val="center"/>
            <w:hideMark/>
          </w:tcPr>
          <w:p w14:paraId="0D07F44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05325382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76BA64C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67B9E20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61201435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26B418E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5457CF7C" w14:textId="77777777" w:rsidTr="008E1A13">
        <w:trPr>
          <w:trHeight w:val="320"/>
        </w:trPr>
        <w:tc>
          <w:tcPr>
            <w:tcW w:w="2116" w:type="dxa"/>
            <w:vMerge/>
            <w:vAlign w:val="center"/>
            <w:hideMark/>
          </w:tcPr>
          <w:p w14:paraId="51494E65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045151A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7/1/25</w:t>
            </w:r>
          </w:p>
        </w:tc>
        <w:tc>
          <w:tcPr>
            <w:tcW w:w="955" w:type="dxa"/>
            <w:noWrap/>
            <w:vAlign w:val="center"/>
            <w:hideMark/>
          </w:tcPr>
          <w:p w14:paraId="3EB57EA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53C7CAF7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32C255D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64634F4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50E61A08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268195A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38D7F80E" w14:textId="77777777" w:rsidTr="008E1A13">
        <w:trPr>
          <w:trHeight w:val="320"/>
        </w:trPr>
        <w:tc>
          <w:tcPr>
            <w:tcW w:w="2116" w:type="dxa"/>
            <w:vMerge/>
            <w:vAlign w:val="center"/>
            <w:hideMark/>
          </w:tcPr>
          <w:p w14:paraId="47BFA662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1E5ECB6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8/1/25</w:t>
            </w:r>
          </w:p>
        </w:tc>
        <w:tc>
          <w:tcPr>
            <w:tcW w:w="955" w:type="dxa"/>
            <w:noWrap/>
            <w:vAlign w:val="center"/>
            <w:hideMark/>
          </w:tcPr>
          <w:p w14:paraId="35AD108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4B60893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517C482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27E9368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38DE50AF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43CA096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347FCA2F" w14:textId="77777777" w:rsidTr="008E1A13">
        <w:trPr>
          <w:trHeight w:val="320"/>
        </w:trPr>
        <w:tc>
          <w:tcPr>
            <w:tcW w:w="2116" w:type="dxa"/>
            <w:vMerge/>
            <w:vAlign w:val="center"/>
            <w:hideMark/>
          </w:tcPr>
          <w:p w14:paraId="5054150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44B8064F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9/2/25</w:t>
            </w:r>
          </w:p>
        </w:tc>
        <w:tc>
          <w:tcPr>
            <w:tcW w:w="955" w:type="dxa"/>
            <w:noWrap/>
            <w:vAlign w:val="center"/>
            <w:hideMark/>
          </w:tcPr>
          <w:p w14:paraId="62D6F132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6AEFE59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1048280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3B3366C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3DFAFE3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60F86677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1B471DAA" w14:textId="77777777" w:rsidTr="008E1A13">
        <w:trPr>
          <w:trHeight w:val="320"/>
        </w:trPr>
        <w:tc>
          <w:tcPr>
            <w:tcW w:w="2116" w:type="dxa"/>
            <w:vMerge/>
            <w:vAlign w:val="center"/>
            <w:hideMark/>
          </w:tcPr>
          <w:p w14:paraId="257C3695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2946ACE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10/1/25</w:t>
            </w:r>
          </w:p>
        </w:tc>
        <w:tc>
          <w:tcPr>
            <w:tcW w:w="955" w:type="dxa"/>
            <w:noWrap/>
            <w:vAlign w:val="center"/>
            <w:hideMark/>
          </w:tcPr>
          <w:p w14:paraId="1762D07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44E321F8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589AF34B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4B747A08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4E7A736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4AAAF35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4E3BD76A" w14:textId="77777777" w:rsidTr="008E1A13">
        <w:trPr>
          <w:trHeight w:val="320"/>
        </w:trPr>
        <w:tc>
          <w:tcPr>
            <w:tcW w:w="2116" w:type="dxa"/>
            <w:vMerge/>
            <w:vAlign w:val="center"/>
            <w:hideMark/>
          </w:tcPr>
          <w:p w14:paraId="1249C54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3322B37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11/3/25</w:t>
            </w:r>
          </w:p>
        </w:tc>
        <w:tc>
          <w:tcPr>
            <w:tcW w:w="955" w:type="dxa"/>
            <w:noWrap/>
            <w:vAlign w:val="center"/>
            <w:hideMark/>
          </w:tcPr>
          <w:p w14:paraId="554C120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55" w:type="dxa"/>
            <w:noWrap/>
            <w:vAlign w:val="center"/>
            <w:hideMark/>
          </w:tcPr>
          <w:p w14:paraId="625BA387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010" w:type="dxa"/>
            <w:noWrap/>
            <w:vAlign w:val="center"/>
            <w:hideMark/>
          </w:tcPr>
          <w:p w14:paraId="709D52D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3" w:type="dxa"/>
            <w:noWrap/>
            <w:vAlign w:val="center"/>
            <w:hideMark/>
          </w:tcPr>
          <w:p w14:paraId="5E8042BF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55" w:type="dxa"/>
            <w:noWrap/>
            <w:vAlign w:val="center"/>
            <w:hideMark/>
          </w:tcPr>
          <w:p w14:paraId="798D733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55" w:type="dxa"/>
            <w:noWrap/>
            <w:vAlign w:val="center"/>
            <w:hideMark/>
          </w:tcPr>
          <w:p w14:paraId="428A49B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8E1A13" w:rsidRPr="008E1A13" w14:paraId="739A28BB" w14:textId="77777777" w:rsidTr="008E1A13">
        <w:trPr>
          <w:trHeight w:val="320"/>
        </w:trPr>
        <w:tc>
          <w:tcPr>
            <w:tcW w:w="2116" w:type="dxa"/>
            <w:vMerge w:val="restart"/>
            <w:noWrap/>
            <w:vAlign w:val="center"/>
            <w:hideMark/>
          </w:tcPr>
          <w:p w14:paraId="4949226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Z17 美国优质股权基金</w:t>
            </w:r>
          </w:p>
          <w:p w14:paraId="68C3CBBB" w14:textId="6AE95E2B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3A6BB70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10/30/24</w:t>
            </w:r>
          </w:p>
        </w:tc>
        <w:tc>
          <w:tcPr>
            <w:tcW w:w="955" w:type="dxa"/>
            <w:noWrap/>
            <w:vAlign w:val="center"/>
            <w:hideMark/>
          </w:tcPr>
          <w:p w14:paraId="515A39B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55" w:type="dxa"/>
            <w:noWrap/>
            <w:vAlign w:val="center"/>
            <w:hideMark/>
          </w:tcPr>
          <w:p w14:paraId="0D6468E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6019872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983" w:type="dxa"/>
            <w:noWrap/>
            <w:vAlign w:val="center"/>
            <w:hideMark/>
          </w:tcPr>
          <w:p w14:paraId="4E632BE6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4D9807FF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5C779BA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8E1A13" w:rsidRPr="008E1A13" w14:paraId="35A83FDF" w14:textId="77777777" w:rsidTr="008E1A13">
        <w:trPr>
          <w:trHeight w:val="320"/>
        </w:trPr>
        <w:tc>
          <w:tcPr>
            <w:tcW w:w="2116" w:type="dxa"/>
            <w:vMerge/>
            <w:hideMark/>
          </w:tcPr>
          <w:p w14:paraId="7C198571" w14:textId="54DD4FBF" w:rsidR="008E1A13" w:rsidRPr="008E1A13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7A213576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11/28/24</w:t>
            </w:r>
          </w:p>
        </w:tc>
        <w:tc>
          <w:tcPr>
            <w:tcW w:w="955" w:type="dxa"/>
            <w:noWrap/>
            <w:vAlign w:val="center"/>
            <w:hideMark/>
          </w:tcPr>
          <w:p w14:paraId="670CE1FB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55" w:type="dxa"/>
            <w:noWrap/>
            <w:vAlign w:val="center"/>
            <w:hideMark/>
          </w:tcPr>
          <w:p w14:paraId="74464C9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47F5716F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983" w:type="dxa"/>
            <w:noWrap/>
            <w:vAlign w:val="center"/>
            <w:hideMark/>
          </w:tcPr>
          <w:p w14:paraId="2E0D7FB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56E9B23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5E6722A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8E1A13" w:rsidRPr="008E1A13" w14:paraId="289853E8" w14:textId="77777777" w:rsidTr="008E1A13">
        <w:trPr>
          <w:trHeight w:val="320"/>
        </w:trPr>
        <w:tc>
          <w:tcPr>
            <w:tcW w:w="2116" w:type="dxa"/>
            <w:vMerge/>
            <w:hideMark/>
          </w:tcPr>
          <w:p w14:paraId="12A72F7F" w14:textId="59CD58DC" w:rsidR="008E1A13" w:rsidRPr="008E1A13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32D5DAA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12/24/24</w:t>
            </w:r>
          </w:p>
        </w:tc>
        <w:tc>
          <w:tcPr>
            <w:tcW w:w="955" w:type="dxa"/>
            <w:noWrap/>
            <w:vAlign w:val="center"/>
            <w:hideMark/>
          </w:tcPr>
          <w:p w14:paraId="5132F9E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55" w:type="dxa"/>
            <w:noWrap/>
            <w:vAlign w:val="center"/>
            <w:hideMark/>
          </w:tcPr>
          <w:p w14:paraId="2BA9478B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182A5D5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983" w:type="dxa"/>
            <w:noWrap/>
            <w:vAlign w:val="center"/>
            <w:hideMark/>
          </w:tcPr>
          <w:p w14:paraId="2C4A9A4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450D9C4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36319E72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8E1A13" w:rsidRPr="008E1A13" w14:paraId="7F963D49" w14:textId="77777777" w:rsidTr="008E1A13">
        <w:trPr>
          <w:trHeight w:val="320"/>
        </w:trPr>
        <w:tc>
          <w:tcPr>
            <w:tcW w:w="2116" w:type="dxa"/>
            <w:vMerge/>
            <w:hideMark/>
          </w:tcPr>
          <w:p w14:paraId="76D7B29C" w14:textId="3D2EF789" w:rsidR="008E1A13" w:rsidRPr="008E1A13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4BEC07E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1/31/25</w:t>
            </w:r>
          </w:p>
        </w:tc>
        <w:tc>
          <w:tcPr>
            <w:tcW w:w="955" w:type="dxa"/>
            <w:noWrap/>
            <w:vAlign w:val="center"/>
            <w:hideMark/>
          </w:tcPr>
          <w:p w14:paraId="38F70A4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55" w:type="dxa"/>
            <w:noWrap/>
            <w:vAlign w:val="center"/>
            <w:hideMark/>
          </w:tcPr>
          <w:p w14:paraId="7852CAF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1B4253C2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983" w:type="dxa"/>
            <w:noWrap/>
            <w:vAlign w:val="center"/>
            <w:hideMark/>
          </w:tcPr>
          <w:p w14:paraId="5A93F917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79C7C95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0084BEB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8E1A13" w:rsidRPr="008E1A13" w14:paraId="070207CC" w14:textId="77777777" w:rsidTr="008E1A13">
        <w:trPr>
          <w:trHeight w:val="320"/>
        </w:trPr>
        <w:tc>
          <w:tcPr>
            <w:tcW w:w="2116" w:type="dxa"/>
            <w:vMerge/>
            <w:hideMark/>
          </w:tcPr>
          <w:p w14:paraId="41BA178D" w14:textId="72473FFD" w:rsidR="008E1A13" w:rsidRPr="008E1A13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1B264F2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2/28/25</w:t>
            </w:r>
          </w:p>
        </w:tc>
        <w:tc>
          <w:tcPr>
            <w:tcW w:w="955" w:type="dxa"/>
            <w:noWrap/>
            <w:vAlign w:val="center"/>
            <w:hideMark/>
          </w:tcPr>
          <w:p w14:paraId="27B80162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55" w:type="dxa"/>
            <w:noWrap/>
            <w:vAlign w:val="center"/>
            <w:hideMark/>
          </w:tcPr>
          <w:p w14:paraId="5919E17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50EC9742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983" w:type="dxa"/>
            <w:noWrap/>
            <w:vAlign w:val="center"/>
            <w:hideMark/>
          </w:tcPr>
          <w:p w14:paraId="1F739BD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312D566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3359619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8E1A13" w:rsidRPr="008E1A13" w14:paraId="28046EAD" w14:textId="77777777" w:rsidTr="008E1A13">
        <w:trPr>
          <w:trHeight w:val="320"/>
        </w:trPr>
        <w:tc>
          <w:tcPr>
            <w:tcW w:w="2116" w:type="dxa"/>
            <w:vMerge/>
            <w:hideMark/>
          </w:tcPr>
          <w:p w14:paraId="73F1CF15" w14:textId="1F2B1611" w:rsidR="008E1A13" w:rsidRPr="008E1A13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1EA25EC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3/31/25</w:t>
            </w:r>
          </w:p>
        </w:tc>
        <w:tc>
          <w:tcPr>
            <w:tcW w:w="955" w:type="dxa"/>
            <w:noWrap/>
            <w:vAlign w:val="center"/>
            <w:hideMark/>
          </w:tcPr>
          <w:p w14:paraId="5619CAD5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55" w:type="dxa"/>
            <w:noWrap/>
            <w:vAlign w:val="center"/>
            <w:hideMark/>
          </w:tcPr>
          <w:p w14:paraId="36873A7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7CDB1FC7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983" w:type="dxa"/>
            <w:noWrap/>
            <w:vAlign w:val="center"/>
            <w:hideMark/>
          </w:tcPr>
          <w:p w14:paraId="7D5EFDB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403943C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6FEB1152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8E1A13" w:rsidRPr="008E1A13" w14:paraId="0475D8D7" w14:textId="77777777" w:rsidTr="008E1A13">
        <w:trPr>
          <w:trHeight w:val="320"/>
        </w:trPr>
        <w:tc>
          <w:tcPr>
            <w:tcW w:w="2116" w:type="dxa"/>
            <w:vMerge/>
            <w:hideMark/>
          </w:tcPr>
          <w:p w14:paraId="4D16AE4D" w14:textId="699FDA03" w:rsidR="008E1A13" w:rsidRPr="008E1A13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7A29967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4/30/25</w:t>
            </w:r>
          </w:p>
        </w:tc>
        <w:tc>
          <w:tcPr>
            <w:tcW w:w="955" w:type="dxa"/>
            <w:noWrap/>
            <w:vAlign w:val="center"/>
            <w:hideMark/>
          </w:tcPr>
          <w:p w14:paraId="287D380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55" w:type="dxa"/>
            <w:noWrap/>
            <w:vAlign w:val="center"/>
            <w:hideMark/>
          </w:tcPr>
          <w:p w14:paraId="66DC442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2B30836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983" w:type="dxa"/>
            <w:noWrap/>
            <w:vAlign w:val="center"/>
            <w:hideMark/>
          </w:tcPr>
          <w:p w14:paraId="7F2E1FCB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2786A7FB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55" w:type="dxa"/>
            <w:noWrap/>
            <w:vAlign w:val="center"/>
            <w:hideMark/>
          </w:tcPr>
          <w:p w14:paraId="73E71DF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8E1A13" w:rsidRPr="008E1A13" w14:paraId="04772AF8" w14:textId="77777777" w:rsidTr="008E1A13">
        <w:trPr>
          <w:trHeight w:val="320"/>
        </w:trPr>
        <w:tc>
          <w:tcPr>
            <w:tcW w:w="2116" w:type="dxa"/>
            <w:vMerge/>
            <w:hideMark/>
          </w:tcPr>
          <w:p w14:paraId="380C5B7D" w14:textId="587F2E84" w:rsidR="008E1A13" w:rsidRPr="008E1A13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4D1EAAC4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5/30/25</w:t>
            </w:r>
          </w:p>
        </w:tc>
        <w:tc>
          <w:tcPr>
            <w:tcW w:w="955" w:type="dxa"/>
            <w:noWrap/>
            <w:vAlign w:val="center"/>
            <w:hideMark/>
          </w:tcPr>
          <w:p w14:paraId="2C8A11A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55" w:type="dxa"/>
            <w:noWrap/>
            <w:vAlign w:val="center"/>
            <w:hideMark/>
          </w:tcPr>
          <w:p w14:paraId="47D4BF9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47C7B27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983" w:type="dxa"/>
            <w:noWrap/>
            <w:vAlign w:val="center"/>
            <w:hideMark/>
          </w:tcPr>
          <w:p w14:paraId="5317580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4199C11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55" w:type="dxa"/>
            <w:noWrap/>
            <w:vAlign w:val="center"/>
            <w:hideMark/>
          </w:tcPr>
          <w:p w14:paraId="42925FEF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8E1A13" w:rsidRPr="008E1A13" w14:paraId="2451CFA5" w14:textId="77777777" w:rsidTr="008E1A13">
        <w:trPr>
          <w:trHeight w:val="320"/>
        </w:trPr>
        <w:tc>
          <w:tcPr>
            <w:tcW w:w="2116" w:type="dxa"/>
            <w:vMerge/>
            <w:hideMark/>
          </w:tcPr>
          <w:p w14:paraId="6AB82915" w14:textId="57CD2EF2" w:rsidR="008E1A13" w:rsidRPr="008E1A13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360D054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6/30/25</w:t>
            </w:r>
          </w:p>
        </w:tc>
        <w:tc>
          <w:tcPr>
            <w:tcW w:w="955" w:type="dxa"/>
            <w:noWrap/>
            <w:vAlign w:val="center"/>
            <w:hideMark/>
          </w:tcPr>
          <w:p w14:paraId="2C90A89F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55" w:type="dxa"/>
            <w:noWrap/>
            <w:vAlign w:val="center"/>
            <w:hideMark/>
          </w:tcPr>
          <w:p w14:paraId="44A1B334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0A64AAC2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983" w:type="dxa"/>
            <w:noWrap/>
            <w:vAlign w:val="center"/>
            <w:hideMark/>
          </w:tcPr>
          <w:p w14:paraId="52F79849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7F9A111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55" w:type="dxa"/>
            <w:noWrap/>
            <w:vAlign w:val="center"/>
            <w:hideMark/>
          </w:tcPr>
          <w:p w14:paraId="548F9B9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8E1A13" w:rsidRPr="008E1A13" w14:paraId="202D9EC8" w14:textId="77777777" w:rsidTr="008E1A13">
        <w:trPr>
          <w:trHeight w:val="320"/>
        </w:trPr>
        <w:tc>
          <w:tcPr>
            <w:tcW w:w="2116" w:type="dxa"/>
            <w:vMerge/>
            <w:hideMark/>
          </w:tcPr>
          <w:p w14:paraId="7197BF36" w14:textId="1115D64C" w:rsidR="008E1A13" w:rsidRPr="008E1A13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658F656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7/31/25</w:t>
            </w:r>
          </w:p>
        </w:tc>
        <w:tc>
          <w:tcPr>
            <w:tcW w:w="955" w:type="dxa"/>
            <w:noWrap/>
            <w:vAlign w:val="center"/>
            <w:hideMark/>
          </w:tcPr>
          <w:p w14:paraId="49318106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55" w:type="dxa"/>
            <w:noWrap/>
            <w:vAlign w:val="center"/>
            <w:hideMark/>
          </w:tcPr>
          <w:p w14:paraId="0B2F98E7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3C09819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983" w:type="dxa"/>
            <w:noWrap/>
            <w:vAlign w:val="center"/>
            <w:hideMark/>
          </w:tcPr>
          <w:p w14:paraId="53BDC6D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3280F98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55" w:type="dxa"/>
            <w:noWrap/>
            <w:vAlign w:val="center"/>
            <w:hideMark/>
          </w:tcPr>
          <w:p w14:paraId="18F23D7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8E1A13" w:rsidRPr="008E1A13" w14:paraId="558EC241" w14:textId="77777777" w:rsidTr="008E1A13">
        <w:trPr>
          <w:trHeight w:val="320"/>
        </w:trPr>
        <w:tc>
          <w:tcPr>
            <w:tcW w:w="2116" w:type="dxa"/>
            <w:vMerge/>
            <w:hideMark/>
          </w:tcPr>
          <w:p w14:paraId="1131253E" w14:textId="45080B84" w:rsidR="008E1A13" w:rsidRPr="008E1A13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256E730C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8/29/25</w:t>
            </w:r>
          </w:p>
        </w:tc>
        <w:tc>
          <w:tcPr>
            <w:tcW w:w="955" w:type="dxa"/>
            <w:noWrap/>
            <w:vAlign w:val="center"/>
            <w:hideMark/>
          </w:tcPr>
          <w:p w14:paraId="19405DB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55" w:type="dxa"/>
            <w:noWrap/>
            <w:vAlign w:val="center"/>
            <w:hideMark/>
          </w:tcPr>
          <w:p w14:paraId="555709F8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0726518E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983" w:type="dxa"/>
            <w:noWrap/>
            <w:vAlign w:val="center"/>
            <w:hideMark/>
          </w:tcPr>
          <w:p w14:paraId="64135B9F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55AED4F4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55" w:type="dxa"/>
            <w:noWrap/>
            <w:vAlign w:val="center"/>
            <w:hideMark/>
          </w:tcPr>
          <w:p w14:paraId="2F2C6796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8E1A13" w:rsidRPr="008E1A13" w14:paraId="559BAFEC" w14:textId="77777777" w:rsidTr="008E1A13">
        <w:trPr>
          <w:trHeight w:val="320"/>
        </w:trPr>
        <w:tc>
          <w:tcPr>
            <w:tcW w:w="2116" w:type="dxa"/>
            <w:vMerge/>
            <w:hideMark/>
          </w:tcPr>
          <w:p w14:paraId="60BF0C81" w14:textId="01895196" w:rsidR="008E1A13" w:rsidRPr="008E1A13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1C4FA95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9/30/25</w:t>
            </w:r>
          </w:p>
        </w:tc>
        <w:tc>
          <w:tcPr>
            <w:tcW w:w="955" w:type="dxa"/>
            <w:noWrap/>
            <w:vAlign w:val="center"/>
            <w:hideMark/>
          </w:tcPr>
          <w:p w14:paraId="3720982B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55" w:type="dxa"/>
            <w:noWrap/>
            <w:vAlign w:val="center"/>
            <w:hideMark/>
          </w:tcPr>
          <w:p w14:paraId="787A857B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0F5FB40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983" w:type="dxa"/>
            <w:noWrap/>
            <w:vAlign w:val="center"/>
            <w:hideMark/>
          </w:tcPr>
          <w:p w14:paraId="658B0DA5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2297524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55" w:type="dxa"/>
            <w:noWrap/>
            <w:vAlign w:val="center"/>
            <w:hideMark/>
          </w:tcPr>
          <w:p w14:paraId="223B3CE4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8E1A13" w:rsidRPr="008E1A13" w14:paraId="537DB46B" w14:textId="77777777" w:rsidTr="008E1A13">
        <w:trPr>
          <w:trHeight w:val="320"/>
        </w:trPr>
        <w:tc>
          <w:tcPr>
            <w:tcW w:w="2116" w:type="dxa"/>
            <w:vMerge/>
            <w:noWrap/>
            <w:hideMark/>
          </w:tcPr>
          <w:p w14:paraId="50B8DA4F" w14:textId="61BB2328" w:rsidR="008E1A13" w:rsidRPr="008E1A13" w:rsidRDefault="008E1A13" w:rsidP="008E1A13">
            <w:pPr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21" w:type="dxa"/>
            <w:noWrap/>
            <w:vAlign w:val="center"/>
            <w:hideMark/>
          </w:tcPr>
          <w:p w14:paraId="5E9BDFE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10/31/25</w:t>
            </w:r>
          </w:p>
        </w:tc>
        <w:tc>
          <w:tcPr>
            <w:tcW w:w="955" w:type="dxa"/>
            <w:noWrap/>
            <w:vAlign w:val="center"/>
            <w:hideMark/>
          </w:tcPr>
          <w:p w14:paraId="1CE9FE55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55" w:type="dxa"/>
            <w:noWrap/>
            <w:vAlign w:val="center"/>
            <w:hideMark/>
          </w:tcPr>
          <w:p w14:paraId="57CED30D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010" w:type="dxa"/>
            <w:noWrap/>
            <w:vAlign w:val="center"/>
            <w:hideMark/>
          </w:tcPr>
          <w:p w14:paraId="3483813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983" w:type="dxa"/>
            <w:noWrap/>
            <w:vAlign w:val="center"/>
            <w:hideMark/>
          </w:tcPr>
          <w:p w14:paraId="34005573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55" w:type="dxa"/>
            <w:noWrap/>
            <w:vAlign w:val="center"/>
            <w:hideMark/>
          </w:tcPr>
          <w:p w14:paraId="0BDAE10A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55" w:type="dxa"/>
            <w:noWrap/>
            <w:vAlign w:val="center"/>
            <w:hideMark/>
          </w:tcPr>
          <w:p w14:paraId="66F80250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8E1A13" w:rsidRPr="008E1A13" w14:paraId="194387E4" w14:textId="77777777" w:rsidTr="008E1A13">
        <w:trPr>
          <w:trHeight w:val="320"/>
        </w:trPr>
        <w:tc>
          <w:tcPr>
            <w:tcW w:w="5447" w:type="dxa"/>
            <w:gridSpan w:val="4"/>
            <w:noWrap/>
            <w:vAlign w:val="center"/>
            <w:hideMark/>
          </w:tcPr>
          <w:p w14:paraId="187F424B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合计</w:t>
            </w:r>
          </w:p>
        </w:tc>
        <w:tc>
          <w:tcPr>
            <w:tcW w:w="1010" w:type="dxa"/>
            <w:noWrap/>
            <w:vAlign w:val="center"/>
            <w:hideMark/>
          </w:tcPr>
          <w:p w14:paraId="651EED6B" w14:textId="153D45B8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71,944</w:t>
            </w:r>
          </w:p>
        </w:tc>
        <w:tc>
          <w:tcPr>
            <w:tcW w:w="983" w:type="dxa"/>
            <w:noWrap/>
            <w:vAlign w:val="center"/>
            <w:hideMark/>
          </w:tcPr>
          <w:p w14:paraId="6E870838" w14:textId="57FF6CE4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999,995</w:t>
            </w:r>
          </w:p>
        </w:tc>
        <w:tc>
          <w:tcPr>
            <w:tcW w:w="955" w:type="dxa"/>
            <w:noWrap/>
            <w:vAlign w:val="center"/>
            <w:hideMark/>
          </w:tcPr>
          <w:p w14:paraId="4D535131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0.55%</w:t>
            </w:r>
          </w:p>
        </w:tc>
        <w:tc>
          <w:tcPr>
            <w:tcW w:w="955" w:type="dxa"/>
            <w:noWrap/>
            <w:vAlign w:val="center"/>
            <w:hideMark/>
          </w:tcPr>
          <w:p w14:paraId="105EA097" w14:textId="77777777" w:rsidR="008E1A13" w:rsidRPr="008E1A13" w:rsidRDefault="008E1A13" w:rsidP="008E1A13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8E1A13">
              <w:rPr>
                <w:rFonts w:ascii="KaiTi" w:eastAsia="KaiTi" w:hAnsi="KaiTi"/>
                <w:sz w:val="22"/>
                <w:szCs w:val="22"/>
              </w:rPr>
              <w:t>6.64%</w:t>
            </w:r>
          </w:p>
        </w:tc>
      </w:tr>
    </w:tbl>
    <w:p w14:paraId="2380B0E4" w14:textId="1FA7D4AA" w:rsidR="00B83B9D" w:rsidRDefault="00B83B9D" w:rsidP="008E1A13"/>
    <w:sectPr w:rsidR="00B83B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E7747"/>
    <w:multiLevelType w:val="multilevel"/>
    <w:tmpl w:val="84D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1B77"/>
    <w:multiLevelType w:val="multilevel"/>
    <w:tmpl w:val="984E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B32A4"/>
    <w:multiLevelType w:val="hybridMultilevel"/>
    <w:tmpl w:val="EA6CC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64487"/>
    <w:multiLevelType w:val="multilevel"/>
    <w:tmpl w:val="78D4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21F50"/>
    <w:multiLevelType w:val="multilevel"/>
    <w:tmpl w:val="E704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A328B"/>
    <w:multiLevelType w:val="multilevel"/>
    <w:tmpl w:val="9BB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95FB6"/>
    <w:multiLevelType w:val="multilevel"/>
    <w:tmpl w:val="381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727A0"/>
    <w:multiLevelType w:val="multilevel"/>
    <w:tmpl w:val="B678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D711E"/>
    <w:multiLevelType w:val="multilevel"/>
    <w:tmpl w:val="DA4A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87E93"/>
    <w:multiLevelType w:val="multilevel"/>
    <w:tmpl w:val="272E9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494592"/>
    <w:multiLevelType w:val="hybridMultilevel"/>
    <w:tmpl w:val="5A8AB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D53AF"/>
    <w:multiLevelType w:val="multilevel"/>
    <w:tmpl w:val="53C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E3D1F"/>
    <w:multiLevelType w:val="multilevel"/>
    <w:tmpl w:val="0B6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F6669"/>
    <w:multiLevelType w:val="multilevel"/>
    <w:tmpl w:val="5006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53A66"/>
    <w:multiLevelType w:val="multilevel"/>
    <w:tmpl w:val="214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871904">
    <w:abstractNumId w:val="7"/>
  </w:num>
  <w:num w:numId="2" w16cid:durableId="710691052">
    <w:abstractNumId w:val="5"/>
  </w:num>
  <w:num w:numId="3" w16cid:durableId="1960987936">
    <w:abstractNumId w:val="11"/>
  </w:num>
  <w:num w:numId="4" w16cid:durableId="595285986">
    <w:abstractNumId w:val="14"/>
  </w:num>
  <w:num w:numId="5" w16cid:durableId="651103352">
    <w:abstractNumId w:val="8"/>
  </w:num>
  <w:num w:numId="6" w16cid:durableId="833960539">
    <w:abstractNumId w:val="9"/>
  </w:num>
  <w:num w:numId="7" w16cid:durableId="1215122610">
    <w:abstractNumId w:val="4"/>
  </w:num>
  <w:num w:numId="8" w16cid:durableId="2071029364">
    <w:abstractNumId w:val="6"/>
  </w:num>
  <w:num w:numId="9" w16cid:durableId="752707343">
    <w:abstractNumId w:val="12"/>
  </w:num>
  <w:num w:numId="10" w16cid:durableId="416709276">
    <w:abstractNumId w:val="0"/>
  </w:num>
  <w:num w:numId="11" w16cid:durableId="1236862929">
    <w:abstractNumId w:val="1"/>
  </w:num>
  <w:num w:numId="12" w16cid:durableId="1975518741">
    <w:abstractNumId w:val="3"/>
  </w:num>
  <w:num w:numId="13" w16cid:durableId="1975478634">
    <w:abstractNumId w:val="13"/>
  </w:num>
  <w:num w:numId="14" w16cid:durableId="1449665340">
    <w:abstractNumId w:val="10"/>
  </w:num>
  <w:num w:numId="15" w16cid:durableId="1457598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7E"/>
    <w:rsid w:val="00007648"/>
    <w:rsid w:val="00045F6D"/>
    <w:rsid w:val="0005582F"/>
    <w:rsid w:val="000572D6"/>
    <w:rsid w:val="0006499F"/>
    <w:rsid w:val="000779A5"/>
    <w:rsid w:val="000B3144"/>
    <w:rsid w:val="001E020F"/>
    <w:rsid w:val="00220985"/>
    <w:rsid w:val="002537F8"/>
    <w:rsid w:val="002A085D"/>
    <w:rsid w:val="0035146F"/>
    <w:rsid w:val="00375CC7"/>
    <w:rsid w:val="003A1E35"/>
    <w:rsid w:val="003F1D09"/>
    <w:rsid w:val="00412126"/>
    <w:rsid w:val="00436C20"/>
    <w:rsid w:val="004545E5"/>
    <w:rsid w:val="00457656"/>
    <w:rsid w:val="00494555"/>
    <w:rsid w:val="005429BE"/>
    <w:rsid w:val="00547239"/>
    <w:rsid w:val="00597530"/>
    <w:rsid w:val="005A417E"/>
    <w:rsid w:val="005C0EF2"/>
    <w:rsid w:val="00606837"/>
    <w:rsid w:val="00690C0D"/>
    <w:rsid w:val="0069546C"/>
    <w:rsid w:val="006D4536"/>
    <w:rsid w:val="007A4EF5"/>
    <w:rsid w:val="00852620"/>
    <w:rsid w:val="008D1086"/>
    <w:rsid w:val="008E1A13"/>
    <w:rsid w:val="00911830"/>
    <w:rsid w:val="00924F46"/>
    <w:rsid w:val="009F6816"/>
    <w:rsid w:val="00A31813"/>
    <w:rsid w:val="00A42D4C"/>
    <w:rsid w:val="00A94A1E"/>
    <w:rsid w:val="00AB1079"/>
    <w:rsid w:val="00AC20C2"/>
    <w:rsid w:val="00B31F83"/>
    <w:rsid w:val="00B83B9D"/>
    <w:rsid w:val="00BE7A70"/>
    <w:rsid w:val="00C969E6"/>
    <w:rsid w:val="00CA376C"/>
    <w:rsid w:val="00D46DA5"/>
    <w:rsid w:val="00DA3EEF"/>
    <w:rsid w:val="00DF0D5E"/>
    <w:rsid w:val="00E343B4"/>
    <w:rsid w:val="00EA096B"/>
    <w:rsid w:val="00F43A59"/>
    <w:rsid w:val="00FB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C029"/>
  <w15:chartTrackingRefBased/>
  <w15:docId w15:val="{3857B44B-0845-5447-B2C8-06113F4D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17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A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A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545E5"/>
  </w:style>
  <w:style w:type="paragraph" w:customStyle="1" w:styleId="p3">
    <w:name w:val="p3"/>
    <w:basedOn w:val="Normal"/>
    <w:rsid w:val="0045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5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90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72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23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49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59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74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9</cp:revision>
  <dcterms:created xsi:type="dcterms:W3CDTF">2025-11-25T03:25:00Z</dcterms:created>
  <dcterms:modified xsi:type="dcterms:W3CDTF">2025-11-28T08:48:00Z</dcterms:modified>
</cp:coreProperties>
</file>