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0E3D" w14:textId="14257FE0" w:rsidR="00436C20" w:rsidRPr="00A07C6F" w:rsidRDefault="00436C20" w:rsidP="00436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旺达财智客户月报（</w:t>
      </w:r>
      <w:r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1E020F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 w:rsidR="009025F1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2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14254A54" w14:textId="15A36612" w:rsidR="005A417E" w:rsidRDefault="005A417E"/>
    <w:p w14:paraId="7D8E9ADA" w14:textId="77777777" w:rsidR="00436C20" w:rsidRPr="00531EC5" w:rsidRDefault="00436C20" w:rsidP="00436C2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531EC5">
        <w:rPr>
          <w:rFonts w:ascii="KaiTi" w:eastAsia="KaiTi" w:hAnsi="KaiTi" w:cs="PingFang TC"/>
          <w:kern w:val="0"/>
          <w14:ligatures w14:val="none"/>
        </w:rPr>
        <w:t>亲爱的朋友们，大家好！</w:t>
      </w:r>
    </w:p>
    <w:p w14:paraId="26FDA02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AF515EF" w14:textId="53D50EDE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岁末将至，我们由衷感谢在过去 2025 年里一路同行与信任。愿您和家人在这一段温暖的岁暮中收获安宁与喜悦；也愿新的一年 2026 年，为您与家</w:t>
      </w:r>
      <w:r w:rsidR="00630569">
        <w:rPr>
          <w:rFonts w:ascii="KaiTi" w:eastAsia="KaiTi" w:hAnsi="KaiTi" w:cs="PingFang TC" w:hint="eastAsia"/>
          <w:kern w:val="0"/>
          <w14:ligatures w14:val="none"/>
        </w:rPr>
        <w:t>人</w:t>
      </w:r>
      <w:r w:rsidRPr="005548F5">
        <w:rPr>
          <w:rFonts w:ascii="KaiTi" w:eastAsia="KaiTi" w:hAnsi="KaiTi" w:cs="PingFang TC"/>
          <w:kern w:val="0"/>
          <w14:ligatures w14:val="none"/>
        </w:rPr>
        <w:t>带来更稳健的成长、更清晰的方向和更丰硕的成果。</w:t>
      </w:r>
    </w:p>
    <w:p w14:paraId="57576D0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FFDB0E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在这一季，我们把视角置于全球大局与市场趋势，希望为您在年终布局和新年规划中提供有价值的洞见。</w:t>
      </w:r>
    </w:p>
    <w:p w14:paraId="527788B2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EC3F027" w14:textId="116FE335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DE0D9B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60C26C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Apple Color Emoji" w:eastAsia="KaiTi" w:hAnsi="Apple Color Emoji" w:cs="Apple Color Emoji"/>
          <w:kern w:val="0"/>
          <w14:ligatures w14:val="none"/>
        </w:rPr>
        <w:t>🌍</w:t>
      </w: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 xml:space="preserve"> 今年 12 月全球发生的重要大事</w:t>
      </w:r>
    </w:p>
    <w:p w14:paraId="5B37909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794F41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586636E1" w14:textId="2BB857DD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>
        <w:rPr>
          <w:rFonts w:ascii="KaiTi" w:eastAsia="KaiTi" w:hAnsi="KaiTi" w:cs="PingFang TC" w:hint="eastAsia"/>
          <w:b/>
          <w:bCs/>
          <w:kern w:val="0"/>
          <w14:ligatures w14:val="none"/>
        </w:rPr>
        <w:t>1</w:t>
      </w: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) S&amp;P 500 与道琼斯指数刷新纪录</w:t>
      </w:r>
    </w:p>
    <w:p w14:paraId="64544BF9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0F3816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在 12 月圣诞行情中，美股主要指数再度创新高，其中 AI 主题、科技龙头表现亮眼，显示市场对 2026 宽松预期已经提前反映。 </w:t>
      </w:r>
    </w:p>
    <w:p w14:paraId="68B8F0A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9F48658" w14:textId="1FA393AA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>
        <w:rPr>
          <w:rFonts w:ascii="KaiTi" w:eastAsia="KaiTi" w:hAnsi="KaiTi" w:cs="PingFang TC" w:hint="eastAsia"/>
          <w:b/>
          <w:bCs/>
          <w:kern w:val="0"/>
          <w14:ligatures w14:val="none"/>
        </w:rPr>
        <w:t>2</w:t>
      </w: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) 荷兰养老金制度改革将于 2026 年启动</w:t>
      </w:r>
    </w:p>
    <w:p w14:paraId="54D28B6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2C39BE9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这一规模近 2 兆欧元的制度升级，将推动资产配置格局发生转向，尤其影响债券需求与养老金资本流向，是全球资本市场制度性重构的重要信号。 </w:t>
      </w:r>
    </w:p>
    <w:p w14:paraId="3E50683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2DBBC267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4) 中国贸易顺差破历史纪录</w:t>
      </w:r>
    </w:p>
    <w:p w14:paraId="171DC5E2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C3D281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12 月中国贸易顺差首次突破 1 万亿人民币，体现出口韧性。同时中日海上摩擦与自贸区政策调整，成为市场关注的地缘与制度变量。 </w:t>
      </w:r>
    </w:p>
    <w:p w14:paraId="01390FD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052292F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5) 私募股权与科技 IPO 动态</w:t>
      </w:r>
    </w:p>
    <w:p w14:paraId="1A6DB78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7E25625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全球私募机构在 2025 年加速退出与重整，头部科技与 AI 公司如 SpaceX、Anthropic IPO 传闻活跃，反映新一轮资本市场节奏正在形成。 </w:t>
      </w:r>
    </w:p>
    <w:p w14:paraId="7B3A3B3E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03FFB26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⸻</w:t>
      </w:r>
    </w:p>
    <w:p w14:paraId="036B32F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290088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Apple Color Emoji" w:eastAsia="KaiTi" w:hAnsi="Apple Color Emoji" w:cs="Apple Color Emoji"/>
          <w:kern w:val="0"/>
          <w14:ligatures w14:val="none"/>
        </w:rPr>
        <w:t>📈</w:t>
      </w: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 xml:space="preserve"> 2025 年资本市场三大核心事件回顾</w:t>
      </w:r>
    </w:p>
    <w:p w14:paraId="2AA2E24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5CEA397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从市场结构与长期投资逻辑来讲，以下事件最具代表性：</w:t>
      </w:r>
    </w:p>
    <w:p w14:paraId="2366B8B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6C9FF2E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1) AI 经济与资产估值结构性变迁</w:t>
      </w:r>
    </w:p>
    <w:p w14:paraId="7E4F5D5A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5BD372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2025 年，人工智能相关资本开支显著增强，并以极高速度渗透至各行业。这一趋势对经济增长贡献显著，同时也挑战传统估值逻辑，是投资者不得不重新评估“成长 vs 价值”关系的关键节点。 </w:t>
      </w:r>
    </w:p>
    <w:p w14:paraId="06F913B5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C75C00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2) 大宗商品贵金属持续强势</w:t>
      </w:r>
    </w:p>
    <w:p w14:paraId="6C539125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5CF42DC7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金银价格在 2025 年表现亮眼，尤其是白银涨幅显著超越多数传统资产类别。贵金属的避险与实际需求属性在多变的宏观环境中重获关注。 </w:t>
      </w:r>
    </w:p>
    <w:p w14:paraId="1E8D165E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259FDD48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>3) 市场利率与货币政策转向</w:t>
      </w:r>
    </w:p>
    <w:p w14:paraId="00F8D16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486F3E6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全球央行集体放松政策，美国联储多次降息预期成为市场重要驱动因素，这影响资产风险溢价、债券收益率曲线及全球资金配置格局。 </w:t>
      </w:r>
    </w:p>
    <w:p w14:paraId="2847AC5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0AAD56D" w14:textId="61649C19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4CA984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B41BCC8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Apple Color Emoji" w:eastAsia="KaiTi" w:hAnsi="Apple Color Emoji" w:cs="Apple Color Emoji"/>
          <w:kern w:val="0"/>
          <w14:ligatures w14:val="none"/>
        </w:rPr>
        <w:t>🔮</w:t>
      </w:r>
      <w:r w:rsidRPr="005548F5">
        <w:rPr>
          <w:rFonts w:ascii="KaiTi" w:eastAsia="KaiTi" w:hAnsi="KaiTi" w:cs="PingFang TC"/>
          <w:b/>
          <w:bCs/>
          <w:kern w:val="0"/>
          <w14:ligatures w14:val="none"/>
        </w:rPr>
        <w:t xml:space="preserve"> 投行与大机构对 2026 年的主要展望</w:t>
      </w:r>
    </w:p>
    <w:p w14:paraId="63F4135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2596731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7C99FE2" w14:textId="5EDDD2DE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根据各大投行（如摩根大通、高盛、摩根士丹利、瑞银、汇丰、美国银行）以及大型基金（如 Capital Group）对2026年的展望，市场将进入一个从政策波动转向相对稳定、但仍受结构性力量制约的新阶段，核心关键词为“</w:t>
      </w:r>
      <w:r w:rsidRPr="00E15132">
        <w:rPr>
          <w:rFonts w:ascii="KaiTi" w:eastAsia="KaiTi" w:hAnsi="KaiTi" w:cs="PingFang TC"/>
          <w:b/>
          <w:bCs/>
          <w:kern w:val="0"/>
          <w14:ligatures w14:val="none"/>
        </w:rPr>
        <w:t>受控的不确定性</w:t>
      </w:r>
      <w:r w:rsidRPr="005548F5">
        <w:rPr>
          <w:rFonts w:ascii="KaiTi" w:eastAsia="KaiTi" w:hAnsi="KaiTi" w:cs="PingFang TC"/>
          <w:kern w:val="0"/>
          <w14:ligatures w14:val="none"/>
        </w:rPr>
        <w:t>”与“</w:t>
      </w:r>
      <w:r w:rsidRPr="00E15132">
        <w:rPr>
          <w:rFonts w:ascii="KaiTi" w:eastAsia="KaiTi" w:hAnsi="KaiTi" w:cs="PingFang TC"/>
          <w:b/>
          <w:bCs/>
          <w:kern w:val="0"/>
          <w14:ligatures w14:val="none"/>
        </w:rPr>
        <w:t>生产力前沿的成熟化</w:t>
      </w:r>
      <w:r w:rsidRPr="005548F5">
        <w:rPr>
          <w:rFonts w:ascii="KaiTi" w:eastAsia="KaiTi" w:hAnsi="KaiTi" w:cs="PingFang TC"/>
          <w:kern w:val="0"/>
          <w14:ligatures w14:val="none"/>
        </w:rPr>
        <w:t>”</w:t>
      </w:r>
    </w:p>
    <w:p w14:paraId="2D075DD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0EA8F368" w14:textId="77846A89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以下是对2026年主要展望的</w:t>
      </w:r>
      <w:r w:rsidR="00E15132">
        <w:rPr>
          <w:rFonts w:ascii="KaiTi" w:eastAsia="KaiTi" w:hAnsi="KaiTi" w:cs="PingFang TC" w:hint="eastAsia"/>
          <w:kern w:val="0"/>
          <w14:ligatures w14:val="none"/>
        </w:rPr>
        <w:t>观点</w:t>
      </w:r>
      <w:r w:rsidRPr="005548F5">
        <w:rPr>
          <w:rFonts w:ascii="KaiTi" w:eastAsia="KaiTi" w:hAnsi="KaiTi" w:cs="PingFang TC"/>
          <w:kern w:val="0"/>
          <w14:ligatures w14:val="none"/>
        </w:rPr>
        <w:t>分类总结</w:t>
      </w:r>
    </w:p>
    <w:p w14:paraId="028E8386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0585BA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一、 2026年核心宏观背景总结</w:t>
      </w:r>
    </w:p>
    <w:p w14:paraId="48C03949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162716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经济增长： 全球经济预计将实现2.4%至3.3%的稳健增长。美国经济将维持韧性（预计增长1.8%–2.6%），受益于税收优惠和财政刺激（如《OBBBA法案》）。欧元区将走出停滞，实现约1.1%–1.3%的温和复苏。中国则向创新驱动型模式转型，预计GDP增长在4.5%左右。</w:t>
      </w:r>
    </w:p>
    <w:p w14:paraId="08A61627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66AC887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lastRenderedPageBreak/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通胀与利率： 全球通胀将趋于温和但具有波动性，且可能高于2%的目标。美联储预计将利率降至3.0%–3.25%的“中性”水平。</w:t>
      </w:r>
    </w:p>
    <w:p w14:paraId="03FB52B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5B9FD22C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AI 进程： AI 投资将从基础设施建设（硬件）进入应用部署与变现阶段（软件与服务）。</w:t>
      </w:r>
    </w:p>
    <w:p w14:paraId="1D4ED095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73A49B8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二、 观点分类：一致共识 vs. 核心分歧</w:t>
      </w:r>
    </w:p>
    <w:p w14:paraId="1E3097D0" w14:textId="77777777" w:rsidR="00E15132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0CEE6042" w14:textId="2DF8004F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1. 市场一致观点（Consensus）</w:t>
      </w:r>
    </w:p>
    <w:p w14:paraId="2FEF86E4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316942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AI 不是泡沫： 大多数机构认为，尽管估值较高，但AI由盈利能力强的现金充裕公司资助，且目前尚未出现明显的产能过剩，因此不存在即将破裂的泡沫。</w:t>
      </w:r>
    </w:p>
    <w:p w14:paraId="643F306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全球碎片化（Fragmentation）的常态化： 地缘政治不再是短期冲击，而是长期结构性风险。供应链安全和韧性将优先于效率，关税已成为常规政策工具。</w:t>
      </w:r>
    </w:p>
    <w:p w14:paraId="6731BAA2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黄金的结构性牛市： 机构普遍看好黄金，目标价在4,500至5,000美元/盎司之间，驱动力源于央行需求、去美元化及对财政赤字的担忧。</w:t>
      </w:r>
    </w:p>
    <w:p w14:paraId="79D1CE69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美元走势疲软： 预计2026年美元将温和贬值，为非美资产和新兴市场提供支撑。</w:t>
      </w:r>
    </w:p>
    <w:p w14:paraId="00E8922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753A9264" w14:textId="77777777" w:rsid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2. 对立与分歧观点（Conflict）</w:t>
      </w:r>
    </w:p>
    <w:p w14:paraId="18065599" w14:textId="77777777" w:rsidR="00E15132" w:rsidRPr="005548F5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4F6B2C1" w14:textId="77345619" w:rsidR="00E15132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标普500（S&amp;P 500）目标价：</w:t>
      </w:r>
    </w:p>
    <w:p w14:paraId="4E83BA45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乐观派： 德意志银行看好 8,000点；摩根士丹利看好 7,800点。</w:t>
      </w:r>
    </w:p>
    <w:p w14:paraId="2E8DBE56" w14:textId="77777777" w:rsid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谨慎派： 美国银行最为保守，目标价仅为 7,100点，担忧估值压力和消费疲软。</w:t>
      </w:r>
    </w:p>
    <w:p w14:paraId="52CEE33F" w14:textId="77777777" w:rsidR="00E15132" w:rsidRPr="005548F5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0ECBB7D8" w14:textId="77777777" w:rsid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比特币的周期论： 伯恩斯坦认为比特币已突破四年周期，进入长牛；摩根士丹利则警告四年周期依然存在，牛市可能已接近尾声。</w:t>
      </w:r>
    </w:p>
    <w:p w14:paraId="63330C7C" w14:textId="77777777" w:rsidR="00E15132" w:rsidRPr="005548F5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858A1B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ourier New" w:eastAsia="KaiTi" w:hAnsi="Courier New" w:cs="Courier New"/>
          <w:kern w:val="0"/>
          <w14:ligatures w14:val="none"/>
        </w:rPr>
        <w:t>•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货币政策节奏： 关于降息速度存在争议，一些官员担心通胀风险而支持更谨慎的路径（每年2-3次），另一些则担心劳动力市场衰退支持更激进的降息。</w:t>
      </w:r>
    </w:p>
    <w:p w14:paraId="3B402DC3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28287499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30DD47E" w14:textId="77777777" w:rsid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三、 行动指导：资产配置策略</w:t>
      </w:r>
    </w:p>
    <w:p w14:paraId="3E968B4F" w14:textId="77777777" w:rsidR="00E15132" w:rsidRPr="005548F5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49DC77B" w14:textId="51746DD2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基于各大机构的建议，2026年的投资</w:t>
      </w:r>
      <w:r w:rsidR="00E15132">
        <w:rPr>
          <w:rFonts w:ascii="KaiTi" w:eastAsia="KaiTi" w:hAnsi="KaiTi" w:cs="PingFang TC" w:hint="eastAsia"/>
          <w:kern w:val="0"/>
          <w14:ligatures w14:val="none"/>
        </w:rPr>
        <w:t>建议</w:t>
      </w:r>
      <w:r w:rsidRPr="005548F5">
        <w:rPr>
          <w:rFonts w:ascii="KaiTi" w:eastAsia="KaiTi" w:hAnsi="KaiTi" w:cs="PingFang TC"/>
          <w:kern w:val="0"/>
          <w14:ligatures w14:val="none"/>
        </w:rPr>
        <w:t>采取以下策略：</w:t>
      </w:r>
    </w:p>
    <w:p w14:paraId="23FA8E2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CC0E590" w14:textId="5EB32410" w:rsidR="00E15132" w:rsidRPr="00E15132" w:rsidRDefault="00E15132" w:rsidP="00E15132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>
        <w:rPr>
          <w:rFonts w:ascii="KaiTi" w:eastAsia="KaiTi" w:hAnsi="KaiTi" w:cs="PingFang TC" w:hint="eastAsia"/>
          <w:kern w:val="0"/>
          <w14:ligatures w14:val="none"/>
        </w:rPr>
        <w:t>1.</w:t>
      </w:r>
      <w:r w:rsidR="005548F5" w:rsidRPr="00E15132">
        <w:rPr>
          <w:rFonts w:ascii="KaiTi" w:eastAsia="KaiTi" w:hAnsi="KaiTi" w:cs="PingFang TC"/>
          <w:kern w:val="0"/>
          <w14:ligatures w14:val="none"/>
        </w:rPr>
        <w:t>重塑投资组合：从“60/40”迈向“60/40+”</w:t>
      </w:r>
    </w:p>
    <w:p w14:paraId="3FA886F5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传统的股债组合已不足以应对通胀波动和正相关的冲击。建议加入10%–40%的替代资产（如私募股权、对冲基金、大宗商品），以增强投资组合的稳健性并提高夏普比率。</w:t>
      </w:r>
    </w:p>
    <w:p w14:paraId="322FC1A0" w14:textId="77777777" w:rsidR="00E15132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F4E3E9E" w14:textId="0A27C150" w:rsidR="005548F5" w:rsidRPr="005548F5" w:rsidRDefault="005548F5" w:rsidP="00E15132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 xml:space="preserve">2. 股票策略：寻找 AI </w:t>
      </w:r>
      <w:proofErr w:type="gramStart"/>
      <w:r w:rsidRPr="005548F5">
        <w:rPr>
          <w:rFonts w:ascii="KaiTi" w:eastAsia="KaiTi" w:hAnsi="KaiTi" w:cs="PingFang TC"/>
          <w:kern w:val="0"/>
          <w14:ligatures w14:val="none"/>
        </w:rPr>
        <w:t>的“</w:t>
      </w:r>
      <w:proofErr w:type="gramEnd"/>
      <w:r w:rsidRPr="005548F5">
        <w:rPr>
          <w:rFonts w:ascii="KaiTi" w:eastAsia="KaiTi" w:hAnsi="KaiTi" w:cs="PingFang TC"/>
          <w:kern w:val="0"/>
          <w14:ligatures w14:val="none"/>
        </w:rPr>
        <w:t>智能采用者”</w:t>
      </w:r>
    </w:p>
    <w:p w14:paraId="37C51688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lastRenderedPageBreak/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不要只关注半导体，应转向能利用AI提高利润率的金融、医疗和公用事业（电力需求）。</w:t>
      </w:r>
    </w:p>
    <w:p w14:paraId="1EFE1ECC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国际化配置： 利用估值折扣配置日本（公司治理改革受益者）和欧洲（低估值的工业与奢侈品龙头）。</w:t>
      </w:r>
    </w:p>
    <w:p w14:paraId="08D90F2C" w14:textId="77777777" w:rsidR="00E15132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15F04537" w14:textId="2A61E69E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3. 固定收益：质量为王</w:t>
      </w:r>
    </w:p>
    <w:p w14:paraId="3D9BFEE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优先选择投资级公司债（IG），避开风险溢价不足的高收益债。</w:t>
      </w:r>
    </w:p>
    <w:p w14:paraId="248FFA42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关注中等存续期（4-7年）的债券，以锁定较高收益并防范利率波动。</w:t>
      </w:r>
    </w:p>
    <w:p w14:paraId="2C47B3B4" w14:textId="77777777" w:rsidR="00E15132" w:rsidRDefault="00E15132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42806AE0" w14:textId="197B5A66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4. 防御性配置：实物资产与避险</w:t>
      </w:r>
    </w:p>
    <w:p w14:paraId="5390F65B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黄金： 作为抵御货币贬值和地缘政治风险的核心对冲工具。</w:t>
      </w:r>
    </w:p>
    <w:p w14:paraId="7B47D8DF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Calibri" w:eastAsia="KaiTi" w:hAnsi="Calibri" w:cs="Calibri"/>
          <w:kern w:val="0"/>
          <w14:ligatures w14:val="none"/>
        </w:rPr>
        <w:t>    </w:t>
      </w:r>
      <w:r w:rsidRPr="005548F5">
        <w:rPr>
          <w:rFonts w:ascii="Courier New" w:eastAsia="KaiTi" w:hAnsi="Courier New" w:cs="Courier New"/>
          <w:kern w:val="0"/>
          <w14:ligatures w14:val="none"/>
        </w:rPr>
        <w:t>◦</w:t>
      </w:r>
      <w:r w:rsidRPr="005548F5">
        <w:rPr>
          <w:rFonts w:ascii="KaiTi" w:eastAsia="KaiTi" w:hAnsi="KaiTi" w:cs="PingFang TC"/>
          <w:kern w:val="0"/>
          <w14:ligatures w14:val="none"/>
        </w:rPr>
        <w:t xml:space="preserve"> 房地产： 关注美国住宅租赁市场（受购房负担能力下降驱动）和</w:t>
      </w:r>
    </w:p>
    <w:p w14:paraId="0E57DEB9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数据中心相关房地产。</w:t>
      </w:r>
    </w:p>
    <w:p w14:paraId="5C080E7C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C209C7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2026年的全球市场就像一架正在尝试脱离重力的航天飞机。AI技术创新和财政刺激是燃料，而高额债务、贸易壁垒和通胀风险是巨大的重力引力。</w:t>
      </w:r>
    </w:p>
    <w:p w14:paraId="4A204166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5279C5AA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投资者的任务不是赌飞机是否会坠毁，而是系好安全带（资产多元化），并确保你的仪表盘能同时监测动力（增长）和引力（通胀风险）的变化。</w:t>
      </w:r>
    </w:p>
    <w:p w14:paraId="4A212241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7A66E7CD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</w:p>
    <w:p w14:paraId="58D7A180" w14:textId="77777777" w:rsidR="005548F5" w:rsidRPr="005548F5" w:rsidRDefault="005548F5" w:rsidP="005548F5">
      <w:pPr>
        <w:spacing w:after="0" w:line="240" w:lineRule="auto"/>
        <w:rPr>
          <w:rFonts w:ascii="KaiTi" w:eastAsia="KaiTi" w:hAnsi="KaiTi" w:cs="PingFang TC"/>
          <w:kern w:val="0"/>
          <w14:ligatures w14:val="none"/>
        </w:rPr>
      </w:pPr>
      <w:r w:rsidRPr="005548F5">
        <w:rPr>
          <w:rFonts w:ascii="KaiTi" w:eastAsia="KaiTi" w:hAnsi="KaiTi" w:cs="PingFang TC"/>
          <w:kern w:val="0"/>
          <w14:ligatures w14:val="none"/>
        </w:rPr>
        <w:t>祝愿您与家人在 2025 年画上一个自信而从容的句号，也愿 2026 年成为一个更稳健、更丰盈、更具家庭安全感的年份。</w:t>
      </w:r>
    </w:p>
    <w:p w14:paraId="3CD7694B" w14:textId="1D41B7D3" w:rsidR="004545E5" w:rsidRPr="00436C20" w:rsidRDefault="004545E5" w:rsidP="005548F5">
      <w:pPr>
        <w:spacing w:after="0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8A99727" w14:textId="77777777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b/>
          <w:bCs/>
          <w:kern w:val="0"/>
          <w14:ligatures w14:val="none"/>
        </w:rPr>
        <w:t>旺达财智团队</w:t>
      </w:r>
    </w:p>
    <w:p w14:paraId="6D1879AC" w14:textId="22832C28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kern w:val="0"/>
          <w14:ligatures w14:val="none"/>
        </w:rPr>
        <w:t>2025年</w:t>
      </w:r>
      <w:r w:rsidR="00852620">
        <w:rPr>
          <w:rFonts w:ascii="KaiTi" w:eastAsia="KaiTi" w:hAnsi="KaiTi" w:cs="PingFang TC" w:hint="eastAsia"/>
          <w:kern w:val="0"/>
          <w14:ligatures w14:val="none"/>
        </w:rPr>
        <w:t>1</w:t>
      </w:r>
      <w:r w:rsidR="005548F5">
        <w:rPr>
          <w:rFonts w:ascii="KaiTi" w:eastAsia="KaiTi" w:hAnsi="KaiTi" w:cs="PingFang TC" w:hint="eastAsia"/>
          <w:kern w:val="0"/>
          <w14:ligatures w14:val="none"/>
        </w:rPr>
        <w:t>2</w:t>
      </w:r>
      <w:r w:rsidRPr="001C3F9D">
        <w:rPr>
          <w:rFonts w:ascii="KaiTi" w:eastAsia="KaiTi" w:hAnsi="KaiTi" w:cs="PingFang TC"/>
          <w:kern w:val="0"/>
          <w14:ligatures w14:val="none"/>
        </w:rPr>
        <w:t>月</w:t>
      </w:r>
    </w:p>
    <w:p w14:paraId="30D09270" w14:textId="77777777" w:rsidR="003A1E35" w:rsidRDefault="003A1E35">
      <w:pPr>
        <w:rPr>
          <w:rFonts w:ascii="KaiTi" w:eastAsia="KaiTi" w:hAnsi="KaiTi"/>
          <w:b/>
          <w:bCs/>
        </w:rPr>
      </w:pPr>
      <w:r>
        <w:rPr>
          <w:rFonts w:ascii="KaiTi" w:eastAsia="KaiTi" w:hAnsi="KaiTi"/>
          <w:b/>
          <w:bCs/>
        </w:rPr>
        <w:br w:type="page"/>
      </w:r>
    </w:p>
    <w:p w14:paraId="39BD05A7" w14:textId="0140DFA6" w:rsidR="00690C0D" w:rsidRPr="000C1D9B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38EB854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35422E21" w14:textId="77777777" w:rsidR="00690C0D" w:rsidRPr="000E2963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46F089FF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12C2CB9F" w14:textId="5B993C21" w:rsidR="006D4536" w:rsidRPr="00331F36" w:rsidRDefault="00690C0D" w:rsidP="006D4536">
      <w:pPr>
        <w:rPr>
          <w:rFonts w:ascii="KaiTi" w:eastAsia="KaiTi" w:hAnsi="KaiTi"/>
          <w:sz w:val="21"/>
          <w:szCs w:val="21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</w:t>
      </w:r>
      <w:r w:rsidR="009025F1">
        <w:rPr>
          <w:rFonts w:ascii="KaiTi" w:eastAsia="KaiTi" w:hAnsi="KaiTi" w:hint="eastAsia"/>
        </w:rPr>
        <w:t>2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/>
        </w:rPr>
        <w:t>2</w:t>
      </w:r>
      <w:r w:rsidR="006D4536"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209"/>
        <w:gridCol w:w="1106"/>
        <w:gridCol w:w="1453"/>
        <w:gridCol w:w="1273"/>
        <w:gridCol w:w="1275"/>
      </w:tblGrid>
      <w:tr w:rsidR="006D4536" w:rsidRPr="006D4536" w14:paraId="28FCD757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560A573F" w14:textId="77777777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Calibri" w:eastAsia="KaiTi" w:hAnsi="Calibri" w:cs="Calibri"/>
                <w:sz w:val="22"/>
                <w:szCs w:val="22"/>
              </w:rPr>
              <w:t> </w:t>
            </w:r>
          </w:p>
        </w:tc>
        <w:tc>
          <w:tcPr>
            <w:tcW w:w="1209" w:type="dxa"/>
            <w:noWrap/>
            <w:hideMark/>
          </w:tcPr>
          <w:p w14:paraId="65C1E679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106" w:type="dxa"/>
            <w:noWrap/>
            <w:hideMark/>
          </w:tcPr>
          <w:p w14:paraId="5AB3A0F3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453" w:type="dxa"/>
            <w:noWrap/>
            <w:hideMark/>
          </w:tcPr>
          <w:p w14:paraId="383260D2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73" w:type="dxa"/>
            <w:noWrap/>
            <w:hideMark/>
          </w:tcPr>
          <w:p w14:paraId="7FB92A42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75" w:type="dxa"/>
            <w:noWrap/>
            <w:hideMark/>
          </w:tcPr>
          <w:p w14:paraId="7D971B3C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9025F1" w:rsidRPr="006D4536" w14:paraId="2B780CF4" w14:textId="77777777" w:rsidTr="009025F1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06DDF8E7" w14:textId="77777777" w:rsidR="009025F1" w:rsidRPr="006D4536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I17 美国优质股权基金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0CA276A9" w14:textId="68A8CBEC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</w:t>
            </w:r>
            <w:r>
              <w:rPr>
                <w:rFonts w:ascii="KaiTi" w:eastAsia="KaiTi" w:hAnsi="KaiTi" w:hint="eastAsia"/>
                <w:sz w:val="22"/>
                <w:szCs w:val="22"/>
              </w:rPr>
              <w:t>2</w:t>
            </w:r>
            <w:r w:rsidRPr="006D4536">
              <w:rPr>
                <w:rFonts w:ascii="KaiTi" w:eastAsia="KaiTi" w:hAnsi="KaiTi"/>
                <w:sz w:val="22"/>
                <w:szCs w:val="22"/>
              </w:rPr>
              <w:t>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4FAEE279" w14:textId="15CE05BA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24.52</w:t>
            </w:r>
          </w:p>
        </w:tc>
        <w:tc>
          <w:tcPr>
            <w:tcW w:w="1453" w:type="dxa"/>
            <w:noWrap/>
            <w:vAlign w:val="center"/>
            <w:hideMark/>
          </w:tcPr>
          <w:p w14:paraId="033314D3" w14:textId="22C49BFC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384,253</w:t>
            </w:r>
          </w:p>
        </w:tc>
        <w:tc>
          <w:tcPr>
            <w:tcW w:w="1273" w:type="dxa"/>
            <w:noWrap/>
            <w:vAlign w:val="center"/>
            <w:hideMark/>
          </w:tcPr>
          <w:p w14:paraId="59B2A676" w14:textId="16F5DE74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36.0%</w:t>
            </w:r>
          </w:p>
        </w:tc>
        <w:tc>
          <w:tcPr>
            <w:tcW w:w="1275" w:type="dxa"/>
            <w:noWrap/>
            <w:vAlign w:val="center"/>
            <w:hideMark/>
          </w:tcPr>
          <w:p w14:paraId="35A8E578" w14:textId="1E90DAFD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12.06%</w:t>
            </w:r>
          </w:p>
        </w:tc>
      </w:tr>
      <w:tr w:rsidR="009025F1" w:rsidRPr="006D4536" w14:paraId="7598B9D1" w14:textId="77777777" w:rsidTr="009025F1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3795B6BF" w14:textId="77777777" w:rsidR="009025F1" w:rsidRPr="006D4536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R01 美国房地产基金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05908985" w14:textId="66C94DF2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</w:t>
            </w:r>
            <w:r>
              <w:rPr>
                <w:rFonts w:ascii="KaiTi" w:eastAsia="KaiTi" w:hAnsi="KaiTi" w:hint="eastAsia"/>
                <w:sz w:val="22"/>
                <w:szCs w:val="22"/>
              </w:rPr>
              <w:t>2</w:t>
            </w:r>
            <w:r w:rsidRPr="006D4536">
              <w:rPr>
                <w:rFonts w:ascii="KaiTi" w:eastAsia="KaiTi" w:hAnsi="KaiTi"/>
                <w:sz w:val="22"/>
                <w:szCs w:val="22"/>
              </w:rPr>
              <w:t>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14F85569" w14:textId="19AFF5A7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25.58</w:t>
            </w:r>
          </w:p>
        </w:tc>
        <w:tc>
          <w:tcPr>
            <w:tcW w:w="1453" w:type="dxa"/>
            <w:noWrap/>
            <w:vAlign w:val="center"/>
            <w:hideMark/>
          </w:tcPr>
          <w:p w14:paraId="15F1696D" w14:textId="1377933B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262,937</w:t>
            </w:r>
          </w:p>
        </w:tc>
        <w:tc>
          <w:tcPr>
            <w:tcW w:w="1273" w:type="dxa"/>
            <w:noWrap/>
            <w:vAlign w:val="center"/>
            <w:hideMark/>
          </w:tcPr>
          <w:p w14:paraId="69662AA0" w14:textId="249A66FA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24.6%</w:t>
            </w:r>
          </w:p>
        </w:tc>
        <w:tc>
          <w:tcPr>
            <w:tcW w:w="1275" w:type="dxa"/>
            <w:noWrap/>
            <w:vAlign w:val="center"/>
            <w:hideMark/>
          </w:tcPr>
          <w:p w14:paraId="0F7E2687" w14:textId="44FB576D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-0.86%</w:t>
            </w:r>
          </w:p>
        </w:tc>
      </w:tr>
      <w:tr w:rsidR="009025F1" w:rsidRPr="006D4536" w14:paraId="29941553" w14:textId="77777777" w:rsidTr="009025F1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F1D90A4" w14:textId="77777777" w:rsidR="009025F1" w:rsidRPr="006D4536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F16 美国中高等级债券基金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2C42DE3D" w14:textId="0FF884F4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</w:t>
            </w:r>
            <w:r>
              <w:rPr>
                <w:rFonts w:ascii="KaiTi" w:eastAsia="KaiTi" w:hAnsi="KaiTi" w:hint="eastAsia"/>
                <w:sz w:val="22"/>
                <w:szCs w:val="22"/>
              </w:rPr>
              <w:t>2</w:t>
            </w:r>
            <w:r w:rsidRPr="006D4536">
              <w:rPr>
                <w:rFonts w:ascii="KaiTi" w:eastAsia="KaiTi" w:hAnsi="KaiTi"/>
                <w:sz w:val="22"/>
                <w:szCs w:val="22"/>
              </w:rPr>
              <w:t>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1C548AFA" w14:textId="6A4FA75A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144.67</w:t>
            </w:r>
          </w:p>
        </w:tc>
        <w:tc>
          <w:tcPr>
            <w:tcW w:w="1453" w:type="dxa"/>
            <w:noWrap/>
            <w:vAlign w:val="center"/>
            <w:hideMark/>
          </w:tcPr>
          <w:p w14:paraId="726450DD" w14:textId="64E4E6EA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419,543</w:t>
            </w:r>
          </w:p>
        </w:tc>
        <w:tc>
          <w:tcPr>
            <w:tcW w:w="1273" w:type="dxa"/>
            <w:noWrap/>
            <w:vAlign w:val="center"/>
            <w:hideMark/>
          </w:tcPr>
          <w:p w14:paraId="0D7F2965" w14:textId="33EAB7D9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39.3%</w:t>
            </w:r>
          </w:p>
        </w:tc>
        <w:tc>
          <w:tcPr>
            <w:tcW w:w="1275" w:type="dxa"/>
            <w:noWrap/>
            <w:vAlign w:val="center"/>
            <w:hideMark/>
          </w:tcPr>
          <w:p w14:paraId="6263CBF3" w14:textId="4BA43109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6.73%</w:t>
            </w:r>
          </w:p>
        </w:tc>
      </w:tr>
      <w:tr w:rsidR="009025F1" w:rsidRPr="006D4536" w14:paraId="0CEBD530" w14:textId="77777777" w:rsidTr="009025F1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3102E825" w14:textId="3D7D8DA4" w:rsidR="009025F1" w:rsidRPr="006D4536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5790A8DC" w14:textId="14AF970F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06" w:type="dxa"/>
            <w:noWrap/>
            <w:vAlign w:val="center"/>
            <w:hideMark/>
          </w:tcPr>
          <w:p w14:paraId="63AADC75" w14:textId="3C7B88BB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53" w:type="dxa"/>
            <w:noWrap/>
            <w:vAlign w:val="center"/>
            <w:hideMark/>
          </w:tcPr>
          <w:p w14:paraId="2CD85ADC" w14:textId="34355513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1,066,733</w:t>
            </w:r>
          </w:p>
        </w:tc>
        <w:tc>
          <w:tcPr>
            <w:tcW w:w="1273" w:type="dxa"/>
            <w:noWrap/>
            <w:vAlign w:val="center"/>
            <w:hideMark/>
          </w:tcPr>
          <w:p w14:paraId="0322620C" w14:textId="33D48569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100.0%</w:t>
            </w:r>
          </w:p>
        </w:tc>
        <w:tc>
          <w:tcPr>
            <w:tcW w:w="1275" w:type="dxa"/>
            <w:noWrap/>
            <w:vAlign w:val="center"/>
            <w:hideMark/>
          </w:tcPr>
          <w:p w14:paraId="59181BB5" w14:textId="03A0DBAA" w:rsidR="009025F1" w:rsidRPr="006D4536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6.69%</w:t>
            </w:r>
          </w:p>
        </w:tc>
      </w:tr>
    </w:tbl>
    <w:p w14:paraId="6597235C" w14:textId="4ECC681C" w:rsidR="00690C0D" w:rsidRDefault="00690C0D" w:rsidP="006D4536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72347382" w14:textId="2A15028D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</w:t>
      </w:r>
      <w:r w:rsidR="005429BE">
        <w:rPr>
          <w:rFonts w:ascii="KaiTi" w:eastAsia="KaiTi" w:hAnsi="KaiTi" w:hint="eastAsia"/>
        </w:rPr>
        <w:t>1</w:t>
      </w:r>
      <w:r w:rsidR="009025F1">
        <w:rPr>
          <w:rFonts w:ascii="KaiTi" w:eastAsia="KaiTi" w:hAnsi="KaiTi" w:hint="eastAsia"/>
        </w:rPr>
        <w:t>2</w:t>
      </w:r>
      <w:r>
        <w:rPr>
          <w:rFonts w:ascii="KaiTi" w:eastAsia="KaiTi" w:hAnsi="KaiTi" w:hint="eastAsia"/>
        </w:rPr>
        <w:t>月2</w:t>
      </w:r>
      <w:r w:rsidR="006D4536">
        <w:rPr>
          <w:rFonts w:ascii="KaiTi" w:eastAsia="KaiTi" w:hAnsi="KaiTi" w:hint="eastAsia"/>
        </w:rPr>
        <w:t>6</w:t>
      </w:r>
      <w:r>
        <w:rPr>
          <w:rFonts w:ascii="KaiTi" w:eastAsia="KaiTi" w:hAnsi="KaiTi" w:hint="eastAsia"/>
        </w:rPr>
        <w:t>号的收盘数据，组合自成立起累计增长</w:t>
      </w:r>
      <w:r w:rsidR="005429BE">
        <w:rPr>
          <w:rFonts w:ascii="KaiTi" w:eastAsia="KaiTi" w:hAnsi="KaiTi" w:hint="eastAsia"/>
        </w:rPr>
        <w:t>6.</w:t>
      </w:r>
      <w:r w:rsidR="009025F1">
        <w:rPr>
          <w:rFonts w:ascii="KaiTi" w:eastAsia="KaiTi" w:hAnsi="KaiTi" w:hint="eastAsia"/>
        </w:rPr>
        <w:t>69</w:t>
      </w:r>
      <w:r>
        <w:rPr>
          <w:rFonts w:ascii="KaiTi" w:eastAsia="KaiTi" w:hAnsi="KaiTi" w:hint="eastAsia"/>
        </w:rPr>
        <w:t>%，年内累计增长</w:t>
      </w:r>
      <w:r w:rsidR="005429BE">
        <w:rPr>
          <w:rFonts w:ascii="KaiTi" w:eastAsia="KaiTi" w:hAnsi="KaiTi" w:hint="eastAsia"/>
        </w:rPr>
        <w:t>8.</w:t>
      </w:r>
      <w:r w:rsidR="009025F1">
        <w:rPr>
          <w:rFonts w:ascii="KaiTi" w:eastAsia="KaiTi" w:hAnsi="KaiTi" w:hint="eastAsia"/>
        </w:rPr>
        <w:t>41</w:t>
      </w:r>
      <w:r>
        <w:rPr>
          <w:rFonts w:ascii="KaiTi" w:eastAsia="KaiTi" w:hAnsi="KaiTi" w:hint="eastAsia"/>
        </w:rPr>
        <w:t>%。</w:t>
      </w:r>
    </w:p>
    <w:p w14:paraId="5868CB1C" w14:textId="77777777" w:rsidR="00690C0D" w:rsidRPr="00B14E80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4744E1A4" w14:textId="77777777" w:rsidR="00690C0D" w:rsidRPr="000C1D9B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38911CB5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32071436" w14:textId="0CB61795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</w:t>
      </w:r>
      <w:r w:rsidR="009025F1">
        <w:rPr>
          <w:rFonts w:ascii="KaiTi" w:eastAsia="KaiTi" w:hAnsi="KaiTi" w:hint="eastAsia"/>
        </w:rPr>
        <w:t>2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2</w:t>
      </w:r>
      <w:r w:rsidR="008E1A13"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日，组合运行情况：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15"/>
        <w:gridCol w:w="1218"/>
        <w:gridCol w:w="1585"/>
        <w:gridCol w:w="1251"/>
        <w:gridCol w:w="1251"/>
      </w:tblGrid>
      <w:tr w:rsidR="00690C0D" w:rsidRPr="00344E79" w14:paraId="46EB74CA" w14:textId="77777777" w:rsidTr="009025F1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549F27E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5" w:type="dxa"/>
            <w:noWrap/>
            <w:vAlign w:val="center"/>
            <w:hideMark/>
          </w:tcPr>
          <w:p w14:paraId="78CA529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18" w:type="dxa"/>
            <w:noWrap/>
            <w:vAlign w:val="center"/>
            <w:hideMark/>
          </w:tcPr>
          <w:p w14:paraId="04CF0888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85" w:type="dxa"/>
            <w:noWrap/>
            <w:vAlign w:val="center"/>
            <w:hideMark/>
          </w:tcPr>
          <w:p w14:paraId="1586FA30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1" w:type="dxa"/>
            <w:noWrap/>
            <w:vAlign w:val="center"/>
            <w:hideMark/>
          </w:tcPr>
          <w:p w14:paraId="7638C06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1" w:type="dxa"/>
            <w:noWrap/>
            <w:vAlign w:val="center"/>
            <w:hideMark/>
          </w:tcPr>
          <w:p w14:paraId="7A3B1041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9025F1" w:rsidRPr="00344E79" w14:paraId="4D73C297" w14:textId="77777777" w:rsidTr="009025F1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51EC47DE" w14:textId="77777777" w:rsidR="009025F1" w:rsidRPr="00344E79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Z12美国中高等级债券基金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708DEB5C" w14:textId="34889A86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</w:t>
            </w:r>
            <w:r w:rsidRPr="009025F1">
              <w:rPr>
                <w:rFonts w:ascii="KaiTi" w:eastAsia="KaiTi" w:hAnsi="KaiTi" w:hint="eastAsia"/>
                <w:sz w:val="22"/>
                <w:szCs w:val="22"/>
              </w:rPr>
              <w:t>1</w:t>
            </w:r>
            <w:r w:rsidRPr="009025F1">
              <w:rPr>
                <w:rFonts w:ascii="KaiTi" w:eastAsia="KaiTi" w:hAnsi="KaiTi"/>
                <w:sz w:val="22"/>
                <w:szCs w:val="22"/>
              </w:rPr>
              <w:t>/2</w:t>
            </w:r>
            <w:r w:rsidRPr="009025F1">
              <w:rPr>
                <w:rFonts w:ascii="KaiTi" w:eastAsia="KaiTi" w:hAnsi="KaiTi" w:hint="eastAsia"/>
                <w:sz w:val="22"/>
                <w:szCs w:val="22"/>
              </w:rPr>
              <w:t>6</w:t>
            </w:r>
            <w:r w:rsidRPr="009025F1">
              <w:rPr>
                <w:rFonts w:ascii="KaiTi" w:eastAsia="KaiTi" w:hAnsi="KaiTi"/>
                <w:sz w:val="22"/>
                <w:szCs w:val="22"/>
              </w:rPr>
              <w:t>/25</w:t>
            </w:r>
          </w:p>
        </w:tc>
        <w:tc>
          <w:tcPr>
            <w:tcW w:w="1218" w:type="dxa"/>
            <w:noWrap/>
            <w:vAlign w:val="center"/>
            <w:hideMark/>
          </w:tcPr>
          <w:p w14:paraId="0F8B0EDA" w14:textId="63E98667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7.77</w:t>
            </w:r>
          </w:p>
        </w:tc>
        <w:tc>
          <w:tcPr>
            <w:tcW w:w="1585" w:type="dxa"/>
            <w:noWrap/>
            <w:vAlign w:val="center"/>
            <w:hideMark/>
          </w:tcPr>
          <w:p w14:paraId="64C5805C" w14:textId="128D875A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596,930</w:t>
            </w:r>
          </w:p>
        </w:tc>
        <w:tc>
          <w:tcPr>
            <w:tcW w:w="1251" w:type="dxa"/>
            <w:noWrap/>
            <w:vAlign w:val="center"/>
            <w:hideMark/>
          </w:tcPr>
          <w:p w14:paraId="07DA27FC" w14:textId="2AA55D92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59%</w:t>
            </w:r>
          </w:p>
        </w:tc>
        <w:tc>
          <w:tcPr>
            <w:tcW w:w="1251" w:type="dxa"/>
            <w:noWrap/>
            <w:vAlign w:val="center"/>
            <w:hideMark/>
          </w:tcPr>
          <w:p w14:paraId="573CAADD" w14:textId="1026E019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-0.51%</w:t>
            </w:r>
          </w:p>
        </w:tc>
      </w:tr>
      <w:tr w:rsidR="009025F1" w:rsidRPr="00344E79" w14:paraId="3CC9A658" w14:textId="77777777" w:rsidTr="009025F1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6CFD00AE" w14:textId="77777777" w:rsidR="009025F1" w:rsidRPr="00344E79" w:rsidRDefault="009025F1" w:rsidP="009025F1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Z17美国优质股权基金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41100DA5" w14:textId="1D5160DB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</w:t>
            </w:r>
            <w:r w:rsidRPr="009025F1">
              <w:rPr>
                <w:rFonts w:ascii="KaiTi" w:eastAsia="KaiTi" w:hAnsi="KaiTi" w:hint="eastAsia"/>
                <w:sz w:val="22"/>
                <w:szCs w:val="22"/>
              </w:rPr>
              <w:t>1</w:t>
            </w:r>
            <w:r w:rsidRPr="009025F1">
              <w:rPr>
                <w:rFonts w:ascii="KaiTi" w:eastAsia="KaiTi" w:hAnsi="KaiTi"/>
                <w:sz w:val="22"/>
                <w:szCs w:val="22"/>
              </w:rPr>
              <w:t>/2</w:t>
            </w:r>
            <w:r w:rsidRPr="009025F1">
              <w:rPr>
                <w:rFonts w:ascii="KaiTi" w:eastAsia="KaiTi" w:hAnsi="KaiTi" w:hint="eastAsia"/>
                <w:sz w:val="22"/>
                <w:szCs w:val="22"/>
              </w:rPr>
              <w:t>6</w:t>
            </w:r>
            <w:r w:rsidRPr="009025F1">
              <w:rPr>
                <w:rFonts w:ascii="KaiTi" w:eastAsia="KaiTi" w:hAnsi="KaiTi"/>
                <w:sz w:val="22"/>
                <w:szCs w:val="22"/>
              </w:rPr>
              <w:t>/25</w:t>
            </w:r>
          </w:p>
        </w:tc>
        <w:tc>
          <w:tcPr>
            <w:tcW w:w="1218" w:type="dxa"/>
            <w:noWrap/>
            <w:vAlign w:val="center"/>
            <w:hideMark/>
          </w:tcPr>
          <w:p w14:paraId="1FE84524" w14:textId="64B0D551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9.3</w:t>
            </w:r>
          </w:p>
        </w:tc>
        <w:tc>
          <w:tcPr>
            <w:tcW w:w="1585" w:type="dxa"/>
            <w:noWrap/>
            <w:vAlign w:val="center"/>
            <w:hideMark/>
          </w:tcPr>
          <w:p w14:paraId="2CB13385" w14:textId="1BDD2B8A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412,409</w:t>
            </w:r>
          </w:p>
        </w:tc>
        <w:tc>
          <w:tcPr>
            <w:tcW w:w="1251" w:type="dxa"/>
            <w:noWrap/>
            <w:vAlign w:val="center"/>
            <w:hideMark/>
          </w:tcPr>
          <w:p w14:paraId="25124D0F" w14:textId="1C6ECF93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41%</w:t>
            </w:r>
          </w:p>
        </w:tc>
        <w:tc>
          <w:tcPr>
            <w:tcW w:w="1251" w:type="dxa"/>
            <w:noWrap/>
            <w:vAlign w:val="center"/>
            <w:hideMark/>
          </w:tcPr>
          <w:p w14:paraId="4A2306D3" w14:textId="357FF144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3.10%</w:t>
            </w:r>
          </w:p>
        </w:tc>
      </w:tr>
      <w:tr w:rsidR="009025F1" w:rsidRPr="00344E79" w14:paraId="67BC5DE5" w14:textId="77777777" w:rsidTr="009025F1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1EFF41B5" w14:textId="77777777" w:rsidR="009025F1" w:rsidRPr="00344E79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215" w:type="dxa"/>
            <w:noWrap/>
            <w:vAlign w:val="center"/>
            <w:hideMark/>
          </w:tcPr>
          <w:p w14:paraId="41887806" w14:textId="1FE36377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2B714BA8" w14:textId="77777777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85" w:type="dxa"/>
            <w:noWrap/>
            <w:vAlign w:val="center"/>
            <w:hideMark/>
          </w:tcPr>
          <w:p w14:paraId="34703ED4" w14:textId="2CED05DB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1,009,339</w:t>
            </w:r>
          </w:p>
        </w:tc>
        <w:tc>
          <w:tcPr>
            <w:tcW w:w="1251" w:type="dxa"/>
            <w:noWrap/>
            <w:vAlign w:val="center"/>
            <w:hideMark/>
          </w:tcPr>
          <w:p w14:paraId="512719D7" w14:textId="757BBAC0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100%</w:t>
            </w:r>
          </w:p>
        </w:tc>
        <w:tc>
          <w:tcPr>
            <w:tcW w:w="1251" w:type="dxa"/>
            <w:noWrap/>
            <w:vAlign w:val="center"/>
            <w:hideMark/>
          </w:tcPr>
          <w:p w14:paraId="64172A3D" w14:textId="0791CEB9" w:rsidR="009025F1" w:rsidRPr="005429BE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0.93%</w:t>
            </w:r>
          </w:p>
        </w:tc>
      </w:tr>
    </w:tbl>
    <w:p w14:paraId="406AFE12" w14:textId="77777777" w:rsidR="00690C0D" w:rsidRPr="00344E79" w:rsidRDefault="00690C0D" w:rsidP="00690C0D">
      <w:pPr>
        <w:rPr>
          <w:rFonts w:ascii="KaiTi" w:eastAsia="KaiTi" w:hAnsi="KaiTi"/>
          <w:sz w:val="22"/>
          <w:szCs w:val="22"/>
        </w:rPr>
      </w:pPr>
    </w:p>
    <w:p w14:paraId="63A1D73F" w14:textId="0D2BFC69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 w:rsidR="008E1A13">
        <w:rPr>
          <w:rFonts w:ascii="KaiTi" w:eastAsia="KaiTi" w:hAnsi="KaiTi" w:hint="eastAsia"/>
        </w:rPr>
        <w:t>0.</w:t>
      </w:r>
      <w:r w:rsidR="009025F1">
        <w:rPr>
          <w:rFonts w:ascii="KaiTi" w:eastAsia="KaiTi" w:hAnsi="KaiTi" w:hint="eastAsia"/>
        </w:rPr>
        <w:t>93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9025F1">
        <w:rPr>
          <w:rFonts w:ascii="KaiTi" w:eastAsia="KaiTi" w:hAnsi="KaiTi" w:hint="eastAsia"/>
          <w:color w:val="FF0000"/>
        </w:rPr>
        <w:t>8.71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52CB7C81" w14:textId="32C77791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自2024年10月到25年</w:t>
      </w:r>
      <w:r w:rsidR="00B83B9D">
        <w:rPr>
          <w:rFonts w:ascii="KaiTi" w:eastAsia="KaiTi" w:hAnsi="KaiTi" w:hint="eastAsia"/>
        </w:rPr>
        <w:t>1</w:t>
      </w:r>
      <w:r w:rsidR="009025F1">
        <w:rPr>
          <w:rFonts w:ascii="KaiTi" w:eastAsia="KaiTi" w:hAnsi="KaiTi" w:hint="eastAsia"/>
        </w:rPr>
        <w:t>2</w:t>
      </w:r>
      <w:r>
        <w:rPr>
          <w:rFonts w:ascii="KaiTi" w:eastAsia="KaiTi" w:hAnsi="KaiTi" w:hint="eastAsia"/>
        </w:rPr>
        <w:t>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</w:t>
      </w:r>
      <w:r w:rsidR="009025F1">
        <w:rPr>
          <w:rFonts w:ascii="KaiTi" w:eastAsia="KaiTi" w:hAnsi="KaiTi" w:hint="eastAsia"/>
        </w:rPr>
        <w:t>62</w:t>
      </w:r>
      <w:r w:rsidRPr="000C1D9B">
        <w:rPr>
          <w:rFonts w:ascii="KaiTi" w:eastAsia="KaiTi" w:hAnsi="KaiTi" w:hint="eastAsia"/>
        </w:rPr>
        <w:t>/股。</w:t>
      </w:r>
    </w:p>
    <w:p w14:paraId="2380B0E4" w14:textId="6EEC2872" w:rsidR="00B83B9D" w:rsidRDefault="00690C0D" w:rsidP="009025F1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获得$</w:t>
      </w:r>
      <w:r w:rsidR="009025F1">
        <w:rPr>
          <w:rFonts w:ascii="KaiTi" w:eastAsia="KaiTi" w:hAnsi="KaiTi" w:hint="eastAsia"/>
        </w:rPr>
        <w:t>77766</w:t>
      </w:r>
      <w:r>
        <w:rPr>
          <w:rFonts w:ascii="KaiTi" w:eastAsia="KaiTi" w:hAnsi="KaiTi" w:hint="eastAsia"/>
        </w:rPr>
        <w:t>（折合人民币</w:t>
      </w:r>
      <w:r w:rsidR="009025F1">
        <w:rPr>
          <w:rFonts w:ascii="KaiTi" w:eastAsia="KaiTi" w:hAnsi="KaiTi" w:hint="eastAsia"/>
        </w:rPr>
        <w:t>55.99</w:t>
      </w:r>
      <w:r w:rsidR="00606837">
        <w:rPr>
          <w:rFonts w:ascii="KaiTi" w:eastAsia="KaiTi" w:hAnsi="KaiTi" w:hint="eastAsia"/>
        </w:rPr>
        <w:t>万</w:t>
      </w:r>
      <w:r>
        <w:rPr>
          <w:rFonts w:ascii="KaiTi" w:eastAsia="KaiTi" w:hAnsi="KaiTi" w:hint="eastAsia"/>
        </w:rPr>
        <w:t>元，汇率按照7.2计算）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 w:rsidR="009025F1">
        <w:rPr>
          <w:rFonts w:ascii="KaiTi" w:eastAsia="KaiTi" w:hAnsi="KaiTi" w:hint="eastAsia"/>
          <w:color w:val="FF0000"/>
        </w:rPr>
        <w:t>6.67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397"/>
        <w:gridCol w:w="1139"/>
        <w:gridCol w:w="955"/>
        <w:gridCol w:w="955"/>
        <w:gridCol w:w="1010"/>
        <w:gridCol w:w="1268"/>
        <w:gridCol w:w="955"/>
        <w:gridCol w:w="955"/>
      </w:tblGrid>
      <w:tr w:rsidR="009025F1" w:rsidRPr="009025F1" w14:paraId="53576BE8" w14:textId="77777777" w:rsidTr="009025F1">
        <w:trPr>
          <w:trHeight w:val="320"/>
        </w:trPr>
        <w:tc>
          <w:tcPr>
            <w:tcW w:w="2397" w:type="dxa"/>
            <w:noWrap/>
            <w:vAlign w:val="center"/>
            <w:hideMark/>
          </w:tcPr>
          <w:p w14:paraId="140B7FD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基金名称</w:t>
            </w:r>
          </w:p>
        </w:tc>
        <w:tc>
          <w:tcPr>
            <w:tcW w:w="1139" w:type="dxa"/>
            <w:noWrap/>
            <w:vAlign w:val="center"/>
            <w:hideMark/>
          </w:tcPr>
          <w:p w14:paraId="183416F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除净日期</w:t>
            </w:r>
          </w:p>
        </w:tc>
        <w:tc>
          <w:tcPr>
            <w:tcW w:w="955" w:type="dxa"/>
            <w:noWrap/>
            <w:vAlign w:val="center"/>
            <w:hideMark/>
          </w:tcPr>
          <w:p w14:paraId="21622D5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每单位派发</w:t>
            </w:r>
          </w:p>
        </w:tc>
        <w:tc>
          <w:tcPr>
            <w:tcW w:w="955" w:type="dxa"/>
            <w:noWrap/>
            <w:vAlign w:val="center"/>
            <w:hideMark/>
          </w:tcPr>
          <w:p w14:paraId="4E71549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持有份额</w:t>
            </w:r>
          </w:p>
        </w:tc>
        <w:tc>
          <w:tcPr>
            <w:tcW w:w="1010" w:type="dxa"/>
            <w:noWrap/>
            <w:vAlign w:val="center"/>
            <w:hideMark/>
          </w:tcPr>
          <w:p w14:paraId="6CC8033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派发合计</w:t>
            </w:r>
          </w:p>
        </w:tc>
        <w:tc>
          <w:tcPr>
            <w:tcW w:w="1268" w:type="dxa"/>
            <w:noWrap/>
            <w:vAlign w:val="center"/>
            <w:hideMark/>
          </w:tcPr>
          <w:p w14:paraId="503062A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初始投资额</w:t>
            </w:r>
          </w:p>
        </w:tc>
        <w:tc>
          <w:tcPr>
            <w:tcW w:w="955" w:type="dxa"/>
            <w:noWrap/>
            <w:vAlign w:val="center"/>
            <w:hideMark/>
          </w:tcPr>
          <w:p w14:paraId="6B46268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月度派息收益率</w:t>
            </w:r>
          </w:p>
        </w:tc>
        <w:tc>
          <w:tcPr>
            <w:tcW w:w="955" w:type="dxa"/>
            <w:noWrap/>
            <w:vAlign w:val="center"/>
            <w:hideMark/>
          </w:tcPr>
          <w:p w14:paraId="7D4175F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年化派息收益率</w:t>
            </w:r>
          </w:p>
        </w:tc>
      </w:tr>
      <w:tr w:rsidR="009025F1" w:rsidRPr="009025F1" w14:paraId="46E54463" w14:textId="77777777" w:rsidTr="009025F1">
        <w:trPr>
          <w:trHeight w:val="320"/>
        </w:trPr>
        <w:tc>
          <w:tcPr>
            <w:tcW w:w="2397" w:type="dxa"/>
            <w:vMerge w:val="restart"/>
            <w:noWrap/>
            <w:vAlign w:val="center"/>
            <w:hideMark/>
          </w:tcPr>
          <w:p w14:paraId="5BD381C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Z12 美国中高等级债券基金</w:t>
            </w:r>
          </w:p>
        </w:tc>
        <w:tc>
          <w:tcPr>
            <w:tcW w:w="1139" w:type="dxa"/>
            <w:noWrap/>
            <w:vAlign w:val="center"/>
            <w:hideMark/>
          </w:tcPr>
          <w:p w14:paraId="5C2617E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11/1/24</w:t>
            </w:r>
          </w:p>
        </w:tc>
        <w:tc>
          <w:tcPr>
            <w:tcW w:w="955" w:type="dxa"/>
            <w:noWrap/>
            <w:vAlign w:val="center"/>
            <w:hideMark/>
          </w:tcPr>
          <w:p w14:paraId="3C70526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3C1751C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65A916E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22DFC2E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D44F9D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5A31E32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7BA458A7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647D5A4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37FD97E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12/2/24</w:t>
            </w:r>
          </w:p>
        </w:tc>
        <w:tc>
          <w:tcPr>
            <w:tcW w:w="955" w:type="dxa"/>
            <w:noWrap/>
            <w:vAlign w:val="center"/>
            <w:hideMark/>
          </w:tcPr>
          <w:p w14:paraId="16BA778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0A8754E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04CFD40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3405719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4FE3D3B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23F261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74581C2E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6AE9EFE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2BA49CA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12/30/24</w:t>
            </w:r>
          </w:p>
        </w:tc>
        <w:tc>
          <w:tcPr>
            <w:tcW w:w="955" w:type="dxa"/>
            <w:noWrap/>
            <w:vAlign w:val="center"/>
            <w:hideMark/>
          </w:tcPr>
          <w:p w14:paraId="651972C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1C550F2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0633940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03C38FB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006E176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1A84D12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0F9AF32C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33E0EB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2EC6E68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55" w:type="dxa"/>
            <w:noWrap/>
            <w:vAlign w:val="center"/>
            <w:hideMark/>
          </w:tcPr>
          <w:p w14:paraId="1F86D2D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1253370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1D72045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3A1D7BC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1822A35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03E1FC5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7F7E9B1C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466F96B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41F6632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3/3/25</w:t>
            </w:r>
          </w:p>
        </w:tc>
        <w:tc>
          <w:tcPr>
            <w:tcW w:w="955" w:type="dxa"/>
            <w:noWrap/>
            <w:vAlign w:val="center"/>
            <w:hideMark/>
          </w:tcPr>
          <w:p w14:paraId="24473D4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5C07237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18E84F1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232E19E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3AA4FE9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66C71BB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638E5F3E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37116F6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32EB30A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4/1/25</w:t>
            </w:r>
          </w:p>
        </w:tc>
        <w:tc>
          <w:tcPr>
            <w:tcW w:w="955" w:type="dxa"/>
            <w:noWrap/>
            <w:vAlign w:val="center"/>
            <w:hideMark/>
          </w:tcPr>
          <w:p w14:paraId="03B69B5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0F72FBB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492EF5B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299558B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6178C87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1AF0CE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6554C302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67E8B43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557D63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5/1/25</w:t>
            </w:r>
          </w:p>
        </w:tc>
        <w:tc>
          <w:tcPr>
            <w:tcW w:w="955" w:type="dxa"/>
            <w:noWrap/>
            <w:vAlign w:val="center"/>
            <w:hideMark/>
          </w:tcPr>
          <w:p w14:paraId="75C1C31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25660B4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56CC101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6D92260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1AC90AE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2DB3C9E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4D5460DC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FCA10B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05F1543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6/2/25</w:t>
            </w:r>
          </w:p>
        </w:tc>
        <w:tc>
          <w:tcPr>
            <w:tcW w:w="955" w:type="dxa"/>
            <w:noWrap/>
            <w:vAlign w:val="center"/>
            <w:hideMark/>
          </w:tcPr>
          <w:p w14:paraId="163994B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3A0BAB5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6CB9078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1163184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21A7C2F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3BEEA59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3F8857E5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3914B62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A9DEFE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7/1/25</w:t>
            </w:r>
          </w:p>
        </w:tc>
        <w:tc>
          <w:tcPr>
            <w:tcW w:w="955" w:type="dxa"/>
            <w:noWrap/>
            <w:vAlign w:val="center"/>
            <w:hideMark/>
          </w:tcPr>
          <w:p w14:paraId="48087D8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08C4886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76B086A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6D2B260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2B5E1D7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549DA9C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378941D2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6CA0C30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E66F7C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8/1/25</w:t>
            </w:r>
          </w:p>
        </w:tc>
        <w:tc>
          <w:tcPr>
            <w:tcW w:w="955" w:type="dxa"/>
            <w:noWrap/>
            <w:vAlign w:val="center"/>
            <w:hideMark/>
          </w:tcPr>
          <w:p w14:paraId="7F3B658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24B2D1B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7B246C6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3F5FFFE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60E992F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BB706B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6065A111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27AED6B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796F80D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9/2/25</w:t>
            </w:r>
          </w:p>
        </w:tc>
        <w:tc>
          <w:tcPr>
            <w:tcW w:w="955" w:type="dxa"/>
            <w:noWrap/>
            <w:vAlign w:val="center"/>
            <w:hideMark/>
          </w:tcPr>
          <w:p w14:paraId="45ADD26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386E8D3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042C6D3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3766C8F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D37D05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613F9C8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6FF28174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35E0ECD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0EA713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10/1/25</w:t>
            </w:r>
          </w:p>
        </w:tc>
        <w:tc>
          <w:tcPr>
            <w:tcW w:w="955" w:type="dxa"/>
            <w:noWrap/>
            <w:vAlign w:val="center"/>
            <w:hideMark/>
          </w:tcPr>
          <w:p w14:paraId="0D04EEB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1145D53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3F12764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42514C7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43EEC7D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3A7685A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19089D6B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455D2FE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2303BF5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11/3/25</w:t>
            </w:r>
          </w:p>
        </w:tc>
        <w:tc>
          <w:tcPr>
            <w:tcW w:w="955" w:type="dxa"/>
            <w:noWrap/>
            <w:vAlign w:val="center"/>
            <w:hideMark/>
          </w:tcPr>
          <w:p w14:paraId="61D0EB5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26E2187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4AD06FB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395B3A1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BD15AE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299A219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72BB3E5A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A8BBE6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5E13650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12/1/25</w:t>
            </w:r>
          </w:p>
        </w:tc>
        <w:tc>
          <w:tcPr>
            <w:tcW w:w="955" w:type="dxa"/>
            <w:noWrap/>
            <w:vAlign w:val="center"/>
            <w:hideMark/>
          </w:tcPr>
          <w:p w14:paraId="2917BCF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0EBA5B5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1E4F67E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268" w:type="dxa"/>
            <w:noWrap/>
            <w:vAlign w:val="center"/>
            <w:hideMark/>
          </w:tcPr>
          <w:p w14:paraId="6753064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725A6F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A8245C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9025F1" w:rsidRPr="009025F1" w14:paraId="1ABCFC9B" w14:textId="77777777" w:rsidTr="009025F1">
        <w:trPr>
          <w:trHeight w:val="320"/>
        </w:trPr>
        <w:tc>
          <w:tcPr>
            <w:tcW w:w="2397" w:type="dxa"/>
            <w:vMerge w:val="restart"/>
            <w:noWrap/>
            <w:vAlign w:val="center"/>
            <w:hideMark/>
          </w:tcPr>
          <w:p w14:paraId="1453EDE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Z17 美国优质股权基金</w:t>
            </w:r>
          </w:p>
        </w:tc>
        <w:tc>
          <w:tcPr>
            <w:tcW w:w="1139" w:type="dxa"/>
            <w:noWrap/>
            <w:vAlign w:val="center"/>
            <w:hideMark/>
          </w:tcPr>
          <w:p w14:paraId="72DB278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10/30/24</w:t>
            </w:r>
          </w:p>
        </w:tc>
        <w:tc>
          <w:tcPr>
            <w:tcW w:w="955" w:type="dxa"/>
            <w:noWrap/>
            <w:vAlign w:val="center"/>
            <w:hideMark/>
          </w:tcPr>
          <w:p w14:paraId="5C87AFF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5C75AB3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2935F75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268" w:type="dxa"/>
            <w:noWrap/>
            <w:vAlign w:val="center"/>
            <w:hideMark/>
          </w:tcPr>
          <w:p w14:paraId="165F358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5D94485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1CA901F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9025F1" w:rsidRPr="009025F1" w14:paraId="374F6101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5F338FA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581B3FE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11/28/24</w:t>
            </w:r>
          </w:p>
        </w:tc>
        <w:tc>
          <w:tcPr>
            <w:tcW w:w="955" w:type="dxa"/>
            <w:noWrap/>
            <w:vAlign w:val="center"/>
            <w:hideMark/>
          </w:tcPr>
          <w:p w14:paraId="287058C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790A1FB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1470428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268" w:type="dxa"/>
            <w:noWrap/>
            <w:vAlign w:val="center"/>
            <w:hideMark/>
          </w:tcPr>
          <w:p w14:paraId="31B5A0D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1FE849D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2D65D95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9025F1" w:rsidRPr="009025F1" w14:paraId="32FED568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B49360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42A9D1F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12/24/24</w:t>
            </w:r>
          </w:p>
        </w:tc>
        <w:tc>
          <w:tcPr>
            <w:tcW w:w="955" w:type="dxa"/>
            <w:noWrap/>
            <w:vAlign w:val="center"/>
            <w:hideMark/>
          </w:tcPr>
          <w:p w14:paraId="07E9493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1BA9FA2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62EE6EB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268" w:type="dxa"/>
            <w:noWrap/>
            <w:vAlign w:val="center"/>
            <w:hideMark/>
          </w:tcPr>
          <w:p w14:paraId="701AB72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4BF0337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58F4662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9025F1" w:rsidRPr="009025F1" w14:paraId="115B5104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54DD35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45B0B0C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55" w:type="dxa"/>
            <w:noWrap/>
            <w:vAlign w:val="center"/>
            <w:hideMark/>
          </w:tcPr>
          <w:p w14:paraId="267AA0C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4976CE0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6DC9E2C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268" w:type="dxa"/>
            <w:noWrap/>
            <w:vAlign w:val="center"/>
            <w:hideMark/>
          </w:tcPr>
          <w:p w14:paraId="750E44D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3F739D5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5167ACC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9025F1" w:rsidRPr="009025F1" w14:paraId="1EE5F460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73FC55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4819D7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2/28/25</w:t>
            </w:r>
          </w:p>
        </w:tc>
        <w:tc>
          <w:tcPr>
            <w:tcW w:w="955" w:type="dxa"/>
            <w:noWrap/>
            <w:vAlign w:val="center"/>
            <w:hideMark/>
          </w:tcPr>
          <w:p w14:paraId="5B831E1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50276C1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1369BC1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268" w:type="dxa"/>
            <w:noWrap/>
            <w:vAlign w:val="center"/>
            <w:hideMark/>
          </w:tcPr>
          <w:p w14:paraId="5A61981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6D15A7F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72D98C3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9025F1" w:rsidRPr="009025F1" w14:paraId="025FD3D3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6DCD63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1133043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3/31/25</w:t>
            </w:r>
          </w:p>
        </w:tc>
        <w:tc>
          <w:tcPr>
            <w:tcW w:w="955" w:type="dxa"/>
            <w:noWrap/>
            <w:vAlign w:val="center"/>
            <w:hideMark/>
          </w:tcPr>
          <w:p w14:paraId="282F2ED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3525BAC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037B9D7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268" w:type="dxa"/>
            <w:noWrap/>
            <w:vAlign w:val="center"/>
            <w:hideMark/>
          </w:tcPr>
          <w:p w14:paraId="3853CB8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01B3947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6154842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9025F1" w:rsidRPr="009025F1" w14:paraId="262BE1F6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314DFA7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78EF65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4/30/25</w:t>
            </w:r>
          </w:p>
        </w:tc>
        <w:tc>
          <w:tcPr>
            <w:tcW w:w="955" w:type="dxa"/>
            <w:noWrap/>
            <w:vAlign w:val="center"/>
            <w:hideMark/>
          </w:tcPr>
          <w:p w14:paraId="628D0DD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5857FD3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42991AB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268" w:type="dxa"/>
            <w:noWrap/>
            <w:vAlign w:val="center"/>
            <w:hideMark/>
          </w:tcPr>
          <w:p w14:paraId="06A2B72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B57F58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6873310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9025F1" w:rsidRPr="009025F1" w14:paraId="6C68A6C1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7C8851B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4B4A26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5/30/25</w:t>
            </w:r>
          </w:p>
        </w:tc>
        <w:tc>
          <w:tcPr>
            <w:tcW w:w="955" w:type="dxa"/>
            <w:noWrap/>
            <w:vAlign w:val="center"/>
            <w:hideMark/>
          </w:tcPr>
          <w:p w14:paraId="70C7A5C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362FCB5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6299833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268" w:type="dxa"/>
            <w:noWrap/>
            <w:vAlign w:val="center"/>
            <w:hideMark/>
          </w:tcPr>
          <w:p w14:paraId="364C3D1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5D12A5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6453582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9025F1" w:rsidRPr="009025F1" w14:paraId="5D9B4B01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05D21FD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91D54B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6/30/25</w:t>
            </w:r>
          </w:p>
        </w:tc>
        <w:tc>
          <w:tcPr>
            <w:tcW w:w="955" w:type="dxa"/>
            <w:noWrap/>
            <w:vAlign w:val="center"/>
            <w:hideMark/>
          </w:tcPr>
          <w:p w14:paraId="2549201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01600F9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5D43889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268" w:type="dxa"/>
            <w:noWrap/>
            <w:vAlign w:val="center"/>
            <w:hideMark/>
          </w:tcPr>
          <w:p w14:paraId="02DB2C06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D349F1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56C84F6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9025F1" w:rsidRPr="009025F1" w14:paraId="22AF6B78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299959B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7B1411C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7/31/25</w:t>
            </w:r>
          </w:p>
        </w:tc>
        <w:tc>
          <w:tcPr>
            <w:tcW w:w="955" w:type="dxa"/>
            <w:noWrap/>
            <w:vAlign w:val="center"/>
            <w:hideMark/>
          </w:tcPr>
          <w:p w14:paraId="4BFAFDF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76EEFF7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49CB84A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268" w:type="dxa"/>
            <w:noWrap/>
            <w:vAlign w:val="center"/>
            <w:hideMark/>
          </w:tcPr>
          <w:p w14:paraId="1FAC96E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3B267B3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4E515ED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9025F1" w:rsidRPr="009025F1" w14:paraId="3C309872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3EBA918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66D544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8/29/25</w:t>
            </w:r>
          </w:p>
        </w:tc>
        <w:tc>
          <w:tcPr>
            <w:tcW w:w="955" w:type="dxa"/>
            <w:noWrap/>
            <w:vAlign w:val="center"/>
            <w:hideMark/>
          </w:tcPr>
          <w:p w14:paraId="7B4669F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575C7B47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11F23C5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268" w:type="dxa"/>
            <w:noWrap/>
            <w:vAlign w:val="center"/>
            <w:hideMark/>
          </w:tcPr>
          <w:p w14:paraId="1502B95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48E0F1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78E67558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9025F1" w:rsidRPr="009025F1" w14:paraId="6C688AFA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2F55216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FEF845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9/30/25</w:t>
            </w:r>
          </w:p>
        </w:tc>
        <w:tc>
          <w:tcPr>
            <w:tcW w:w="955" w:type="dxa"/>
            <w:noWrap/>
            <w:vAlign w:val="center"/>
            <w:hideMark/>
          </w:tcPr>
          <w:p w14:paraId="52B6187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2ED4582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2345C2D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268" w:type="dxa"/>
            <w:noWrap/>
            <w:vAlign w:val="center"/>
            <w:hideMark/>
          </w:tcPr>
          <w:p w14:paraId="46510F5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EC771C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34639C1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9025F1" w:rsidRPr="009025F1" w14:paraId="4459E63B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01A88A7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39D5A60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10/31/25</w:t>
            </w:r>
          </w:p>
        </w:tc>
        <w:tc>
          <w:tcPr>
            <w:tcW w:w="955" w:type="dxa"/>
            <w:noWrap/>
            <w:vAlign w:val="center"/>
            <w:hideMark/>
          </w:tcPr>
          <w:p w14:paraId="544EC1A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6C6896B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036B8D6E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268" w:type="dxa"/>
            <w:noWrap/>
            <w:vAlign w:val="center"/>
            <w:hideMark/>
          </w:tcPr>
          <w:p w14:paraId="501D746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15084DAC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7A986B50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9025F1" w:rsidRPr="009025F1" w14:paraId="57E75CFA" w14:textId="77777777" w:rsidTr="009025F1">
        <w:trPr>
          <w:trHeight w:val="320"/>
        </w:trPr>
        <w:tc>
          <w:tcPr>
            <w:tcW w:w="2397" w:type="dxa"/>
            <w:vMerge/>
            <w:vAlign w:val="center"/>
            <w:hideMark/>
          </w:tcPr>
          <w:p w14:paraId="47E23D2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4D51B5B9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11/28/25</w:t>
            </w:r>
          </w:p>
        </w:tc>
        <w:tc>
          <w:tcPr>
            <w:tcW w:w="955" w:type="dxa"/>
            <w:noWrap/>
            <w:vAlign w:val="center"/>
            <w:hideMark/>
          </w:tcPr>
          <w:p w14:paraId="52B553E5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55" w:type="dxa"/>
            <w:noWrap/>
            <w:vAlign w:val="center"/>
            <w:hideMark/>
          </w:tcPr>
          <w:p w14:paraId="1160624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39A79284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1268" w:type="dxa"/>
            <w:noWrap/>
            <w:vAlign w:val="center"/>
            <w:hideMark/>
          </w:tcPr>
          <w:p w14:paraId="6CAC9F6D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356D11C2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55" w:type="dxa"/>
            <w:noWrap/>
            <w:vAlign w:val="center"/>
            <w:hideMark/>
          </w:tcPr>
          <w:p w14:paraId="344F0E61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9025F1" w:rsidRPr="009025F1" w14:paraId="4E130B2B" w14:textId="77777777" w:rsidTr="009025F1">
        <w:trPr>
          <w:trHeight w:val="320"/>
        </w:trPr>
        <w:tc>
          <w:tcPr>
            <w:tcW w:w="5446" w:type="dxa"/>
            <w:gridSpan w:val="4"/>
            <w:noWrap/>
            <w:vAlign w:val="center"/>
            <w:hideMark/>
          </w:tcPr>
          <w:p w14:paraId="61E6D66F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010" w:type="dxa"/>
            <w:noWrap/>
            <w:vAlign w:val="center"/>
            <w:hideMark/>
          </w:tcPr>
          <w:p w14:paraId="6FBD4493" w14:textId="72097EFB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77,766</w:t>
            </w:r>
          </w:p>
        </w:tc>
        <w:tc>
          <w:tcPr>
            <w:tcW w:w="1268" w:type="dxa"/>
            <w:noWrap/>
            <w:vAlign w:val="center"/>
            <w:hideMark/>
          </w:tcPr>
          <w:p w14:paraId="4AFCBCF4" w14:textId="0BCB2FC9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999,995</w:t>
            </w:r>
          </w:p>
        </w:tc>
        <w:tc>
          <w:tcPr>
            <w:tcW w:w="955" w:type="dxa"/>
            <w:noWrap/>
            <w:vAlign w:val="center"/>
            <w:hideMark/>
          </w:tcPr>
          <w:p w14:paraId="5CE9B8BA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0.56%</w:t>
            </w:r>
          </w:p>
        </w:tc>
        <w:tc>
          <w:tcPr>
            <w:tcW w:w="955" w:type="dxa"/>
            <w:noWrap/>
            <w:vAlign w:val="center"/>
            <w:hideMark/>
          </w:tcPr>
          <w:p w14:paraId="0D609A7B" w14:textId="77777777" w:rsidR="009025F1" w:rsidRPr="009025F1" w:rsidRDefault="009025F1" w:rsidP="009025F1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025F1">
              <w:rPr>
                <w:rFonts w:ascii="KaiTi" w:eastAsia="KaiTi" w:hAnsi="KaiTi"/>
                <w:sz w:val="22"/>
                <w:szCs w:val="22"/>
              </w:rPr>
              <w:t>6.67%</w:t>
            </w:r>
          </w:p>
        </w:tc>
      </w:tr>
    </w:tbl>
    <w:p w14:paraId="34BEEC99" w14:textId="77777777" w:rsidR="009025F1" w:rsidRDefault="009025F1" w:rsidP="009025F1"/>
    <w:sectPr w:rsidR="00902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747"/>
    <w:multiLevelType w:val="multilevel"/>
    <w:tmpl w:val="84D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B77"/>
    <w:multiLevelType w:val="multilevel"/>
    <w:tmpl w:val="984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3D25"/>
    <w:multiLevelType w:val="hybridMultilevel"/>
    <w:tmpl w:val="F014D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B32A4"/>
    <w:multiLevelType w:val="hybridMultilevel"/>
    <w:tmpl w:val="EA6C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64487"/>
    <w:multiLevelType w:val="multilevel"/>
    <w:tmpl w:val="78D4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21F50"/>
    <w:multiLevelType w:val="multilevel"/>
    <w:tmpl w:val="E70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A637B"/>
    <w:multiLevelType w:val="hybridMultilevel"/>
    <w:tmpl w:val="4650C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A328B"/>
    <w:multiLevelType w:val="multilevel"/>
    <w:tmpl w:val="9B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95FB6"/>
    <w:multiLevelType w:val="multilevel"/>
    <w:tmpl w:val="381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727A0"/>
    <w:multiLevelType w:val="multilevel"/>
    <w:tmpl w:val="B67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D711E"/>
    <w:multiLevelType w:val="multilevel"/>
    <w:tmpl w:val="DA4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53E04"/>
    <w:multiLevelType w:val="hybridMultilevel"/>
    <w:tmpl w:val="88744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87E93"/>
    <w:multiLevelType w:val="multilevel"/>
    <w:tmpl w:val="272E9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94592"/>
    <w:multiLevelType w:val="hybridMultilevel"/>
    <w:tmpl w:val="5A8AB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D53AF"/>
    <w:multiLevelType w:val="multilevel"/>
    <w:tmpl w:val="53C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E3D1F"/>
    <w:multiLevelType w:val="multilevel"/>
    <w:tmpl w:val="0B6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A595D"/>
    <w:multiLevelType w:val="hybridMultilevel"/>
    <w:tmpl w:val="5CA0C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F6669"/>
    <w:multiLevelType w:val="multilevel"/>
    <w:tmpl w:val="500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53A66"/>
    <w:multiLevelType w:val="multilevel"/>
    <w:tmpl w:val="214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871904">
    <w:abstractNumId w:val="9"/>
  </w:num>
  <w:num w:numId="2" w16cid:durableId="710691052">
    <w:abstractNumId w:val="7"/>
  </w:num>
  <w:num w:numId="3" w16cid:durableId="1960987936">
    <w:abstractNumId w:val="14"/>
  </w:num>
  <w:num w:numId="4" w16cid:durableId="595285986">
    <w:abstractNumId w:val="18"/>
  </w:num>
  <w:num w:numId="5" w16cid:durableId="651103352">
    <w:abstractNumId w:val="10"/>
  </w:num>
  <w:num w:numId="6" w16cid:durableId="833960539">
    <w:abstractNumId w:val="12"/>
  </w:num>
  <w:num w:numId="7" w16cid:durableId="1215122610">
    <w:abstractNumId w:val="5"/>
  </w:num>
  <w:num w:numId="8" w16cid:durableId="2071029364">
    <w:abstractNumId w:val="8"/>
  </w:num>
  <w:num w:numId="9" w16cid:durableId="752707343">
    <w:abstractNumId w:val="15"/>
  </w:num>
  <w:num w:numId="10" w16cid:durableId="416709276">
    <w:abstractNumId w:val="0"/>
  </w:num>
  <w:num w:numId="11" w16cid:durableId="1236862929">
    <w:abstractNumId w:val="1"/>
  </w:num>
  <w:num w:numId="12" w16cid:durableId="1975518741">
    <w:abstractNumId w:val="4"/>
  </w:num>
  <w:num w:numId="13" w16cid:durableId="1975478634">
    <w:abstractNumId w:val="17"/>
  </w:num>
  <w:num w:numId="14" w16cid:durableId="1449665340">
    <w:abstractNumId w:val="13"/>
  </w:num>
  <w:num w:numId="15" w16cid:durableId="1457598918">
    <w:abstractNumId w:val="3"/>
  </w:num>
  <w:num w:numId="16" w16cid:durableId="765425916">
    <w:abstractNumId w:val="6"/>
  </w:num>
  <w:num w:numId="17" w16cid:durableId="1438676225">
    <w:abstractNumId w:val="2"/>
  </w:num>
  <w:num w:numId="18" w16cid:durableId="886525998">
    <w:abstractNumId w:val="11"/>
  </w:num>
  <w:num w:numId="19" w16cid:durableId="356346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7E"/>
    <w:rsid w:val="00007648"/>
    <w:rsid w:val="00045F6D"/>
    <w:rsid w:val="0005582F"/>
    <w:rsid w:val="000572D6"/>
    <w:rsid w:val="0006499F"/>
    <w:rsid w:val="000779A5"/>
    <w:rsid w:val="000B3144"/>
    <w:rsid w:val="001E020F"/>
    <w:rsid w:val="00220985"/>
    <w:rsid w:val="002537F8"/>
    <w:rsid w:val="002A085D"/>
    <w:rsid w:val="0035146F"/>
    <w:rsid w:val="00375CC7"/>
    <w:rsid w:val="003A1E35"/>
    <w:rsid w:val="003F1D09"/>
    <w:rsid w:val="00412126"/>
    <w:rsid w:val="00436C20"/>
    <w:rsid w:val="004545E5"/>
    <w:rsid w:val="00457656"/>
    <w:rsid w:val="00494555"/>
    <w:rsid w:val="005429BE"/>
    <w:rsid w:val="00547239"/>
    <w:rsid w:val="005548F5"/>
    <w:rsid w:val="00597530"/>
    <w:rsid w:val="005A417E"/>
    <w:rsid w:val="005C0EF2"/>
    <w:rsid w:val="00606837"/>
    <w:rsid w:val="00630569"/>
    <w:rsid w:val="00690C0D"/>
    <w:rsid w:val="0069546C"/>
    <w:rsid w:val="006D4536"/>
    <w:rsid w:val="0073145D"/>
    <w:rsid w:val="007A4EF5"/>
    <w:rsid w:val="007F22B7"/>
    <w:rsid w:val="008418DA"/>
    <w:rsid w:val="00843ABB"/>
    <w:rsid w:val="00852620"/>
    <w:rsid w:val="008D1086"/>
    <w:rsid w:val="008E1A13"/>
    <w:rsid w:val="009025F1"/>
    <w:rsid w:val="00911830"/>
    <w:rsid w:val="00924F46"/>
    <w:rsid w:val="009F6816"/>
    <w:rsid w:val="00A31813"/>
    <w:rsid w:val="00A42D4C"/>
    <w:rsid w:val="00A94A1E"/>
    <w:rsid w:val="00AB1079"/>
    <w:rsid w:val="00AC20C2"/>
    <w:rsid w:val="00B31F83"/>
    <w:rsid w:val="00B83B9D"/>
    <w:rsid w:val="00BE7A70"/>
    <w:rsid w:val="00C969E6"/>
    <w:rsid w:val="00CA376C"/>
    <w:rsid w:val="00D45669"/>
    <w:rsid w:val="00D46DA5"/>
    <w:rsid w:val="00DA3EEF"/>
    <w:rsid w:val="00DF0D5E"/>
    <w:rsid w:val="00E15132"/>
    <w:rsid w:val="00E343B4"/>
    <w:rsid w:val="00EA096B"/>
    <w:rsid w:val="00F43A59"/>
    <w:rsid w:val="00F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C029"/>
  <w15:chartTrackingRefBased/>
  <w15:docId w15:val="{3857B44B-0845-5447-B2C8-06113F4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45E5"/>
  </w:style>
  <w:style w:type="paragraph" w:customStyle="1" w:styleId="p3">
    <w:name w:val="p3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90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72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23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49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9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4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3005</Words>
  <Characters>4389</Characters>
  <Application>Microsoft Office Word</Application>
  <DocSecurity>0</DocSecurity>
  <Lines>471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7</cp:revision>
  <dcterms:created xsi:type="dcterms:W3CDTF">2025-12-29T03:12:00Z</dcterms:created>
  <dcterms:modified xsi:type="dcterms:W3CDTF">2026-01-31T07:10:00Z</dcterms:modified>
</cp:coreProperties>
</file>