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4F997" w14:textId="71DA7991" w:rsidR="001E195B" w:rsidRPr="00A07C6F" w:rsidRDefault="00137817" w:rsidP="001E1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Wonder</w:t>
      </w:r>
      <w:r w:rsidR="001E195B" w:rsidRPr="00A07C6F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客户</w:t>
      </w:r>
      <w:r w:rsidR="001E195B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月度通讯</w:t>
      </w:r>
      <w:r w:rsidR="001E195B" w:rsidRPr="00A07C6F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（</w:t>
      </w:r>
      <w:r w:rsidR="001E195B" w:rsidRPr="00A07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202</w:t>
      </w:r>
      <w:r w:rsidR="001E195B"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  <w:t>6</w:t>
      </w:r>
      <w:r w:rsidR="001E195B" w:rsidRPr="00A07C6F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年</w:t>
      </w:r>
      <w:r w:rsidR="001E195B"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  <w:t>1</w:t>
      </w:r>
      <w:r w:rsidR="001E195B" w:rsidRPr="00A07C6F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月</w:t>
      </w:r>
      <w:r w:rsidR="001E195B" w:rsidRPr="00A07C6F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）</w:t>
      </w:r>
    </w:p>
    <w:p w14:paraId="44EFF41E" w14:textId="77777777" w:rsidR="001E195B" w:rsidRDefault="001E195B" w:rsidP="00D17075">
      <w:pPr>
        <w:rPr>
          <w:rFonts w:ascii="KaiTi" w:eastAsia="KaiTi" w:hAnsi="KaiTi" w:cs="Heiti TC"/>
          <w:kern w:val="0"/>
          <w14:ligatures w14:val="none"/>
        </w:rPr>
      </w:pPr>
    </w:p>
    <w:p w14:paraId="6E0F4B18" w14:textId="75687F7E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  <w:r w:rsidRPr="001E195B">
        <w:rPr>
          <w:rFonts w:ascii="KaiTi" w:eastAsia="KaiTi" w:hAnsi="KaiTi" w:cs="Heiti TC" w:hint="eastAsia"/>
          <w:kern w:val="0"/>
          <w14:ligatures w14:val="none"/>
        </w:rPr>
        <w:t>各位朋友，您好：</w:t>
      </w:r>
    </w:p>
    <w:p w14:paraId="5BC0D021" w14:textId="77777777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</w:p>
    <w:p w14:paraId="28232C6A" w14:textId="6F6F29B4" w:rsidR="00D17075" w:rsidRDefault="001E195B" w:rsidP="00D17075">
      <w:pPr>
        <w:rPr>
          <w:rFonts w:ascii="KaiTi" w:eastAsia="KaiTi" w:hAnsi="KaiTi" w:cs="Heiti TC"/>
          <w:kern w:val="0"/>
          <w14:ligatures w14:val="none"/>
        </w:rPr>
      </w:pPr>
      <w:r w:rsidRPr="001E195B">
        <w:rPr>
          <w:rFonts w:ascii="KaiTi" w:eastAsia="KaiTi" w:hAnsi="KaiTi" w:cs="Heiti TC"/>
          <w:kern w:val="0"/>
          <w14:ligatures w14:val="none"/>
        </w:rPr>
        <w:t>临近农历新年，先提前向您和家人问一声好，祝大家新年安康、阖家顺遂。</w:t>
      </w:r>
    </w:p>
    <w:p w14:paraId="35BE415F" w14:textId="77777777" w:rsidR="00B470CE" w:rsidRPr="001E195B" w:rsidRDefault="00B470CE" w:rsidP="00D17075">
      <w:pPr>
        <w:rPr>
          <w:rFonts w:ascii="KaiTi" w:eastAsia="KaiTi" w:hAnsi="KaiTi" w:cs="Heiti TC"/>
          <w:kern w:val="0"/>
          <w14:ligatures w14:val="none"/>
        </w:rPr>
      </w:pPr>
    </w:p>
    <w:p w14:paraId="38F2D397" w14:textId="42FBAB98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  <w:r w:rsidRPr="001E195B">
        <w:rPr>
          <w:rFonts w:ascii="KaiTi" w:eastAsia="KaiTi" w:hAnsi="KaiTi" w:cs="Heiti TC" w:hint="eastAsia"/>
          <w:kern w:val="0"/>
          <w14:ligatures w14:val="none"/>
        </w:rPr>
        <w:t>过去一年，感谢各位的信任与支持，也和大家分享一个阶段性的进展：</w:t>
      </w:r>
      <w:r w:rsidR="004B2948">
        <w:rPr>
          <w:rFonts w:ascii="KaiTi" w:eastAsia="KaiTi" w:hAnsi="KaiTi" w:cs="Heiti TC" w:hint="eastAsia"/>
          <w:kern w:val="0"/>
          <w14:ligatures w14:val="none"/>
        </w:rPr>
        <w:t>我们Wonder团队</w:t>
      </w:r>
      <w:r w:rsidRPr="001E195B">
        <w:rPr>
          <w:rFonts w:ascii="KaiTi" w:eastAsia="KaiTi" w:hAnsi="KaiTi" w:cs="Heiti TC" w:hint="eastAsia"/>
          <w:kern w:val="0"/>
          <w14:ligatures w14:val="none"/>
        </w:rPr>
        <w:t>已正式晋升为</w:t>
      </w:r>
      <w:r w:rsidR="004B2948">
        <w:rPr>
          <w:rFonts w:ascii="KaiTi" w:eastAsia="KaiTi" w:hAnsi="KaiTi" w:cs="Heiti TC" w:hint="eastAsia"/>
          <w:kern w:val="0"/>
          <w14:ligatures w14:val="none"/>
        </w:rPr>
        <w:t>AIA Senior Unit（</w:t>
      </w:r>
      <w:r w:rsidRPr="001E195B">
        <w:rPr>
          <w:rFonts w:ascii="KaiTi" w:eastAsia="KaiTi" w:hAnsi="KaiTi" w:cs="Heiti TC" w:hint="eastAsia"/>
          <w:kern w:val="0"/>
          <w14:ligatures w14:val="none"/>
        </w:rPr>
        <w:t>高级分区</w:t>
      </w:r>
      <w:r w:rsidR="004B2948">
        <w:rPr>
          <w:rFonts w:ascii="KaiTi" w:eastAsia="KaiTi" w:hAnsi="KaiTi" w:cs="Heiti TC" w:hint="eastAsia"/>
          <w:kern w:val="0"/>
          <w14:ligatures w14:val="none"/>
        </w:rPr>
        <w:t>）</w:t>
      </w:r>
      <w:r w:rsidRPr="001E195B">
        <w:rPr>
          <w:rFonts w:ascii="KaiTi" w:eastAsia="KaiTi" w:hAnsi="KaiTi" w:cs="Heiti TC" w:hint="eastAsia"/>
          <w:kern w:val="0"/>
          <w14:ligatures w14:val="none"/>
        </w:rPr>
        <w:t>。目前团队已有六位稳定的核心成员，</w:t>
      </w:r>
      <w:r w:rsidR="001E195B" w:rsidRPr="001E195B">
        <w:rPr>
          <w:rFonts w:ascii="KaiTi" w:eastAsia="KaiTi" w:hAnsi="KaiTi" w:cs="Heiti TC"/>
          <w:kern w:val="0"/>
          <w14:ligatures w14:val="none"/>
        </w:rPr>
        <w:t>我们会以更系统、更</w:t>
      </w:r>
      <w:r w:rsidR="00B470CE">
        <w:rPr>
          <w:rFonts w:ascii="KaiTi" w:eastAsia="KaiTi" w:hAnsi="KaiTi" w:cs="Heiti TC" w:hint="eastAsia"/>
          <w:kern w:val="0"/>
          <w14:ligatures w14:val="none"/>
        </w:rPr>
        <w:t>稳健</w:t>
      </w:r>
      <w:r w:rsidR="001E195B" w:rsidRPr="001E195B">
        <w:rPr>
          <w:rFonts w:ascii="KaiTi" w:eastAsia="KaiTi" w:hAnsi="KaiTi" w:cs="Heiti TC"/>
          <w:kern w:val="0"/>
          <w14:ligatures w14:val="none"/>
        </w:rPr>
        <w:t>的方式，持续为大家做好家庭财富管理这件“</w:t>
      </w:r>
      <w:r w:rsidR="00B470CE">
        <w:rPr>
          <w:rFonts w:ascii="KaiTi" w:eastAsia="KaiTi" w:hAnsi="KaiTi" w:cs="Heiti TC" w:hint="eastAsia"/>
          <w:kern w:val="0"/>
          <w14:ligatures w14:val="none"/>
        </w:rPr>
        <w:t>非紧急</w:t>
      </w:r>
      <w:r w:rsidR="001E195B" w:rsidRPr="001E195B">
        <w:rPr>
          <w:rFonts w:ascii="KaiTi" w:eastAsia="KaiTi" w:hAnsi="KaiTi" w:cs="Heiti TC" w:hint="eastAsia"/>
          <w:kern w:val="0"/>
          <w14:ligatures w14:val="none"/>
        </w:rPr>
        <w:t>但</w:t>
      </w:r>
      <w:r w:rsidR="001E195B" w:rsidRPr="001E195B">
        <w:rPr>
          <w:rFonts w:ascii="KaiTi" w:eastAsia="KaiTi" w:hAnsi="KaiTi" w:cs="Heiti TC"/>
          <w:kern w:val="0"/>
          <w14:ligatures w14:val="none"/>
        </w:rPr>
        <w:t>重要”的事。</w:t>
      </w:r>
    </w:p>
    <w:p w14:paraId="11EEE475" w14:textId="77777777" w:rsidR="001E195B" w:rsidRDefault="001E195B" w:rsidP="00D17075">
      <w:pPr>
        <w:rPr>
          <w:rFonts w:ascii="KaiTi" w:eastAsia="KaiTi" w:hAnsi="KaiTi" w:cs="Heiti TC"/>
          <w:kern w:val="0"/>
          <w14:ligatures w14:val="none"/>
        </w:rPr>
      </w:pPr>
    </w:p>
    <w:p w14:paraId="56AC1122" w14:textId="7195912A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  <w:r w:rsidRPr="001E195B">
        <w:rPr>
          <w:rFonts w:ascii="KaiTi" w:eastAsia="KaiTi" w:hAnsi="KaiTi" w:cs="Heiti TC" w:hint="eastAsia"/>
          <w:kern w:val="0"/>
          <w14:ligatures w14:val="none"/>
        </w:rPr>
        <w:t>先简单回顾一下近期市场。</w:t>
      </w:r>
    </w:p>
    <w:p w14:paraId="532715C0" w14:textId="77777777" w:rsidR="001E195B" w:rsidRDefault="001E195B" w:rsidP="00D17075">
      <w:pPr>
        <w:rPr>
          <w:rFonts w:ascii="KaiTi" w:eastAsia="KaiTi" w:hAnsi="KaiTi" w:cs="Heiti TC"/>
          <w:kern w:val="0"/>
          <w14:ligatures w14:val="none"/>
        </w:rPr>
      </w:pPr>
    </w:p>
    <w:p w14:paraId="55FAF7EC" w14:textId="37F588F6" w:rsidR="00B470CE" w:rsidRDefault="00D17075" w:rsidP="00D17075">
      <w:pPr>
        <w:rPr>
          <w:rFonts w:ascii="KaiTi" w:eastAsia="KaiTi" w:hAnsi="KaiTi" w:cs="Heiti TC"/>
          <w:kern w:val="0"/>
          <w14:ligatures w14:val="none"/>
        </w:rPr>
      </w:pPr>
      <w:r w:rsidRPr="001E195B">
        <w:rPr>
          <w:rFonts w:ascii="KaiTi" w:eastAsia="KaiTi" w:hAnsi="KaiTi" w:cs="Heiti TC" w:hint="eastAsia"/>
          <w:kern w:val="0"/>
          <w14:ligatures w14:val="none"/>
        </w:rPr>
        <w:t>昨日贵金属出现明显回调，</w:t>
      </w:r>
      <w:r w:rsidR="001E195B" w:rsidRPr="001E195B">
        <w:rPr>
          <w:rFonts w:ascii="KaiTi" w:eastAsia="KaiTi" w:hAnsi="KaiTi" w:cs="Heiti TC"/>
          <w:kern w:val="0"/>
          <w14:ligatures w14:val="none"/>
        </w:rPr>
        <w:t xml:space="preserve">黄金和白银遭遇了几十年来最剧烈的单日下跌。金价一度跌超 </w:t>
      </w:r>
      <w:r w:rsidR="00B470CE">
        <w:rPr>
          <w:rFonts w:ascii="KaiTi" w:eastAsia="KaiTi" w:hAnsi="KaiTi" w:cs="Heiti TC" w:hint="eastAsia"/>
          <w:kern w:val="0"/>
          <w14:ligatures w14:val="none"/>
        </w:rPr>
        <w:t>9</w:t>
      </w:r>
      <w:r w:rsidR="001E195B" w:rsidRPr="001E195B">
        <w:rPr>
          <w:rFonts w:ascii="KaiTi" w:eastAsia="KaiTi" w:hAnsi="KaiTi" w:cs="Heiti TC"/>
          <w:kern w:val="0"/>
          <w14:ligatures w14:val="none"/>
        </w:rPr>
        <w:t>%，银价跌幅更甚，</w:t>
      </w:r>
      <w:r w:rsidR="001E195B">
        <w:rPr>
          <w:rFonts w:ascii="KaiTi" w:eastAsia="KaiTi" w:hAnsi="KaiTi" w:cs="Heiti TC" w:hint="eastAsia"/>
          <w:kern w:val="0"/>
          <w14:ligatures w14:val="none"/>
        </w:rPr>
        <w:t>盘中</w:t>
      </w:r>
      <w:r w:rsidR="001E195B" w:rsidRPr="001E195B">
        <w:rPr>
          <w:rFonts w:ascii="KaiTi" w:eastAsia="KaiTi" w:hAnsi="KaiTi" w:cs="Heiti TC"/>
          <w:kern w:val="0"/>
          <w14:ligatures w14:val="none"/>
        </w:rPr>
        <w:t>达到 30%</w:t>
      </w:r>
      <w:r w:rsidR="001E195B">
        <w:rPr>
          <w:rFonts w:ascii="KaiTi" w:eastAsia="KaiTi" w:hAnsi="KaiTi" w:cs="Heiti TC" w:hint="eastAsia"/>
          <w:kern w:val="0"/>
          <w14:ligatures w14:val="none"/>
        </w:rPr>
        <w:t>的</w:t>
      </w:r>
      <w:r w:rsidR="004B2948">
        <w:rPr>
          <w:rFonts w:ascii="KaiTi" w:eastAsia="KaiTi" w:hAnsi="KaiTi" w:cs="Heiti TC" w:hint="eastAsia"/>
          <w:kern w:val="0"/>
          <w14:ligatures w14:val="none"/>
        </w:rPr>
        <w:t>深度</w:t>
      </w:r>
      <w:r w:rsidR="001E195B">
        <w:rPr>
          <w:rFonts w:ascii="KaiTi" w:eastAsia="KaiTi" w:hAnsi="KaiTi" w:cs="Heiti TC" w:hint="eastAsia"/>
          <w:kern w:val="0"/>
          <w14:ligatures w14:val="none"/>
        </w:rPr>
        <w:t>跌幅。</w:t>
      </w:r>
    </w:p>
    <w:p w14:paraId="221A37EB" w14:textId="703FADC9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  <w:r w:rsidRPr="001E195B">
        <w:rPr>
          <w:rFonts w:ascii="KaiTi" w:eastAsia="KaiTi" w:hAnsi="KaiTi" w:cs="Heiti TC" w:hint="eastAsia"/>
          <w:kern w:val="0"/>
          <w14:ligatures w14:val="none"/>
        </w:rPr>
        <w:t>核心原因并不复杂</w:t>
      </w:r>
      <w:r w:rsidR="00B470CE">
        <w:rPr>
          <w:rFonts w:ascii="KaiTi" w:eastAsia="KaiTi" w:hAnsi="KaiTi" w:cs="Heiti TC" w:hint="eastAsia"/>
          <w:kern w:val="0"/>
          <w14:ligatures w14:val="none"/>
        </w:rPr>
        <w:t>：</w:t>
      </w:r>
      <w:r w:rsidRPr="001E195B">
        <w:rPr>
          <w:rFonts w:ascii="KaiTi" w:eastAsia="KaiTi" w:hAnsi="KaiTi" w:cs="Heiti TC" w:hint="eastAsia"/>
          <w:kern w:val="0"/>
          <w14:ligatures w14:val="none"/>
        </w:rPr>
        <w:t>随着美联储新任人选正式落地，市场对美联储独立性与政策延续性的预期重新定价，避险情绪快速降温，贵金属价格完成了一次集中释放。</w:t>
      </w:r>
      <w:r w:rsidR="001E195B" w:rsidRPr="001E195B">
        <w:rPr>
          <w:rFonts w:ascii="KaiTi" w:eastAsia="KaiTi" w:hAnsi="KaiTi" w:cs="Heiti TC"/>
          <w:kern w:val="0"/>
          <w14:ligatures w14:val="none"/>
        </w:rPr>
        <w:t>当市场对“极端宽松”预期减弱时，资金从非现金流资产（如金银）回流到风险资产（如股票、债券），造成资金重配置压力</w:t>
      </w:r>
      <w:r w:rsidR="001E195B">
        <w:rPr>
          <w:rFonts w:ascii="KaiTi" w:eastAsia="KaiTi" w:hAnsi="KaiTi" w:cs="Heiti TC" w:hint="eastAsia"/>
          <w:kern w:val="0"/>
          <w14:ligatures w14:val="none"/>
        </w:rPr>
        <w:t>。</w:t>
      </w:r>
    </w:p>
    <w:p w14:paraId="5350AD4A" w14:textId="77777777" w:rsidR="001E195B" w:rsidRDefault="001E195B" w:rsidP="00D17075">
      <w:pPr>
        <w:rPr>
          <w:rFonts w:ascii="KaiTi" w:eastAsia="KaiTi" w:hAnsi="KaiTi" w:cs="Heiti TC"/>
          <w:kern w:val="0"/>
          <w14:ligatures w14:val="none"/>
        </w:rPr>
      </w:pPr>
    </w:p>
    <w:p w14:paraId="46B1B744" w14:textId="434C4135" w:rsidR="00D17075" w:rsidRPr="001E195B" w:rsidRDefault="004B2948" w:rsidP="00D17075">
      <w:pPr>
        <w:rPr>
          <w:rFonts w:ascii="KaiTi" w:eastAsia="KaiTi" w:hAnsi="KaiTi" w:cs="Heiti TC"/>
          <w:b/>
          <w:bCs/>
          <w:kern w:val="0"/>
          <w14:ligatures w14:val="none"/>
        </w:rPr>
      </w:pPr>
      <w:r>
        <w:rPr>
          <w:rFonts w:ascii="KaiTi" w:eastAsia="KaiTi" w:hAnsi="KaiTi" w:cs="Heiti TC" w:hint="eastAsia"/>
          <w:b/>
          <w:bCs/>
          <w:kern w:val="0"/>
          <w14:ligatures w14:val="none"/>
        </w:rPr>
        <w:t>我们</w:t>
      </w:r>
      <w:r w:rsidR="00D17075" w:rsidRPr="001E195B">
        <w:rPr>
          <w:rFonts w:ascii="KaiTi" w:eastAsia="KaiTi" w:hAnsi="KaiTi" w:cs="Heiti TC" w:hint="eastAsia"/>
          <w:b/>
          <w:bCs/>
          <w:kern w:val="0"/>
          <w14:ligatures w14:val="none"/>
        </w:rPr>
        <w:t>对黄金这类资产的态度一直比较清晰：</w:t>
      </w:r>
    </w:p>
    <w:p w14:paraId="2AD08279" w14:textId="77777777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  <w:r w:rsidRPr="001E195B">
        <w:rPr>
          <w:rFonts w:ascii="KaiTi" w:eastAsia="KaiTi" w:hAnsi="KaiTi" w:cs="Heiti TC" w:hint="eastAsia"/>
          <w:kern w:val="0"/>
          <w14:ligatures w14:val="none"/>
        </w:rPr>
        <w:t>它可以作为资产组合中的一部分，用于对冲极端不确定性，但很难成为家庭长期财富的核心增长来源。原因也很现实，它不产生现金流，难以用经营逻辑估值，无法参与复利增长。这决定了它更多是防守工具，而不是财富发动机。在波动放大的阶段，更不建议普通家庭参与交易和短线博弈，风险与回报并不对称。</w:t>
      </w:r>
    </w:p>
    <w:p w14:paraId="1C2A1C79" w14:textId="77777777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</w:p>
    <w:p w14:paraId="1693107F" w14:textId="2DD205C0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  <w:r w:rsidRPr="001E195B">
        <w:rPr>
          <w:rFonts w:ascii="KaiTi" w:eastAsia="KaiTi" w:hAnsi="KaiTi" w:cs="Heiti TC" w:hint="eastAsia"/>
          <w:kern w:val="0"/>
          <w14:ligatures w14:val="none"/>
        </w:rPr>
        <w:t>新一年我更关注的是非美市场在美元进入降息周期后的变化。</w:t>
      </w:r>
    </w:p>
    <w:p w14:paraId="22EC9701" w14:textId="0D746816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  <w:r w:rsidRPr="001E195B">
        <w:rPr>
          <w:rFonts w:ascii="KaiTi" w:eastAsia="KaiTi" w:hAnsi="KaiTi" w:cs="Heiti TC" w:hint="eastAsia"/>
          <w:kern w:val="0"/>
          <w14:ligatures w14:val="none"/>
        </w:rPr>
        <w:lastRenderedPageBreak/>
        <w:t>当美元流动性边际转松，全球资金的风险偏好往往会重新平衡。长期估值被压制的非美资产，更容易同时迎来估值修复与盈利改善的双重驱动。</w:t>
      </w:r>
    </w:p>
    <w:p w14:paraId="6969C40C" w14:textId="77777777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</w:p>
    <w:p w14:paraId="1853BAE7" w14:textId="26CEC66E" w:rsidR="001E195B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  <w:r w:rsidRPr="001E195B">
        <w:rPr>
          <w:rFonts w:ascii="KaiTi" w:eastAsia="KaiTi" w:hAnsi="KaiTi" w:cs="Heiti TC" w:hint="eastAsia"/>
          <w:kern w:val="0"/>
          <w14:ligatures w14:val="none"/>
        </w:rPr>
        <w:t>在完成大类资产配置之后，</w:t>
      </w:r>
      <w:r w:rsidR="004B2948">
        <w:rPr>
          <w:rFonts w:ascii="KaiTi" w:eastAsia="KaiTi" w:hAnsi="KaiTi" w:cs="Heiti TC" w:hint="eastAsia"/>
          <w:kern w:val="0"/>
          <w14:ligatures w14:val="none"/>
        </w:rPr>
        <w:t>我们</w:t>
      </w:r>
      <w:r w:rsidRPr="001E195B">
        <w:rPr>
          <w:rFonts w:ascii="KaiTi" w:eastAsia="KaiTi" w:hAnsi="KaiTi" w:cs="Heiti TC" w:hint="eastAsia"/>
          <w:kern w:val="0"/>
          <w14:ligatures w14:val="none"/>
        </w:rPr>
        <w:t>也会额外关注一些具备“非对称回报”潜力的细分机会。近期</w:t>
      </w:r>
      <w:r w:rsidR="001E195B">
        <w:rPr>
          <w:rFonts w:ascii="KaiTi" w:eastAsia="KaiTi" w:hAnsi="KaiTi" w:cs="Heiti TC" w:hint="eastAsia"/>
          <w:kern w:val="0"/>
          <w14:ligatures w14:val="none"/>
        </w:rPr>
        <w:t>在</w:t>
      </w:r>
      <w:r w:rsidRPr="001E195B">
        <w:rPr>
          <w:rFonts w:ascii="KaiTi" w:eastAsia="KaiTi" w:hAnsi="KaiTi" w:cs="Heiti TC" w:hint="eastAsia"/>
          <w:kern w:val="0"/>
          <w14:ligatures w14:val="none"/>
        </w:rPr>
        <w:t>研究的一个方向，是相对冷门的日本中小盘市场。在这个板块中，仍能看到不少典型的格雷厄姆式标的：资产负债表干净，现金流真实，估值长期被忽视，却正在经历缓慢而结构性的公司治理改善。</w:t>
      </w:r>
    </w:p>
    <w:p w14:paraId="35953C7D" w14:textId="77777777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</w:p>
    <w:p w14:paraId="274E3B22" w14:textId="2B217FAF" w:rsidR="00D17075" w:rsidRPr="001E195B" w:rsidRDefault="00D90DAE" w:rsidP="00D17075">
      <w:pPr>
        <w:rPr>
          <w:rFonts w:ascii="KaiTi" w:eastAsia="KaiTi" w:hAnsi="KaiTi" w:cs="Heiti TC"/>
          <w:kern w:val="0"/>
          <w14:ligatures w14:val="none"/>
        </w:rPr>
      </w:pPr>
      <w:r>
        <w:rPr>
          <w:rFonts w:ascii="KaiTi" w:eastAsia="KaiTi" w:hAnsi="KaiTi" w:cs="Heiti TC" w:hint="eastAsia"/>
          <w:kern w:val="0"/>
          <w14:ligatures w14:val="none"/>
        </w:rPr>
        <w:t>就此</w:t>
      </w:r>
      <w:r w:rsidR="004B2948">
        <w:rPr>
          <w:rFonts w:ascii="KaiTi" w:eastAsia="KaiTi" w:hAnsi="KaiTi" w:cs="Heiti TC" w:hint="eastAsia"/>
          <w:kern w:val="0"/>
          <w14:ligatures w14:val="none"/>
        </w:rPr>
        <w:t>我们</w:t>
      </w:r>
      <w:r w:rsidR="00D17075" w:rsidRPr="001E195B">
        <w:rPr>
          <w:rFonts w:ascii="KaiTi" w:eastAsia="KaiTi" w:hAnsi="KaiTi" w:cs="Heiti TC" w:hint="eastAsia"/>
          <w:kern w:val="0"/>
          <w14:ligatures w14:val="none"/>
        </w:rPr>
        <w:t>专门写</w:t>
      </w:r>
      <w:r>
        <w:rPr>
          <w:rFonts w:ascii="KaiTi" w:eastAsia="KaiTi" w:hAnsi="KaiTi" w:cs="Heiti TC" w:hint="eastAsia"/>
          <w:kern w:val="0"/>
          <w14:ligatures w14:val="none"/>
        </w:rPr>
        <w:t>了</w:t>
      </w:r>
      <w:r w:rsidR="00D17075" w:rsidRPr="001E195B">
        <w:rPr>
          <w:rFonts w:ascii="KaiTi" w:eastAsia="KaiTi" w:hAnsi="KaiTi" w:cs="Heiti TC" w:hint="eastAsia"/>
          <w:kern w:val="0"/>
          <w14:ligatures w14:val="none"/>
        </w:rPr>
        <w:t>一篇文章</w:t>
      </w:r>
      <w:r w:rsidR="001E195B">
        <w:rPr>
          <w:rFonts w:ascii="KaiTi" w:eastAsia="KaiTi" w:hAnsi="KaiTi" w:cs="Heiti TC" w:hint="eastAsia"/>
          <w:kern w:val="0"/>
          <w14:ligatures w14:val="none"/>
        </w:rPr>
        <w:t>《</w:t>
      </w:r>
      <w:r w:rsidR="001E195B" w:rsidRPr="001E195B">
        <w:rPr>
          <w:rFonts w:ascii="KaiTi" w:eastAsia="KaiTi" w:hAnsi="KaiTi" w:cs="Heiti TC"/>
          <w:kern w:val="0"/>
          <w14:ligatures w14:val="none"/>
        </w:rPr>
        <w:t>黑船再临：谁在撬动东瀛三十年的旧梦</w:t>
      </w:r>
      <w:r w:rsidR="001E195B">
        <w:rPr>
          <w:rFonts w:ascii="KaiTi" w:eastAsia="KaiTi" w:hAnsi="KaiTi" w:cs="Heiti TC" w:hint="eastAsia"/>
          <w:kern w:val="0"/>
          <w14:ligatures w14:val="none"/>
        </w:rPr>
        <w:t>》</w:t>
      </w:r>
      <w:r w:rsidR="00D17075" w:rsidRPr="001E195B">
        <w:rPr>
          <w:rFonts w:ascii="KaiTi" w:eastAsia="KaiTi" w:hAnsi="KaiTi" w:cs="Heiti TC" w:hint="eastAsia"/>
          <w:kern w:val="0"/>
          <w14:ligatures w14:val="none"/>
        </w:rPr>
        <w:t>，</w:t>
      </w:r>
      <w:r>
        <w:rPr>
          <w:rFonts w:ascii="KaiTi" w:eastAsia="KaiTi" w:hAnsi="KaiTi" w:cs="Heiti TC" w:hint="eastAsia"/>
          <w:kern w:val="0"/>
          <w14:ligatures w14:val="none"/>
        </w:rPr>
        <w:t>简要</w:t>
      </w:r>
      <w:r w:rsidR="00D17075" w:rsidRPr="001E195B">
        <w:rPr>
          <w:rFonts w:ascii="KaiTi" w:eastAsia="KaiTi" w:hAnsi="KaiTi" w:cs="Heiti TC" w:hint="eastAsia"/>
          <w:kern w:val="0"/>
          <w14:ligatures w14:val="none"/>
        </w:rPr>
        <w:t>梳理</w:t>
      </w:r>
      <w:r>
        <w:rPr>
          <w:rFonts w:ascii="KaiTi" w:eastAsia="KaiTi" w:hAnsi="KaiTi" w:cs="Heiti TC" w:hint="eastAsia"/>
          <w:kern w:val="0"/>
          <w14:ligatures w14:val="none"/>
        </w:rPr>
        <w:t>了</w:t>
      </w:r>
      <w:r w:rsidR="00D17075" w:rsidRPr="001E195B">
        <w:rPr>
          <w:rFonts w:ascii="KaiTi" w:eastAsia="KaiTi" w:hAnsi="KaiTi" w:cs="Heiti TC" w:hint="eastAsia"/>
          <w:kern w:val="0"/>
          <w14:ligatures w14:val="none"/>
        </w:rPr>
        <w:t>这</w:t>
      </w:r>
      <w:r>
        <w:rPr>
          <w:rFonts w:ascii="KaiTi" w:eastAsia="KaiTi" w:hAnsi="KaiTi" w:cs="Heiti TC" w:hint="eastAsia"/>
          <w:kern w:val="0"/>
          <w14:ligatures w14:val="none"/>
        </w:rPr>
        <w:t>个投资机会</w:t>
      </w:r>
      <w:r w:rsidR="00D17075" w:rsidRPr="001E195B">
        <w:rPr>
          <w:rFonts w:ascii="KaiTi" w:eastAsia="KaiTi" w:hAnsi="KaiTi" w:cs="Heiti TC" w:hint="eastAsia"/>
          <w:kern w:val="0"/>
          <w14:ligatures w14:val="none"/>
        </w:rPr>
        <w:t>的背景与逻辑，感兴趣的朋友可以</w:t>
      </w:r>
      <w:r w:rsidR="004B2948">
        <w:rPr>
          <w:rFonts w:ascii="KaiTi" w:eastAsia="KaiTi" w:hAnsi="KaiTi" w:cs="Heiti TC" w:hint="eastAsia"/>
          <w:kern w:val="0"/>
          <w14:ligatures w14:val="none"/>
        </w:rPr>
        <w:t>阅读</w:t>
      </w:r>
      <w:r w:rsidR="00D17075" w:rsidRPr="001E195B">
        <w:rPr>
          <w:rFonts w:ascii="KaiTi" w:eastAsia="KaiTi" w:hAnsi="KaiTi" w:cs="Heiti TC" w:hint="eastAsia"/>
          <w:kern w:val="0"/>
          <w14:ligatures w14:val="none"/>
        </w:rPr>
        <w:t>参考。</w:t>
      </w:r>
      <w:r w:rsidR="001E195B">
        <w:rPr>
          <w:rFonts w:ascii="KaiTi" w:eastAsia="KaiTi" w:hAnsi="KaiTi" w:cs="Heiti TC" w:hint="eastAsia"/>
          <w:kern w:val="0"/>
          <w14:ligatures w14:val="none"/>
        </w:rPr>
        <w:t>但</w:t>
      </w:r>
      <w:r w:rsidR="00D17075" w:rsidRPr="001E195B">
        <w:rPr>
          <w:rFonts w:ascii="KaiTi" w:eastAsia="KaiTi" w:hAnsi="KaiTi" w:cs="Heiti TC" w:hint="eastAsia"/>
          <w:kern w:val="0"/>
          <w14:ligatures w14:val="none"/>
        </w:rPr>
        <w:t>这种投资方式</w:t>
      </w:r>
      <w:r w:rsidR="001E195B">
        <w:rPr>
          <w:rFonts w:ascii="KaiTi" w:eastAsia="KaiTi" w:hAnsi="KaiTi" w:cs="Heiti TC" w:hint="eastAsia"/>
          <w:kern w:val="0"/>
          <w14:ligatures w14:val="none"/>
        </w:rPr>
        <w:t>并不适合所有人。</w:t>
      </w:r>
      <w:r w:rsidR="00D17075" w:rsidRPr="001E195B">
        <w:rPr>
          <w:rFonts w:ascii="KaiTi" w:eastAsia="KaiTi" w:hAnsi="KaiTi" w:cs="Heiti TC" w:hint="eastAsia"/>
          <w:kern w:val="0"/>
          <w14:ligatures w14:val="none"/>
        </w:rPr>
        <w:t>节奏很慢、过程很安静，也并不轻松。它依赖耐心、纪律和对基本面的持续跟踪，本质上是一场价值被慢慢“发现”的过程，而不是行情驱动的参与。</w:t>
      </w:r>
    </w:p>
    <w:p w14:paraId="7F3F520D" w14:textId="77777777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</w:p>
    <w:p w14:paraId="7E587B6E" w14:textId="068E1EFF" w:rsidR="00D17075" w:rsidRPr="001E195B" w:rsidRDefault="004B2948" w:rsidP="00D17075">
      <w:pPr>
        <w:rPr>
          <w:rFonts w:ascii="KaiTi" w:eastAsia="KaiTi" w:hAnsi="KaiTi" w:cs="Heiti TC"/>
          <w:kern w:val="0"/>
          <w14:ligatures w14:val="none"/>
        </w:rPr>
      </w:pPr>
      <w:r>
        <w:rPr>
          <w:rFonts w:ascii="KaiTi" w:eastAsia="KaiTi" w:hAnsi="KaiTi" w:cs="Heiti TC" w:hint="eastAsia"/>
          <w:kern w:val="0"/>
          <w14:ligatures w14:val="none"/>
        </w:rPr>
        <w:t>对此</w:t>
      </w:r>
      <w:r w:rsidR="00D17075" w:rsidRPr="001E195B">
        <w:rPr>
          <w:rFonts w:ascii="KaiTi" w:eastAsia="KaiTi" w:hAnsi="KaiTi" w:cs="Heiti TC" w:hint="eastAsia"/>
          <w:kern w:val="0"/>
          <w14:ligatures w14:val="none"/>
        </w:rPr>
        <w:t>感兴趣的朋友也可以私下联系</w:t>
      </w:r>
      <w:r>
        <w:rPr>
          <w:rFonts w:ascii="KaiTi" w:eastAsia="KaiTi" w:hAnsi="KaiTi" w:cs="Heiti TC" w:hint="eastAsia"/>
          <w:kern w:val="0"/>
          <w14:ligatures w14:val="none"/>
        </w:rPr>
        <w:t>我们团队成员</w:t>
      </w:r>
      <w:r w:rsidR="00D17075" w:rsidRPr="001E195B">
        <w:rPr>
          <w:rFonts w:ascii="KaiTi" w:eastAsia="KaiTi" w:hAnsi="KaiTi" w:cs="Heiti TC" w:hint="eastAsia"/>
          <w:kern w:val="0"/>
          <w14:ligatures w14:val="none"/>
        </w:rPr>
        <w:t>，</w:t>
      </w:r>
      <w:r>
        <w:rPr>
          <w:rFonts w:ascii="KaiTi" w:eastAsia="KaiTi" w:hAnsi="KaiTi" w:cs="Heiti TC" w:hint="eastAsia"/>
          <w:kern w:val="0"/>
          <w14:ligatures w14:val="none"/>
        </w:rPr>
        <w:t>获得</w:t>
      </w:r>
      <w:r w:rsidR="00D17075" w:rsidRPr="001E195B">
        <w:rPr>
          <w:rFonts w:ascii="KaiTi" w:eastAsia="KaiTi" w:hAnsi="KaiTi" w:cs="Heiti TC" w:hint="eastAsia"/>
          <w:kern w:val="0"/>
          <w14:ligatures w14:val="none"/>
        </w:rPr>
        <w:t>一份</w:t>
      </w:r>
      <w:r>
        <w:rPr>
          <w:rFonts w:ascii="KaiTi" w:eastAsia="KaiTi" w:hAnsi="KaiTi" w:cs="Heiti TC" w:hint="eastAsia"/>
          <w:kern w:val="0"/>
          <w14:ligatures w14:val="none"/>
        </w:rPr>
        <w:t>我们</w:t>
      </w:r>
      <w:r w:rsidR="00D17075" w:rsidRPr="001E195B">
        <w:rPr>
          <w:rFonts w:ascii="KaiTi" w:eastAsia="KaiTi" w:hAnsi="KaiTi" w:cs="Heiti TC" w:hint="eastAsia"/>
          <w:kern w:val="0"/>
          <w14:ligatures w14:val="none"/>
        </w:rPr>
        <w:t>整理的</w:t>
      </w:r>
      <w:r>
        <w:rPr>
          <w:rFonts w:ascii="KaiTi" w:eastAsia="KaiTi" w:hAnsi="KaiTi" w:cs="Heiti TC" w:hint="eastAsia"/>
          <w:kern w:val="0"/>
          <w14:ligatures w14:val="none"/>
        </w:rPr>
        <w:t>日本中小盘</w:t>
      </w:r>
      <w:r w:rsidR="00D17075" w:rsidRPr="001E195B">
        <w:rPr>
          <w:rFonts w:ascii="KaiTi" w:eastAsia="KaiTi" w:hAnsi="KaiTi" w:cs="Heiti TC" w:hint="eastAsia"/>
          <w:kern w:val="0"/>
          <w14:ligatures w14:val="none"/>
        </w:rPr>
        <w:t>股票</w:t>
      </w:r>
      <w:r>
        <w:rPr>
          <w:rFonts w:ascii="KaiTi" w:eastAsia="KaiTi" w:hAnsi="KaiTi" w:cs="Heiti TC" w:hint="eastAsia"/>
          <w:kern w:val="0"/>
          <w14:ligatures w14:val="none"/>
        </w:rPr>
        <w:t>观察</w:t>
      </w:r>
      <w:r w:rsidR="00D17075" w:rsidRPr="001E195B">
        <w:rPr>
          <w:rFonts w:ascii="KaiTi" w:eastAsia="KaiTi" w:hAnsi="KaiTi" w:cs="Heiti TC" w:hint="eastAsia"/>
          <w:kern w:val="0"/>
          <w14:ligatures w14:val="none"/>
        </w:rPr>
        <w:t>清单，供交流参考。这不是投资建议，也不适合所有人，仅作为理解</w:t>
      </w:r>
      <w:r>
        <w:rPr>
          <w:rFonts w:ascii="KaiTi" w:eastAsia="KaiTi" w:hAnsi="KaiTi" w:cs="Heiti TC" w:hint="eastAsia"/>
          <w:kern w:val="0"/>
          <w14:ligatures w14:val="none"/>
        </w:rPr>
        <w:t>和观察古典价值投资方式</w:t>
      </w:r>
      <w:r w:rsidR="00D17075" w:rsidRPr="001E195B">
        <w:rPr>
          <w:rFonts w:ascii="KaiTi" w:eastAsia="KaiTi" w:hAnsi="KaiTi" w:cs="Heiti TC" w:hint="eastAsia"/>
          <w:kern w:val="0"/>
          <w14:ligatures w14:val="none"/>
        </w:rPr>
        <w:t>的一</w:t>
      </w:r>
      <w:r>
        <w:rPr>
          <w:rFonts w:ascii="KaiTi" w:eastAsia="KaiTi" w:hAnsi="KaiTi" w:cs="Heiti TC" w:hint="eastAsia"/>
          <w:kern w:val="0"/>
          <w14:ligatures w14:val="none"/>
        </w:rPr>
        <w:t>个契机</w:t>
      </w:r>
      <w:r w:rsidR="00D17075" w:rsidRPr="001E195B">
        <w:rPr>
          <w:rFonts w:ascii="KaiTi" w:eastAsia="KaiTi" w:hAnsi="KaiTi" w:cs="Heiti TC" w:hint="eastAsia"/>
          <w:kern w:val="0"/>
          <w14:ligatures w14:val="none"/>
        </w:rPr>
        <w:t>。</w:t>
      </w:r>
    </w:p>
    <w:p w14:paraId="2384209A" w14:textId="77777777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</w:p>
    <w:p w14:paraId="1EE36E2B" w14:textId="77777777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  <w:r w:rsidRPr="001E195B">
        <w:rPr>
          <w:rFonts w:ascii="KaiTi" w:eastAsia="KaiTi" w:hAnsi="KaiTi" w:cs="Heiti TC" w:hint="eastAsia"/>
          <w:kern w:val="0"/>
          <w14:ligatures w14:val="none"/>
        </w:rPr>
        <w:t>新的一年，我们依然会坚持一个并不讨巧、但长期有效的原则：</w:t>
      </w:r>
    </w:p>
    <w:p w14:paraId="16062045" w14:textId="77777777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  <w:r w:rsidRPr="001E195B">
        <w:rPr>
          <w:rFonts w:ascii="KaiTi" w:eastAsia="KaiTi" w:hAnsi="KaiTi" w:cs="Heiti TC" w:hint="eastAsia"/>
          <w:kern w:val="0"/>
          <w14:ligatures w14:val="none"/>
        </w:rPr>
        <w:t>不追逐情绪，不制造焦虑，用结构、常识和时间，去应对世界的复杂性。</w:t>
      </w:r>
    </w:p>
    <w:p w14:paraId="0410B6D6" w14:textId="77777777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</w:p>
    <w:p w14:paraId="1042D2F6" w14:textId="77777777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  <w:r w:rsidRPr="001E195B">
        <w:rPr>
          <w:rFonts w:ascii="KaiTi" w:eastAsia="KaiTi" w:hAnsi="KaiTi" w:cs="Heiti TC" w:hint="eastAsia"/>
          <w:kern w:val="0"/>
          <w14:ligatures w14:val="none"/>
        </w:rPr>
        <w:t>感谢一路同行，</w:t>
      </w:r>
    </w:p>
    <w:p w14:paraId="6EA3E914" w14:textId="77777777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  <w:r w:rsidRPr="001E195B">
        <w:rPr>
          <w:rFonts w:ascii="KaiTi" w:eastAsia="KaiTi" w:hAnsi="KaiTi" w:cs="Heiti TC" w:hint="eastAsia"/>
          <w:kern w:val="0"/>
          <w14:ligatures w14:val="none"/>
        </w:rPr>
        <w:t>祝您与家人新年平安，稳步向前。</w:t>
      </w:r>
    </w:p>
    <w:p w14:paraId="21318992" w14:textId="77777777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</w:p>
    <w:p w14:paraId="60949995" w14:textId="598C41C5" w:rsidR="00D17075" w:rsidRDefault="00D17075" w:rsidP="00D17075">
      <w:pPr>
        <w:rPr>
          <w:rFonts w:ascii="KaiTi" w:eastAsia="KaiTi" w:hAnsi="KaiTi" w:cs="Heiti TC"/>
          <w:kern w:val="0"/>
          <w14:ligatures w14:val="none"/>
        </w:rPr>
      </w:pPr>
      <w:r w:rsidRPr="001E195B">
        <w:rPr>
          <w:rFonts w:ascii="KaiTi" w:eastAsia="KaiTi" w:hAnsi="KaiTi" w:cs="Heiti TC"/>
          <w:kern w:val="0"/>
          <w14:ligatures w14:val="none"/>
        </w:rPr>
        <w:t>Wonder</w:t>
      </w:r>
      <w:r w:rsidR="004B2948">
        <w:rPr>
          <w:rFonts w:ascii="KaiTi" w:eastAsia="KaiTi" w:hAnsi="KaiTi" w:cs="Heiti TC" w:hint="eastAsia"/>
          <w:kern w:val="0"/>
          <w14:ligatures w14:val="none"/>
        </w:rPr>
        <w:t>团队</w:t>
      </w:r>
    </w:p>
    <w:p w14:paraId="5E456731" w14:textId="2794A077" w:rsidR="00EC7AE6" w:rsidRDefault="00EC7AE6">
      <w:pPr>
        <w:rPr>
          <w:rFonts w:ascii="KaiTi" w:eastAsia="KaiTi" w:hAnsi="KaiTi" w:cs="Heiti TC"/>
          <w:kern w:val="0"/>
          <w14:ligatures w14:val="none"/>
        </w:rPr>
      </w:pPr>
      <w:r>
        <w:rPr>
          <w:rFonts w:ascii="KaiTi" w:eastAsia="KaiTi" w:hAnsi="KaiTi" w:cs="Heiti TC"/>
          <w:kern w:val="0"/>
          <w14:ligatures w14:val="none"/>
        </w:rPr>
        <w:br w:type="page"/>
      </w:r>
    </w:p>
    <w:p w14:paraId="2B8BB611" w14:textId="77777777" w:rsidR="00EC7AE6" w:rsidRPr="000C1D9B" w:rsidRDefault="00EC7AE6" w:rsidP="00EC7AE6">
      <w:pPr>
        <w:rPr>
          <w:rFonts w:ascii="KaiTi" w:eastAsia="KaiTi" w:hAnsi="KaiTi"/>
          <w:b/>
          <w:bCs/>
        </w:rPr>
      </w:pPr>
      <w:r w:rsidRPr="000C1D9B">
        <w:rPr>
          <w:rFonts w:ascii="KaiTi" w:eastAsia="KaiTi" w:hAnsi="KaiTi" w:hint="eastAsia"/>
          <w:b/>
          <w:bCs/>
        </w:rPr>
        <w:lastRenderedPageBreak/>
        <w:t>示例组合运行情况</w:t>
      </w:r>
    </w:p>
    <w:p w14:paraId="29D46525" w14:textId="77777777" w:rsidR="00EC7AE6" w:rsidRPr="000C1D9B" w:rsidRDefault="00EC7AE6" w:rsidP="00EC7AE6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为了能够更好地帮助大家理解和熟悉我们的长期配置思路，我们通过公司投连险平台管理了两个典型组合。两个组合都以100万美金的初始投入为例，并于</w:t>
      </w:r>
      <w:r>
        <w:rPr>
          <w:rFonts w:ascii="KaiTi" w:eastAsia="KaiTi" w:hAnsi="KaiTi" w:hint="eastAsia"/>
        </w:rPr>
        <w:t>2024年</w:t>
      </w:r>
      <w:r w:rsidRPr="000C1D9B">
        <w:rPr>
          <w:rFonts w:ascii="KaiTi" w:eastAsia="KaiTi" w:hAnsi="KaiTi" w:hint="eastAsia"/>
        </w:rPr>
        <w:t>10月24日完成建仓买入。</w:t>
      </w:r>
    </w:p>
    <w:p w14:paraId="54391468" w14:textId="77777777" w:rsidR="00EC7AE6" w:rsidRPr="000E2963" w:rsidRDefault="00EC7AE6" w:rsidP="00EC7AE6">
      <w:pPr>
        <w:rPr>
          <w:rFonts w:ascii="KaiTi" w:eastAsia="KaiTi" w:hAnsi="KaiTi"/>
          <w:b/>
          <w:bCs/>
        </w:rPr>
      </w:pPr>
      <w:r w:rsidRPr="000C1D9B">
        <w:rPr>
          <w:rFonts w:ascii="KaiTi" w:eastAsia="KaiTi" w:hAnsi="KaiTi" w:hint="eastAsia"/>
          <w:b/>
          <w:bCs/>
        </w:rPr>
        <w:t>组合1: 长线增长 ILI Long Term Accumulation</w:t>
      </w:r>
    </w:p>
    <w:p w14:paraId="2CD0BD10" w14:textId="77777777" w:rsidR="00EC7AE6" w:rsidRPr="000C1D9B" w:rsidRDefault="00EC7AE6" w:rsidP="00EC7AE6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其中第一个组合更关注长期的增长，通过固定收益、房地产</w:t>
      </w:r>
      <w:r>
        <w:rPr>
          <w:rFonts w:ascii="KaiTi" w:eastAsia="KaiTi" w:hAnsi="KaiTi" w:hint="eastAsia"/>
        </w:rPr>
        <w:t>信托基金</w:t>
      </w:r>
      <w:r w:rsidRPr="000C1D9B">
        <w:rPr>
          <w:rFonts w:ascii="KaiTi" w:eastAsia="KaiTi" w:hAnsi="KaiTi" w:hint="eastAsia"/>
        </w:rPr>
        <w:t>和优质股票的组合来实现，他们的</w:t>
      </w:r>
      <w:r>
        <w:rPr>
          <w:rFonts w:ascii="KaiTi" w:eastAsia="KaiTi" w:hAnsi="KaiTi" w:hint="eastAsia"/>
        </w:rPr>
        <w:t>初始</w:t>
      </w:r>
      <w:r w:rsidRPr="000C1D9B">
        <w:rPr>
          <w:rFonts w:ascii="KaiTi" w:eastAsia="KaiTi" w:hAnsi="KaiTi" w:hint="eastAsia"/>
        </w:rPr>
        <w:t>配置比例为40%：25%：35%。</w:t>
      </w:r>
    </w:p>
    <w:p w14:paraId="5EF1DC23" w14:textId="723D82B6" w:rsidR="00EC7AE6" w:rsidRPr="00331F36" w:rsidRDefault="00EC7AE6" w:rsidP="00EC7AE6">
      <w:pPr>
        <w:rPr>
          <w:rFonts w:ascii="KaiTi" w:eastAsia="KaiTi" w:hAnsi="KaiTi"/>
          <w:sz w:val="21"/>
          <w:szCs w:val="21"/>
        </w:rPr>
      </w:pPr>
      <w:r w:rsidRPr="000C1D9B">
        <w:rPr>
          <w:rFonts w:ascii="KaiTi" w:eastAsia="KaiTi" w:hAnsi="KaiTi" w:hint="eastAsia"/>
        </w:rPr>
        <w:t>截止202</w:t>
      </w:r>
      <w:r>
        <w:rPr>
          <w:rFonts w:ascii="KaiTi" w:eastAsia="KaiTi" w:hAnsi="KaiTi" w:hint="eastAsia"/>
        </w:rPr>
        <w:t>6</w:t>
      </w:r>
      <w:r w:rsidRPr="000C1D9B">
        <w:rPr>
          <w:rFonts w:ascii="KaiTi" w:eastAsia="KaiTi" w:hAnsi="KaiTi" w:hint="eastAsia"/>
        </w:rPr>
        <w:t>年</w:t>
      </w:r>
      <w:r>
        <w:rPr>
          <w:rFonts w:ascii="KaiTi" w:eastAsia="KaiTi" w:hAnsi="KaiTi" w:hint="eastAsia"/>
        </w:rPr>
        <w:t>1</w:t>
      </w:r>
      <w:r w:rsidRPr="000C1D9B">
        <w:rPr>
          <w:rFonts w:ascii="KaiTi" w:eastAsia="KaiTi" w:hAnsi="KaiTi" w:hint="eastAsia"/>
        </w:rPr>
        <w:t>月</w:t>
      </w:r>
      <w:r>
        <w:rPr>
          <w:rFonts w:ascii="KaiTi" w:eastAsia="KaiTi" w:hAnsi="KaiTi" w:hint="eastAsia"/>
        </w:rPr>
        <w:t>30</w:t>
      </w:r>
      <w:r w:rsidRPr="000C1D9B">
        <w:rPr>
          <w:rFonts w:ascii="KaiTi" w:eastAsia="KaiTi" w:hAnsi="KaiTi" w:hint="eastAsia"/>
        </w:rPr>
        <w:t>日，这个组合的运行情况如下：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4"/>
        <w:gridCol w:w="1209"/>
        <w:gridCol w:w="1106"/>
        <w:gridCol w:w="1453"/>
        <w:gridCol w:w="1273"/>
        <w:gridCol w:w="1275"/>
      </w:tblGrid>
      <w:tr w:rsidR="00EC7AE6" w:rsidRPr="00EC7AE6" w14:paraId="65D9FDF2" w14:textId="77777777" w:rsidTr="00EC7AE6">
        <w:trPr>
          <w:trHeight w:val="320"/>
        </w:trPr>
        <w:tc>
          <w:tcPr>
            <w:tcW w:w="3034" w:type="dxa"/>
            <w:noWrap/>
            <w:vAlign w:val="center"/>
            <w:hideMark/>
          </w:tcPr>
          <w:p w14:paraId="7F9715EF" w14:textId="03BADDD2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209" w:type="dxa"/>
            <w:noWrap/>
            <w:vAlign w:val="center"/>
            <w:hideMark/>
          </w:tcPr>
          <w:p w14:paraId="62316F41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日期</w:t>
            </w:r>
          </w:p>
        </w:tc>
        <w:tc>
          <w:tcPr>
            <w:tcW w:w="1106" w:type="dxa"/>
            <w:noWrap/>
            <w:vAlign w:val="center"/>
            <w:hideMark/>
          </w:tcPr>
          <w:p w14:paraId="1D85ED01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价格</w:t>
            </w:r>
          </w:p>
        </w:tc>
        <w:tc>
          <w:tcPr>
            <w:tcW w:w="1453" w:type="dxa"/>
            <w:noWrap/>
            <w:vAlign w:val="center"/>
            <w:hideMark/>
          </w:tcPr>
          <w:p w14:paraId="35E1F16B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金额</w:t>
            </w:r>
          </w:p>
        </w:tc>
        <w:tc>
          <w:tcPr>
            <w:tcW w:w="1273" w:type="dxa"/>
            <w:noWrap/>
            <w:vAlign w:val="center"/>
            <w:hideMark/>
          </w:tcPr>
          <w:p w14:paraId="37F7563C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占比</w:t>
            </w:r>
          </w:p>
        </w:tc>
        <w:tc>
          <w:tcPr>
            <w:tcW w:w="1275" w:type="dxa"/>
            <w:noWrap/>
            <w:vAlign w:val="center"/>
            <w:hideMark/>
          </w:tcPr>
          <w:p w14:paraId="26B416C3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组合净值增长</w:t>
            </w:r>
          </w:p>
        </w:tc>
      </w:tr>
      <w:tr w:rsidR="00EC7AE6" w:rsidRPr="00EC7AE6" w14:paraId="71978679" w14:textId="77777777" w:rsidTr="00EC7AE6">
        <w:trPr>
          <w:trHeight w:val="320"/>
        </w:trPr>
        <w:tc>
          <w:tcPr>
            <w:tcW w:w="3034" w:type="dxa"/>
            <w:noWrap/>
            <w:vAlign w:val="center"/>
            <w:hideMark/>
          </w:tcPr>
          <w:p w14:paraId="76F01536" w14:textId="43AF0D99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 xml:space="preserve">I17 </w:t>
            </w:r>
            <w:r w:rsidRPr="00EC7AE6">
              <w:rPr>
                <w:rFonts w:ascii="KaiTi" w:eastAsia="KaiTi" w:hAnsi="KaiTi" w:hint="eastAsia"/>
                <w:sz w:val="22"/>
                <w:szCs w:val="22"/>
              </w:rPr>
              <w:t>环球</w:t>
            </w:r>
            <w:r w:rsidRPr="00EC7AE6">
              <w:rPr>
                <w:rStyle w:val="FootnoteReference"/>
                <w:rFonts w:ascii="KaiTi" w:eastAsia="KaiTi" w:hAnsi="KaiTi"/>
                <w:sz w:val="22"/>
                <w:szCs w:val="22"/>
              </w:rPr>
              <w:footnoteReference w:id="1"/>
            </w:r>
            <w:r w:rsidRPr="00EC7AE6">
              <w:rPr>
                <w:rFonts w:ascii="KaiTi" w:eastAsia="KaiTi" w:hAnsi="KaiTi"/>
                <w:sz w:val="22"/>
                <w:szCs w:val="22"/>
              </w:rPr>
              <w:t>优质股权基金</w:t>
            </w:r>
          </w:p>
        </w:tc>
        <w:tc>
          <w:tcPr>
            <w:tcW w:w="1209" w:type="dxa"/>
            <w:noWrap/>
            <w:vAlign w:val="center"/>
            <w:hideMark/>
          </w:tcPr>
          <w:p w14:paraId="736AB2D3" w14:textId="02E77F5D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color w:val="000000"/>
                <w:sz w:val="22"/>
                <w:szCs w:val="22"/>
              </w:rPr>
              <w:t>1/30/26</w:t>
            </w:r>
          </w:p>
        </w:tc>
        <w:tc>
          <w:tcPr>
            <w:tcW w:w="1106" w:type="dxa"/>
            <w:noWrap/>
            <w:vAlign w:val="center"/>
            <w:hideMark/>
          </w:tcPr>
          <w:p w14:paraId="5F5B2C61" w14:textId="5A815E3E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color w:val="000000"/>
                <w:sz w:val="22"/>
                <w:szCs w:val="22"/>
              </w:rPr>
              <w:t>25.29</w:t>
            </w:r>
          </w:p>
        </w:tc>
        <w:tc>
          <w:tcPr>
            <w:tcW w:w="1453" w:type="dxa"/>
            <w:noWrap/>
            <w:vAlign w:val="center"/>
            <w:hideMark/>
          </w:tcPr>
          <w:p w14:paraId="47C27C73" w14:textId="4F27ACFC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color w:val="000000"/>
                <w:sz w:val="22"/>
                <w:szCs w:val="22"/>
              </w:rPr>
              <w:t>396,320</w:t>
            </w:r>
          </w:p>
        </w:tc>
        <w:tc>
          <w:tcPr>
            <w:tcW w:w="1273" w:type="dxa"/>
            <w:noWrap/>
            <w:vAlign w:val="center"/>
            <w:hideMark/>
          </w:tcPr>
          <w:p w14:paraId="0B2D213F" w14:textId="6A3B040E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color w:val="000000"/>
                <w:sz w:val="22"/>
                <w:szCs w:val="22"/>
              </w:rPr>
              <w:t>36.6%</w:t>
            </w:r>
          </w:p>
        </w:tc>
        <w:tc>
          <w:tcPr>
            <w:tcW w:w="1275" w:type="dxa"/>
            <w:noWrap/>
            <w:vAlign w:val="center"/>
            <w:hideMark/>
          </w:tcPr>
          <w:p w14:paraId="5D611CB7" w14:textId="201360E9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color w:val="000000"/>
                <w:sz w:val="22"/>
                <w:szCs w:val="22"/>
              </w:rPr>
              <w:t>15.51%</w:t>
            </w:r>
          </w:p>
        </w:tc>
      </w:tr>
      <w:tr w:rsidR="00EC7AE6" w:rsidRPr="00EC7AE6" w14:paraId="5A82D35A" w14:textId="77777777" w:rsidTr="00EC7AE6">
        <w:trPr>
          <w:trHeight w:val="320"/>
        </w:trPr>
        <w:tc>
          <w:tcPr>
            <w:tcW w:w="3034" w:type="dxa"/>
            <w:noWrap/>
            <w:vAlign w:val="center"/>
            <w:hideMark/>
          </w:tcPr>
          <w:p w14:paraId="5D0EC2AC" w14:textId="04B27830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 xml:space="preserve">R01 </w:t>
            </w:r>
            <w:r w:rsidRPr="00EC7AE6">
              <w:rPr>
                <w:rFonts w:ascii="KaiTi" w:eastAsia="KaiTi" w:hAnsi="KaiTi" w:hint="eastAsia"/>
                <w:sz w:val="22"/>
                <w:szCs w:val="22"/>
              </w:rPr>
              <w:t>环球</w:t>
            </w:r>
            <w:r w:rsidRPr="00EC7AE6">
              <w:rPr>
                <w:rStyle w:val="FootnoteReference"/>
                <w:rFonts w:ascii="KaiTi" w:eastAsia="KaiTi" w:hAnsi="KaiTi"/>
                <w:sz w:val="22"/>
                <w:szCs w:val="22"/>
              </w:rPr>
              <w:footnoteReference w:id="2"/>
            </w:r>
            <w:r w:rsidRPr="00EC7AE6">
              <w:rPr>
                <w:rFonts w:ascii="KaiTi" w:eastAsia="KaiTi" w:hAnsi="KaiTi" w:hint="eastAsia"/>
                <w:sz w:val="22"/>
                <w:szCs w:val="22"/>
              </w:rPr>
              <w:t>房</w:t>
            </w:r>
            <w:r w:rsidRPr="00EC7AE6">
              <w:rPr>
                <w:rFonts w:ascii="KaiTi" w:eastAsia="KaiTi" w:hAnsi="KaiTi"/>
                <w:sz w:val="22"/>
                <w:szCs w:val="22"/>
              </w:rPr>
              <w:t>地产基金</w:t>
            </w:r>
          </w:p>
        </w:tc>
        <w:tc>
          <w:tcPr>
            <w:tcW w:w="1209" w:type="dxa"/>
            <w:noWrap/>
            <w:vAlign w:val="center"/>
            <w:hideMark/>
          </w:tcPr>
          <w:p w14:paraId="1A4F1DEC" w14:textId="74223FA6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color w:val="000000"/>
                <w:sz w:val="22"/>
                <w:szCs w:val="22"/>
              </w:rPr>
              <w:t>1/30/26</w:t>
            </w:r>
          </w:p>
        </w:tc>
        <w:tc>
          <w:tcPr>
            <w:tcW w:w="1106" w:type="dxa"/>
            <w:noWrap/>
            <w:vAlign w:val="center"/>
            <w:hideMark/>
          </w:tcPr>
          <w:p w14:paraId="683BAD9D" w14:textId="0E3BB2FA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color w:val="000000"/>
                <w:sz w:val="22"/>
                <w:szCs w:val="22"/>
              </w:rPr>
              <w:t>25.91</w:t>
            </w:r>
          </w:p>
        </w:tc>
        <w:tc>
          <w:tcPr>
            <w:tcW w:w="1453" w:type="dxa"/>
            <w:noWrap/>
            <w:vAlign w:val="center"/>
            <w:hideMark/>
          </w:tcPr>
          <w:p w14:paraId="548059CB" w14:textId="466FBFCC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color w:val="000000"/>
                <w:sz w:val="22"/>
                <w:szCs w:val="22"/>
              </w:rPr>
              <w:t>266,329</w:t>
            </w:r>
          </w:p>
        </w:tc>
        <w:tc>
          <w:tcPr>
            <w:tcW w:w="1273" w:type="dxa"/>
            <w:noWrap/>
            <w:vAlign w:val="center"/>
            <w:hideMark/>
          </w:tcPr>
          <w:p w14:paraId="5B01A0F4" w14:textId="1BC52631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color w:val="000000"/>
                <w:sz w:val="22"/>
                <w:szCs w:val="22"/>
              </w:rPr>
              <w:t>24.6%</w:t>
            </w:r>
          </w:p>
        </w:tc>
        <w:tc>
          <w:tcPr>
            <w:tcW w:w="1275" w:type="dxa"/>
            <w:noWrap/>
            <w:vAlign w:val="center"/>
            <w:hideMark/>
          </w:tcPr>
          <w:p w14:paraId="6888932B" w14:textId="1FA68CCC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color w:val="000000"/>
                <w:sz w:val="22"/>
                <w:szCs w:val="22"/>
              </w:rPr>
              <w:t>0.42%</w:t>
            </w:r>
          </w:p>
        </w:tc>
      </w:tr>
      <w:tr w:rsidR="00EC7AE6" w:rsidRPr="00EC7AE6" w14:paraId="662F7E6B" w14:textId="77777777" w:rsidTr="00EC7AE6">
        <w:trPr>
          <w:trHeight w:val="320"/>
        </w:trPr>
        <w:tc>
          <w:tcPr>
            <w:tcW w:w="3034" w:type="dxa"/>
            <w:noWrap/>
            <w:vAlign w:val="center"/>
            <w:hideMark/>
          </w:tcPr>
          <w:p w14:paraId="67F311C3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F16 美国中高等级债券基金</w:t>
            </w:r>
          </w:p>
        </w:tc>
        <w:tc>
          <w:tcPr>
            <w:tcW w:w="1209" w:type="dxa"/>
            <w:noWrap/>
            <w:vAlign w:val="center"/>
            <w:hideMark/>
          </w:tcPr>
          <w:p w14:paraId="72FD5F85" w14:textId="7F76AF81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color w:val="000000"/>
                <w:sz w:val="22"/>
                <w:szCs w:val="22"/>
              </w:rPr>
              <w:t>1/30/26</w:t>
            </w:r>
          </w:p>
        </w:tc>
        <w:tc>
          <w:tcPr>
            <w:tcW w:w="1106" w:type="dxa"/>
            <w:noWrap/>
            <w:vAlign w:val="center"/>
            <w:hideMark/>
          </w:tcPr>
          <w:p w14:paraId="7D4670EA" w14:textId="087AF295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color w:val="000000"/>
                <w:sz w:val="22"/>
                <w:szCs w:val="22"/>
              </w:rPr>
              <w:t>145.13</w:t>
            </w:r>
          </w:p>
        </w:tc>
        <w:tc>
          <w:tcPr>
            <w:tcW w:w="1453" w:type="dxa"/>
            <w:noWrap/>
            <w:vAlign w:val="center"/>
            <w:hideMark/>
          </w:tcPr>
          <w:p w14:paraId="1266CE1A" w14:textId="3AC9EFC0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color w:val="000000"/>
                <w:sz w:val="22"/>
                <w:szCs w:val="22"/>
              </w:rPr>
              <w:t>420,877</w:t>
            </w:r>
          </w:p>
        </w:tc>
        <w:tc>
          <w:tcPr>
            <w:tcW w:w="1273" w:type="dxa"/>
            <w:noWrap/>
            <w:vAlign w:val="center"/>
            <w:hideMark/>
          </w:tcPr>
          <w:p w14:paraId="0CFD7020" w14:textId="64648B6B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color w:val="000000"/>
                <w:sz w:val="22"/>
                <w:szCs w:val="22"/>
              </w:rPr>
              <w:t>38.8%</w:t>
            </w:r>
          </w:p>
        </w:tc>
        <w:tc>
          <w:tcPr>
            <w:tcW w:w="1275" w:type="dxa"/>
            <w:noWrap/>
            <w:vAlign w:val="center"/>
            <w:hideMark/>
          </w:tcPr>
          <w:p w14:paraId="71C32356" w14:textId="0282C09E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color w:val="000000"/>
                <w:sz w:val="22"/>
                <w:szCs w:val="22"/>
              </w:rPr>
              <w:t>7.07%</w:t>
            </w:r>
          </w:p>
        </w:tc>
      </w:tr>
      <w:tr w:rsidR="00EC7AE6" w:rsidRPr="00EC7AE6" w14:paraId="39AF25AC" w14:textId="77777777" w:rsidTr="00EC7AE6">
        <w:trPr>
          <w:trHeight w:val="320"/>
        </w:trPr>
        <w:tc>
          <w:tcPr>
            <w:tcW w:w="3034" w:type="dxa"/>
            <w:noWrap/>
            <w:vAlign w:val="center"/>
            <w:hideMark/>
          </w:tcPr>
          <w:p w14:paraId="4711C987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209" w:type="dxa"/>
            <w:noWrap/>
            <w:vAlign w:val="center"/>
            <w:hideMark/>
          </w:tcPr>
          <w:p w14:paraId="106D2726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06" w:type="dxa"/>
            <w:noWrap/>
            <w:vAlign w:val="center"/>
            <w:hideMark/>
          </w:tcPr>
          <w:p w14:paraId="46838DE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53" w:type="dxa"/>
            <w:noWrap/>
            <w:vAlign w:val="center"/>
            <w:hideMark/>
          </w:tcPr>
          <w:p w14:paraId="3FE6EFF8" w14:textId="36CA71CB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color w:val="000000"/>
                <w:sz w:val="22"/>
                <w:szCs w:val="22"/>
              </w:rPr>
              <w:t>1,083,525</w:t>
            </w:r>
          </w:p>
        </w:tc>
        <w:tc>
          <w:tcPr>
            <w:tcW w:w="1273" w:type="dxa"/>
            <w:noWrap/>
            <w:vAlign w:val="center"/>
            <w:hideMark/>
          </w:tcPr>
          <w:p w14:paraId="1990C0E8" w14:textId="72F3C94B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color w:val="000000"/>
                <w:sz w:val="22"/>
                <w:szCs w:val="22"/>
              </w:rPr>
              <w:t>100.0%</w:t>
            </w:r>
          </w:p>
        </w:tc>
        <w:tc>
          <w:tcPr>
            <w:tcW w:w="1275" w:type="dxa"/>
            <w:noWrap/>
            <w:vAlign w:val="center"/>
            <w:hideMark/>
          </w:tcPr>
          <w:p w14:paraId="61454684" w14:textId="3CAEAB38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color w:val="000000"/>
                <w:sz w:val="22"/>
                <w:szCs w:val="22"/>
              </w:rPr>
              <w:t>8.37%</w:t>
            </w:r>
          </w:p>
        </w:tc>
      </w:tr>
    </w:tbl>
    <w:p w14:paraId="0F450AA8" w14:textId="77777777" w:rsidR="00EC7AE6" w:rsidRDefault="00EC7AE6" w:rsidP="00EC7AE6">
      <w:pPr>
        <w:rPr>
          <w:rFonts w:ascii="KaiTi" w:eastAsia="KaiTi" w:hAnsi="KaiTi"/>
        </w:rPr>
      </w:pPr>
      <w:r w:rsidRPr="00331F36">
        <w:rPr>
          <w:rFonts w:ascii="KaiTi" w:eastAsia="KaiTi" w:hAnsi="KaiTi" w:hint="eastAsia"/>
          <w:sz w:val="21"/>
          <w:szCs w:val="21"/>
        </w:rPr>
        <w:t>注：因晨星系统改版，该组合数据由人工整理获得</w:t>
      </w:r>
      <w:r>
        <w:rPr>
          <w:rFonts w:ascii="KaiTi" w:eastAsia="KaiTi" w:hAnsi="KaiTi" w:hint="eastAsia"/>
        </w:rPr>
        <w:t>。</w:t>
      </w:r>
    </w:p>
    <w:p w14:paraId="66B69A55" w14:textId="5CF712D2" w:rsidR="00EC7AE6" w:rsidRDefault="00EC7AE6" w:rsidP="00EC7AE6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截止1月30号的收盘数据，组合自成立起近15个月，累计增长8.37%，年内累计增长1.57%。</w:t>
      </w:r>
    </w:p>
    <w:p w14:paraId="662DE6A9" w14:textId="77777777" w:rsidR="00EC7AE6" w:rsidRDefault="00EC7AE6" w:rsidP="00EC7AE6">
      <w:pPr>
        <w:rPr>
          <w:rFonts w:ascii="KaiTi" w:eastAsia="KaiTi" w:hAnsi="KaiTi"/>
        </w:rPr>
      </w:pPr>
    </w:p>
    <w:p w14:paraId="064B9DC7" w14:textId="77777777" w:rsidR="00EC7AE6" w:rsidRPr="00B14E80" w:rsidRDefault="00EC7AE6" w:rsidP="00EC7AE6">
      <w:pPr>
        <w:rPr>
          <w:rFonts w:ascii="KaiTi" w:eastAsia="KaiTi" w:hAnsi="KaiTi"/>
          <w:b/>
          <w:bCs/>
        </w:rPr>
      </w:pPr>
      <w:r w:rsidRPr="000C1D9B">
        <w:rPr>
          <w:rFonts w:ascii="KaiTi" w:eastAsia="KaiTi" w:hAnsi="KaiTi" w:hint="eastAsia"/>
          <w:b/>
          <w:bCs/>
        </w:rPr>
        <w:t>组合2: 收息现金流 ILI CASH GENERATOR</w:t>
      </w:r>
    </w:p>
    <w:p w14:paraId="1DF0882D" w14:textId="77777777" w:rsidR="00EC7AE6" w:rsidRPr="000C1D9B" w:rsidRDefault="00EC7AE6" w:rsidP="00EC7AE6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该组合</w:t>
      </w:r>
      <w:r w:rsidRPr="000C1D9B">
        <w:rPr>
          <w:rFonts w:ascii="KaiTi" w:eastAsia="KaiTi" w:hAnsi="KaiTi" w:hint="eastAsia"/>
        </w:rPr>
        <w:t>选择派息型的基金，可以在投入后第一个月就开始收取分红，在储蓄分红险之外打造一个即时产生的被动现金流工具</w:t>
      </w:r>
      <w:r>
        <w:rPr>
          <w:rFonts w:ascii="KaiTi" w:eastAsia="KaiTi" w:hAnsi="KaiTi" w:hint="eastAsia"/>
        </w:rPr>
        <w:t>。该组合</w:t>
      </w:r>
      <w:r w:rsidRPr="000C1D9B">
        <w:rPr>
          <w:rFonts w:ascii="KaiTi" w:eastAsia="KaiTi" w:hAnsi="KaiTi" w:hint="eastAsia"/>
        </w:rPr>
        <w:t>通过</w:t>
      </w:r>
      <w:r>
        <w:rPr>
          <w:rFonts w:ascii="KaiTi" w:eastAsia="KaiTi" w:hAnsi="KaiTi" w:hint="eastAsia"/>
        </w:rPr>
        <w:t>美国</w:t>
      </w:r>
      <w:r w:rsidRPr="000C1D9B">
        <w:rPr>
          <w:rFonts w:ascii="KaiTi" w:eastAsia="KaiTi" w:hAnsi="KaiTi" w:hint="eastAsia"/>
        </w:rPr>
        <w:t>优质股票和固定收益的组合来实现，他们的配置比例为40%：</w:t>
      </w:r>
      <w:r>
        <w:rPr>
          <w:rFonts w:ascii="KaiTi" w:eastAsia="KaiTi" w:hAnsi="KaiTi" w:hint="eastAsia"/>
        </w:rPr>
        <w:t>60</w:t>
      </w:r>
      <w:r w:rsidRPr="000C1D9B">
        <w:rPr>
          <w:rFonts w:ascii="KaiTi" w:eastAsia="KaiTi" w:hAnsi="KaiTi" w:hint="eastAsia"/>
        </w:rPr>
        <w:t>%。</w:t>
      </w:r>
    </w:p>
    <w:p w14:paraId="2FA4F89F" w14:textId="77777777" w:rsidR="00EC7AE6" w:rsidRPr="000C1D9B" w:rsidRDefault="00EC7AE6" w:rsidP="00EC7AE6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初始投入约100万美金</w:t>
      </w:r>
      <w:r>
        <w:rPr>
          <w:rFonts w:ascii="KaiTi" w:eastAsia="KaiTi" w:hAnsi="KaiTi" w:hint="eastAsia"/>
        </w:rPr>
        <w:t>。</w:t>
      </w:r>
      <w:r w:rsidRPr="000C1D9B">
        <w:rPr>
          <w:rFonts w:ascii="KaiTi" w:eastAsia="KaiTi" w:hAnsi="KaiTi" w:hint="eastAsia"/>
        </w:rPr>
        <w:t>按照买入价格，大约可以产生年化6.5%的分红收益，并按月派发。</w:t>
      </w:r>
    </w:p>
    <w:p w14:paraId="66E2B02B" w14:textId="7F0B9B16" w:rsidR="00EC7AE6" w:rsidRDefault="00EC7AE6" w:rsidP="00EC7AE6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截止202</w:t>
      </w:r>
      <w:r>
        <w:rPr>
          <w:rFonts w:ascii="KaiTi" w:eastAsia="KaiTi" w:hAnsi="KaiTi" w:hint="eastAsia"/>
        </w:rPr>
        <w:t>6</w:t>
      </w:r>
      <w:r w:rsidRPr="000C1D9B">
        <w:rPr>
          <w:rFonts w:ascii="KaiTi" w:eastAsia="KaiTi" w:hAnsi="KaiTi" w:hint="eastAsia"/>
        </w:rPr>
        <w:t>年</w:t>
      </w:r>
      <w:r>
        <w:rPr>
          <w:rFonts w:ascii="KaiTi" w:eastAsia="KaiTi" w:hAnsi="KaiTi" w:hint="eastAsia"/>
        </w:rPr>
        <w:t>1</w:t>
      </w:r>
      <w:r w:rsidRPr="000C1D9B">
        <w:rPr>
          <w:rFonts w:ascii="KaiTi" w:eastAsia="KaiTi" w:hAnsi="KaiTi" w:hint="eastAsia"/>
        </w:rPr>
        <w:t>月</w:t>
      </w:r>
      <w:r>
        <w:rPr>
          <w:rFonts w:ascii="KaiTi" w:eastAsia="KaiTi" w:hAnsi="KaiTi" w:hint="eastAsia"/>
        </w:rPr>
        <w:t>30</w:t>
      </w:r>
      <w:r w:rsidRPr="000C1D9B">
        <w:rPr>
          <w:rFonts w:ascii="KaiTi" w:eastAsia="KaiTi" w:hAnsi="KaiTi" w:hint="eastAsia"/>
        </w:rPr>
        <w:t>日，组合运行情况：</w:t>
      </w:r>
    </w:p>
    <w:p w14:paraId="7AE35477" w14:textId="77777777" w:rsidR="0038461C" w:rsidRDefault="0038461C" w:rsidP="00EC7AE6">
      <w:pPr>
        <w:rPr>
          <w:rFonts w:ascii="KaiTi" w:eastAsia="KaiTi" w:hAnsi="KaiTi"/>
        </w:rPr>
      </w:pPr>
    </w:p>
    <w:p w14:paraId="057B73FE" w14:textId="77777777" w:rsidR="0038461C" w:rsidRDefault="0038461C" w:rsidP="00EC7AE6">
      <w:pPr>
        <w:rPr>
          <w:rFonts w:ascii="KaiTi" w:eastAsia="KaiTi" w:hAnsi="KaiTi"/>
        </w:rPr>
      </w:pPr>
    </w:p>
    <w:p w14:paraId="4512F167" w14:textId="77777777" w:rsidR="0038461C" w:rsidRDefault="0038461C" w:rsidP="00EC7AE6">
      <w:pPr>
        <w:rPr>
          <w:rFonts w:ascii="KaiTi" w:eastAsia="KaiTi" w:hAnsi="KaiT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215"/>
        <w:gridCol w:w="1218"/>
        <w:gridCol w:w="1585"/>
        <w:gridCol w:w="1251"/>
        <w:gridCol w:w="1251"/>
      </w:tblGrid>
      <w:tr w:rsidR="00EC7AE6" w:rsidRPr="00EC7AE6" w14:paraId="6101B908" w14:textId="77777777" w:rsidTr="00F82739">
        <w:trPr>
          <w:trHeight w:val="320"/>
        </w:trPr>
        <w:tc>
          <w:tcPr>
            <w:tcW w:w="2830" w:type="dxa"/>
            <w:noWrap/>
            <w:vAlign w:val="center"/>
            <w:hideMark/>
          </w:tcPr>
          <w:p w14:paraId="218D5B9B" w14:textId="77777777" w:rsidR="00EC7AE6" w:rsidRPr="00EC7AE6" w:rsidRDefault="00EC7AE6" w:rsidP="00F82739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215" w:type="dxa"/>
            <w:noWrap/>
            <w:vAlign w:val="center"/>
            <w:hideMark/>
          </w:tcPr>
          <w:p w14:paraId="4700180F" w14:textId="77777777" w:rsidR="00EC7AE6" w:rsidRPr="00EC7AE6" w:rsidRDefault="00EC7AE6" w:rsidP="00F82739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日期</w:t>
            </w:r>
          </w:p>
        </w:tc>
        <w:tc>
          <w:tcPr>
            <w:tcW w:w="1218" w:type="dxa"/>
            <w:noWrap/>
            <w:vAlign w:val="center"/>
            <w:hideMark/>
          </w:tcPr>
          <w:p w14:paraId="69A7CD9D" w14:textId="77777777" w:rsidR="00EC7AE6" w:rsidRPr="00EC7AE6" w:rsidRDefault="00EC7AE6" w:rsidP="00F82739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价格</w:t>
            </w:r>
          </w:p>
        </w:tc>
        <w:tc>
          <w:tcPr>
            <w:tcW w:w="1585" w:type="dxa"/>
            <w:noWrap/>
            <w:vAlign w:val="center"/>
            <w:hideMark/>
          </w:tcPr>
          <w:p w14:paraId="6587FBE4" w14:textId="77777777" w:rsidR="00EC7AE6" w:rsidRPr="00EC7AE6" w:rsidRDefault="00EC7AE6" w:rsidP="00F82739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金额</w:t>
            </w:r>
          </w:p>
        </w:tc>
        <w:tc>
          <w:tcPr>
            <w:tcW w:w="1251" w:type="dxa"/>
            <w:noWrap/>
            <w:vAlign w:val="center"/>
            <w:hideMark/>
          </w:tcPr>
          <w:p w14:paraId="2CD73D56" w14:textId="77777777" w:rsidR="00EC7AE6" w:rsidRPr="00EC7AE6" w:rsidRDefault="00EC7AE6" w:rsidP="00F82739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占比</w:t>
            </w:r>
          </w:p>
        </w:tc>
        <w:tc>
          <w:tcPr>
            <w:tcW w:w="1251" w:type="dxa"/>
            <w:noWrap/>
            <w:vAlign w:val="center"/>
            <w:hideMark/>
          </w:tcPr>
          <w:p w14:paraId="5858C81C" w14:textId="77777777" w:rsidR="00EC7AE6" w:rsidRPr="00EC7AE6" w:rsidRDefault="00EC7AE6" w:rsidP="00F82739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组合净值增长</w:t>
            </w:r>
          </w:p>
        </w:tc>
      </w:tr>
      <w:tr w:rsidR="00EC7AE6" w:rsidRPr="00EC7AE6" w14:paraId="68CDDA97" w14:textId="77777777" w:rsidTr="004B282F">
        <w:trPr>
          <w:trHeight w:val="320"/>
        </w:trPr>
        <w:tc>
          <w:tcPr>
            <w:tcW w:w="2830" w:type="dxa"/>
            <w:noWrap/>
            <w:vAlign w:val="center"/>
            <w:hideMark/>
          </w:tcPr>
          <w:p w14:paraId="1A244019" w14:textId="77777777" w:rsidR="00EC7AE6" w:rsidRPr="00EC7AE6" w:rsidRDefault="00EC7AE6" w:rsidP="00EC7AE6">
            <w:pPr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Z12美国中高等级债券基金</w:t>
            </w:r>
          </w:p>
        </w:tc>
        <w:tc>
          <w:tcPr>
            <w:tcW w:w="1215" w:type="dxa"/>
            <w:noWrap/>
            <w:vAlign w:val="center"/>
            <w:hideMark/>
          </w:tcPr>
          <w:p w14:paraId="7BBBD0E7" w14:textId="5D0BFD94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1/</w:t>
            </w:r>
            <w:r w:rsidR="0038461C">
              <w:rPr>
                <w:rFonts w:ascii="KaiTi" w:eastAsia="KaiTi" w:hAnsi="KaiTi" w:hint="eastAsia"/>
                <w:sz w:val="22"/>
                <w:szCs w:val="22"/>
              </w:rPr>
              <w:t>30</w:t>
            </w:r>
            <w:r w:rsidRPr="00EC7AE6">
              <w:rPr>
                <w:rFonts w:ascii="KaiTi" w:eastAsia="KaiTi" w:hAnsi="KaiTi"/>
                <w:sz w:val="22"/>
                <w:szCs w:val="22"/>
              </w:rPr>
              <w:t>/2</w:t>
            </w:r>
            <w:r w:rsidR="0038461C">
              <w:rPr>
                <w:rFonts w:ascii="KaiTi" w:eastAsia="KaiTi" w:hAnsi="KaiTi" w:hint="eastAsia"/>
                <w:sz w:val="22"/>
                <w:szCs w:val="22"/>
              </w:rPr>
              <w:t>6</w:t>
            </w:r>
          </w:p>
        </w:tc>
        <w:tc>
          <w:tcPr>
            <w:tcW w:w="1218" w:type="dxa"/>
            <w:noWrap/>
            <w:vAlign w:val="center"/>
            <w:hideMark/>
          </w:tcPr>
          <w:p w14:paraId="6F4A153E" w14:textId="51DF1E65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7.7</w:t>
            </w:r>
            <w:r w:rsidRPr="00EC7AE6">
              <w:rPr>
                <w:rFonts w:ascii="KaiTi" w:eastAsia="KaiTi" w:hAnsi="KaiTi" w:hint="eastAsia"/>
                <w:sz w:val="22"/>
                <w:szCs w:val="22"/>
              </w:rPr>
              <w:t>5</w:t>
            </w:r>
          </w:p>
        </w:tc>
        <w:tc>
          <w:tcPr>
            <w:tcW w:w="1585" w:type="dxa"/>
            <w:noWrap/>
            <w:hideMark/>
          </w:tcPr>
          <w:p w14:paraId="081DD7F3" w14:textId="36D214A2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595393.75</w:t>
            </w:r>
          </w:p>
        </w:tc>
        <w:tc>
          <w:tcPr>
            <w:tcW w:w="1251" w:type="dxa"/>
            <w:noWrap/>
            <w:vAlign w:val="center"/>
            <w:hideMark/>
          </w:tcPr>
          <w:p w14:paraId="7BF23275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59%</w:t>
            </w:r>
          </w:p>
        </w:tc>
        <w:tc>
          <w:tcPr>
            <w:tcW w:w="1251" w:type="dxa"/>
            <w:noWrap/>
            <w:vAlign w:val="center"/>
            <w:hideMark/>
          </w:tcPr>
          <w:p w14:paraId="1586A0A7" w14:textId="55D8C4F2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color w:val="000000"/>
                <w:sz w:val="22"/>
                <w:szCs w:val="22"/>
              </w:rPr>
              <w:t>-0.77%</w:t>
            </w:r>
          </w:p>
        </w:tc>
      </w:tr>
      <w:tr w:rsidR="00EC7AE6" w:rsidRPr="00EC7AE6" w14:paraId="3B028B0E" w14:textId="77777777" w:rsidTr="004B282F">
        <w:trPr>
          <w:trHeight w:val="320"/>
        </w:trPr>
        <w:tc>
          <w:tcPr>
            <w:tcW w:w="2830" w:type="dxa"/>
            <w:noWrap/>
            <w:vAlign w:val="center"/>
            <w:hideMark/>
          </w:tcPr>
          <w:p w14:paraId="3C47CE56" w14:textId="77777777" w:rsidR="00EC7AE6" w:rsidRPr="00EC7AE6" w:rsidRDefault="00EC7AE6" w:rsidP="00EC7AE6">
            <w:pPr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Z17美国优质股权基金</w:t>
            </w:r>
          </w:p>
        </w:tc>
        <w:tc>
          <w:tcPr>
            <w:tcW w:w="1215" w:type="dxa"/>
            <w:noWrap/>
            <w:vAlign w:val="center"/>
            <w:hideMark/>
          </w:tcPr>
          <w:p w14:paraId="29C3A045" w14:textId="4C315DD8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1/</w:t>
            </w:r>
            <w:r w:rsidR="0038461C">
              <w:rPr>
                <w:rFonts w:ascii="KaiTi" w:eastAsia="KaiTi" w:hAnsi="KaiTi" w:hint="eastAsia"/>
                <w:sz w:val="22"/>
                <w:szCs w:val="22"/>
              </w:rPr>
              <w:t>30</w:t>
            </w:r>
            <w:r w:rsidRPr="00EC7AE6">
              <w:rPr>
                <w:rFonts w:ascii="KaiTi" w:eastAsia="KaiTi" w:hAnsi="KaiTi"/>
                <w:sz w:val="22"/>
                <w:szCs w:val="22"/>
              </w:rPr>
              <w:t>/2</w:t>
            </w:r>
            <w:r w:rsidR="0038461C">
              <w:rPr>
                <w:rFonts w:ascii="KaiTi" w:eastAsia="KaiTi" w:hAnsi="KaiTi" w:hint="eastAsia"/>
                <w:sz w:val="22"/>
                <w:szCs w:val="22"/>
              </w:rPr>
              <w:t>6</w:t>
            </w:r>
          </w:p>
        </w:tc>
        <w:tc>
          <w:tcPr>
            <w:tcW w:w="1218" w:type="dxa"/>
            <w:noWrap/>
            <w:vAlign w:val="center"/>
            <w:hideMark/>
          </w:tcPr>
          <w:p w14:paraId="50E8478A" w14:textId="2033381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9.</w:t>
            </w:r>
            <w:r w:rsidRPr="00EC7AE6">
              <w:rPr>
                <w:rFonts w:ascii="KaiTi" w:eastAsia="KaiTi" w:hAnsi="KaiTi" w:hint="eastAsia"/>
                <w:sz w:val="22"/>
                <w:szCs w:val="22"/>
              </w:rPr>
              <w:t>46</w:t>
            </w:r>
          </w:p>
        </w:tc>
        <w:tc>
          <w:tcPr>
            <w:tcW w:w="1585" w:type="dxa"/>
            <w:noWrap/>
            <w:hideMark/>
          </w:tcPr>
          <w:p w14:paraId="7A0D561E" w14:textId="07A7082B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419503.7</w:t>
            </w:r>
          </w:p>
        </w:tc>
        <w:tc>
          <w:tcPr>
            <w:tcW w:w="1251" w:type="dxa"/>
            <w:noWrap/>
            <w:vAlign w:val="center"/>
            <w:hideMark/>
          </w:tcPr>
          <w:p w14:paraId="6CADA6B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41%</w:t>
            </w:r>
          </w:p>
        </w:tc>
        <w:tc>
          <w:tcPr>
            <w:tcW w:w="1251" w:type="dxa"/>
            <w:noWrap/>
            <w:vAlign w:val="center"/>
            <w:hideMark/>
          </w:tcPr>
          <w:p w14:paraId="5CE0E6C9" w14:textId="765F9ACD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color w:val="000000"/>
                <w:sz w:val="22"/>
                <w:szCs w:val="22"/>
              </w:rPr>
              <w:t>4.88%</w:t>
            </w:r>
          </w:p>
        </w:tc>
      </w:tr>
      <w:tr w:rsidR="00EC7AE6" w:rsidRPr="00EC7AE6" w14:paraId="14D1CC85" w14:textId="77777777" w:rsidTr="004B282F">
        <w:trPr>
          <w:trHeight w:val="320"/>
        </w:trPr>
        <w:tc>
          <w:tcPr>
            <w:tcW w:w="2830" w:type="dxa"/>
            <w:noWrap/>
            <w:vAlign w:val="center"/>
            <w:hideMark/>
          </w:tcPr>
          <w:p w14:paraId="6B9D7059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合计</w:t>
            </w:r>
          </w:p>
        </w:tc>
        <w:tc>
          <w:tcPr>
            <w:tcW w:w="1215" w:type="dxa"/>
            <w:noWrap/>
            <w:vAlign w:val="center"/>
            <w:hideMark/>
          </w:tcPr>
          <w:p w14:paraId="11EC057D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218" w:type="dxa"/>
            <w:noWrap/>
            <w:vAlign w:val="center"/>
            <w:hideMark/>
          </w:tcPr>
          <w:p w14:paraId="269B4954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585" w:type="dxa"/>
            <w:noWrap/>
            <w:hideMark/>
          </w:tcPr>
          <w:p w14:paraId="2E58E8D8" w14:textId="15E62EDB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1014897.45</w:t>
            </w:r>
          </w:p>
        </w:tc>
        <w:tc>
          <w:tcPr>
            <w:tcW w:w="1251" w:type="dxa"/>
            <w:noWrap/>
            <w:vAlign w:val="center"/>
            <w:hideMark/>
          </w:tcPr>
          <w:p w14:paraId="23E96B54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100%</w:t>
            </w:r>
          </w:p>
        </w:tc>
        <w:tc>
          <w:tcPr>
            <w:tcW w:w="1251" w:type="dxa"/>
            <w:noWrap/>
            <w:vAlign w:val="center"/>
            <w:hideMark/>
          </w:tcPr>
          <w:p w14:paraId="4CC74C95" w14:textId="63E3B78A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color w:val="000000"/>
                <w:sz w:val="22"/>
                <w:szCs w:val="22"/>
              </w:rPr>
              <w:t>1.49%</w:t>
            </w:r>
          </w:p>
        </w:tc>
      </w:tr>
    </w:tbl>
    <w:p w14:paraId="4F9FBC5E" w14:textId="77777777" w:rsidR="00EC7AE6" w:rsidRPr="00344E79" w:rsidRDefault="00EC7AE6" w:rsidP="00EC7AE6">
      <w:pPr>
        <w:rPr>
          <w:rFonts w:ascii="KaiTi" w:eastAsia="KaiTi" w:hAnsi="KaiTi"/>
          <w:sz w:val="22"/>
          <w:szCs w:val="22"/>
        </w:rPr>
      </w:pPr>
    </w:p>
    <w:p w14:paraId="3E0A48E0" w14:textId="0664D756" w:rsidR="00EC7AE6" w:rsidRDefault="00EC7AE6" w:rsidP="00EC7AE6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从账面价格来看，本组合</w:t>
      </w:r>
      <w:r>
        <w:rPr>
          <w:rFonts w:ascii="KaiTi" w:eastAsia="KaiTi" w:hAnsi="KaiTi" w:hint="eastAsia"/>
        </w:rPr>
        <w:t>净值累计</w:t>
      </w:r>
      <w:r w:rsidRPr="000C1D9B">
        <w:rPr>
          <w:rFonts w:ascii="KaiTi" w:eastAsia="KaiTi" w:hAnsi="KaiTi" w:hint="eastAsia"/>
        </w:rPr>
        <w:t>表现为</w:t>
      </w:r>
      <w:r>
        <w:rPr>
          <w:rFonts w:ascii="KaiTi" w:eastAsia="KaiTi" w:hAnsi="KaiTi" w:hint="eastAsia"/>
        </w:rPr>
        <w:t>1.49</w:t>
      </w:r>
      <w:r w:rsidRPr="000C1D9B">
        <w:rPr>
          <w:rFonts w:ascii="KaiTi" w:eastAsia="KaiTi" w:hAnsi="KaiTi" w:hint="eastAsia"/>
        </w:rPr>
        <w:t>%，但如果加上</w:t>
      </w:r>
      <w:r>
        <w:rPr>
          <w:rFonts w:ascii="KaiTi" w:eastAsia="KaiTi" w:hAnsi="KaiTi" w:hint="eastAsia"/>
        </w:rPr>
        <w:t>累计</w:t>
      </w:r>
      <w:r w:rsidRPr="000C1D9B">
        <w:rPr>
          <w:rFonts w:ascii="KaiTi" w:eastAsia="KaiTi" w:hAnsi="KaiTi" w:hint="eastAsia"/>
        </w:rPr>
        <w:t>发放</w:t>
      </w:r>
      <w:r>
        <w:rPr>
          <w:rFonts w:ascii="KaiTi" w:eastAsia="KaiTi" w:hAnsi="KaiTi" w:hint="eastAsia"/>
        </w:rPr>
        <w:t>的</w:t>
      </w:r>
      <w:r w:rsidRPr="000C1D9B">
        <w:rPr>
          <w:rFonts w:ascii="KaiTi" w:eastAsia="KaiTi" w:hAnsi="KaiTi" w:hint="eastAsia"/>
        </w:rPr>
        <w:t>分红，</w:t>
      </w:r>
      <w:r>
        <w:rPr>
          <w:rFonts w:ascii="KaiTi" w:eastAsia="KaiTi" w:hAnsi="KaiTi" w:hint="eastAsia"/>
        </w:rPr>
        <w:t>组合</w:t>
      </w:r>
      <w:r w:rsidRPr="000C1D9B">
        <w:rPr>
          <w:rFonts w:ascii="KaiTi" w:eastAsia="KaiTi" w:hAnsi="KaiTi" w:hint="eastAsia"/>
        </w:rPr>
        <w:t>整体</w:t>
      </w:r>
      <w:r>
        <w:rPr>
          <w:rFonts w:ascii="KaiTi" w:eastAsia="KaiTi" w:hAnsi="KaiTi" w:hint="eastAsia"/>
        </w:rPr>
        <w:t>累积收益为</w:t>
      </w:r>
      <w:r>
        <w:rPr>
          <w:rFonts w:ascii="KaiTi" w:eastAsia="KaiTi" w:hAnsi="KaiTi" w:hint="eastAsia"/>
          <w:color w:val="FF0000"/>
        </w:rPr>
        <w:t>9.85</w:t>
      </w:r>
      <w:r w:rsidRPr="00BC62AF">
        <w:rPr>
          <w:rFonts w:ascii="KaiTi" w:eastAsia="KaiTi" w:hAnsi="KaiTi" w:hint="eastAsia"/>
          <w:b/>
          <w:bCs/>
          <w:color w:val="FF0000"/>
        </w:rPr>
        <w:t>%</w:t>
      </w:r>
      <w:r w:rsidRPr="000C1D9B">
        <w:rPr>
          <w:rFonts w:ascii="KaiTi" w:eastAsia="KaiTi" w:hAnsi="KaiTi" w:hint="eastAsia"/>
        </w:rPr>
        <w:t>。</w:t>
      </w:r>
    </w:p>
    <w:p w14:paraId="2B9A9457" w14:textId="13661BAE" w:rsidR="00EC7AE6" w:rsidRDefault="00EC7AE6" w:rsidP="00EC7AE6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自2024年10月到26年1月，</w:t>
      </w:r>
      <w:r w:rsidRPr="000C1D9B">
        <w:rPr>
          <w:rFonts w:ascii="KaiTi" w:eastAsia="KaiTi" w:hAnsi="KaiTi" w:hint="eastAsia"/>
        </w:rPr>
        <w:t>Z12美国中高等级债券基金</w:t>
      </w:r>
      <w:r>
        <w:rPr>
          <w:rFonts w:ascii="KaiTi" w:eastAsia="KaiTi" w:hAnsi="KaiTi" w:hint="eastAsia"/>
        </w:rPr>
        <w:t>每月</w:t>
      </w:r>
      <w:r w:rsidRPr="000C1D9B">
        <w:rPr>
          <w:rFonts w:ascii="KaiTi" w:eastAsia="KaiTi" w:hAnsi="KaiTi" w:hint="eastAsia"/>
        </w:rPr>
        <w:t>派发</w:t>
      </w:r>
      <w:r>
        <w:rPr>
          <w:rFonts w:ascii="KaiTi" w:eastAsia="KaiTi" w:hAnsi="KaiTi" w:hint="eastAsia"/>
        </w:rPr>
        <w:t>分红</w:t>
      </w:r>
      <w:r w:rsidRPr="000C1D9B">
        <w:rPr>
          <w:rFonts w:ascii="KaiTi" w:eastAsia="KaiTi" w:hAnsi="KaiTi" w:hint="eastAsia"/>
        </w:rPr>
        <w:t>$0.04/股</w:t>
      </w:r>
      <w:r>
        <w:rPr>
          <w:rFonts w:ascii="KaiTi" w:eastAsia="KaiTi" w:hAnsi="KaiTi" w:hint="eastAsia"/>
        </w:rPr>
        <w:t>。</w:t>
      </w:r>
      <w:r w:rsidRPr="000C1D9B">
        <w:rPr>
          <w:rFonts w:ascii="KaiTi" w:eastAsia="KaiTi" w:hAnsi="KaiTi" w:hint="eastAsia"/>
        </w:rPr>
        <w:t>Z17美国优质股权基金</w:t>
      </w:r>
      <w:r>
        <w:rPr>
          <w:rFonts w:ascii="KaiTi" w:eastAsia="KaiTi" w:hAnsi="KaiTi" w:hint="eastAsia"/>
        </w:rPr>
        <w:t>现时月度分红派发</w:t>
      </w:r>
      <w:r w:rsidRPr="000C1D9B">
        <w:rPr>
          <w:rFonts w:ascii="KaiTi" w:eastAsia="KaiTi" w:hAnsi="KaiTi" w:hint="eastAsia"/>
        </w:rPr>
        <w:t>$0.0</w:t>
      </w:r>
      <w:r>
        <w:rPr>
          <w:rFonts w:ascii="KaiTi" w:eastAsia="KaiTi" w:hAnsi="KaiTi" w:hint="eastAsia"/>
        </w:rPr>
        <w:t>62</w:t>
      </w:r>
      <w:r w:rsidRPr="000C1D9B">
        <w:rPr>
          <w:rFonts w:ascii="KaiTi" w:eastAsia="KaiTi" w:hAnsi="KaiTi" w:hint="eastAsia"/>
        </w:rPr>
        <w:t>/股。</w:t>
      </w:r>
    </w:p>
    <w:p w14:paraId="3CF3F48F" w14:textId="77777777" w:rsidR="00EC7AE6" w:rsidRPr="001E195B" w:rsidRDefault="00EC7AE6" w:rsidP="00EC7AE6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合计投资者</w:t>
      </w:r>
      <w:r>
        <w:rPr>
          <w:rFonts w:ascii="KaiTi" w:eastAsia="KaiTi" w:hAnsi="KaiTi" w:hint="eastAsia"/>
        </w:rPr>
        <w:t>已累计</w:t>
      </w:r>
      <w:r w:rsidRPr="000C1D9B">
        <w:rPr>
          <w:rFonts w:ascii="KaiTi" w:eastAsia="KaiTi" w:hAnsi="KaiTi" w:hint="eastAsia"/>
        </w:rPr>
        <w:t>获得</w:t>
      </w:r>
      <w:r>
        <w:rPr>
          <w:rFonts w:ascii="KaiTi" w:eastAsia="KaiTi" w:hAnsi="KaiTi" w:hint="eastAsia"/>
        </w:rPr>
        <w:t>15期，合计</w:t>
      </w:r>
      <w:r w:rsidRPr="000C1D9B">
        <w:rPr>
          <w:rFonts w:ascii="KaiTi" w:eastAsia="KaiTi" w:hAnsi="KaiTi" w:hint="eastAsia"/>
        </w:rPr>
        <w:t>$</w:t>
      </w:r>
      <w:r>
        <w:rPr>
          <w:rFonts w:ascii="KaiTi" w:eastAsia="KaiTi" w:hAnsi="KaiTi" w:hint="eastAsia"/>
        </w:rPr>
        <w:t>83589（折合人民币60.18万元，汇率按照7.2计算）</w:t>
      </w:r>
      <w:r w:rsidRPr="000C1D9B">
        <w:rPr>
          <w:rFonts w:ascii="KaiTi" w:eastAsia="KaiTi" w:hAnsi="KaiTi" w:hint="eastAsia"/>
        </w:rPr>
        <w:t>的现金流收入，派息</w:t>
      </w:r>
      <w:r>
        <w:rPr>
          <w:rFonts w:ascii="KaiTi" w:eastAsia="KaiTi" w:hAnsi="KaiTi" w:hint="eastAsia"/>
        </w:rPr>
        <w:t>年化</w:t>
      </w:r>
      <w:r w:rsidRPr="000C1D9B">
        <w:rPr>
          <w:rFonts w:ascii="KaiTi" w:eastAsia="KaiTi" w:hAnsi="KaiTi" w:hint="eastAsia"/>
        </w:rPr>
        <w:t>收益率为</w:t>
      </w:r>
      <w:r>
        <w:rPr>
          <w:rFonts w:ascii="KaiTi" w:eastAsia="KaiTi" w:hAnsi="KaiTi" w:hint="eastAsia"/>
          <w:color w:val="FF0000"/>
        </w:rPr>
        <w:t>6.69</w:t>
      </w:r>
      <w:r w:rsidRPr="00F51BCD">
        <w:rPr>
          <w:rFonts w:ascii="KaiTi" w:eastAsia="KaiTi" w:hAnsi="KaiTi" w:hint="eastAsia"/>
          <w:color w:val="FF0000"/>
        </w:rPr>
        <w:t>%</w:t>
      </w:r>
      <w:r w:rsidRPr="00F51BCD">
        <w:rPr>
          <w:rFonts w:ascii="KaiTi" w:eastAsia="KaiTi" w:hAnsi="KaiTi" w:hint="eastAsia"/>
          <w:color w:val="000000" w:themeColor="text1"/>
        </w:rPr>
        <w:t>（按照初始投资金额计算）</w:t>
      </w:r>
      <w:r w:rsidRPr="000C1D9B">
        <w:rPr>
          <w:rFonts w:ascii="KaiTi" w:eastAsia="KaiTi" w:hAnsi="KaiTi" w:hint="eastAsia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670"/>
        <w:gridCol w:w="943"/>
        <w:gridCol w:w="943"/>
        <w:gridCol w:w="1119"/>
        <w:gridCol w:w="986"/>
        <w:gridCol w:w="943"/>
        <w:gridCol w:w="943"/>
      </w:tblGrid>
      <w:tr w:rsidR="00EC7AE6" w:rsidRPr="00EC7AE6" w14:paraId="19B589A9" w14:textId="77777777" w:rsidTr="00EC7AE6">
        <w:trPr>
          <w:trHeight w:val="320"/>
        </w:trPr>
        <w:tc>
          <w:tcPr>
            <w:tcW w:w="1803" w:type="dxa"/>
            <w:noWrap/>
            <w:vAlign w:val="center"/>
            <w:hideMark/>
          </w:tcPr>
          <w:p w14:paraId="75F9E6D7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基金名称</w:t>
            </w:r>
          </w:p>
        </w:tc>
        <w:tc>
          <w:tcPr>
            <w:tcW w:w="1670" w:type="dxa"/>
            <w:noWrap/>
            <w:vAlign w:val="center"/>
            <w:hideMark/>
          </w:tcPr>
          <w:p w14:paraId="0F19CC61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除净日期</w:t>
            </w:r>
          </w:p>
        </w:tc>
        <w:tc>
          <w:tcPr>
            <w:tcW w:w="943" w:type="dxa"/>
            <w:noWrap/>
            <w:vAlign w:val="center"/>
            <w:hideMark/>
          </w:tcPr>
          <w:p w14:paraId="6BC26BE5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每单位派发</w:t>
            </w:r>
          </w:p>
        </w:tc>
        <w:tc>
          <w:tcPr>
            <w:tcW w:w="943" w:type="dxa"/>
            <w:noWrap/>
            <w:vAlign w:val="center"/>
            <w:hideMark/>
          </w:tcPr>
          <w:p w14:paraId="1CB2150C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持有份额</w:t>
            </w:r>
          </w:p>
        </w:tc>
        <w:tc>
          <w:tcPr>
            <w:tcW w:w="1119" w:type="dxa"/>
            <w:noWrap/>
            <w:vAlign w:val="center"/>
            <w:hideMark/>
          </w:tcPr>
          <w:p w14:paraId="76DE3390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派发合计</w:t>
            </w:r>
          </w:p>
        </w:tc>
        <w:tc>
          <w:tcPr>
            <w:tcW w:w="986" w:type="dxa"/>
            <w:noWrap/>
            <w:vAlign w:val="center"/>
            <w:hideMark/>
          </w:tcPr>
          <w:p w14:paraId="456D2315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初始投资额</w:t>
            </w:r>
          </w:p>
        </w:tc>
        <w:tc>
          <w:tcPr>
            <w:tcW w:w="943" w:type="dxa"/>
            <w:noWrap/>
            <w:vAlign w:val="center"/>
            <w:hideMark/>
          </w:tcPr>
          <w:p w14:paraId="06E7BB91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月度派息收益率</w:t>
            </w:r>
          </w:p>
        </w:tc>
        <w:tc>
          <w:tcPr>
            <w:tcW w:w="943" w:type="dxa"/>
            <w:noWrap/>
            <w:vAlign w:val="center"/>
            <w:hideMark/>
          </w:tcPr>
          <w:p w14:paraId="0313627A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年化派息收益率</w:t>
            </w:r>
          </w:p>
        </w:tc>
      </w:tr>
      <w:tr w:rsidR="00EC7AE6" w:rsidRPr="00EC7AE6" w14:paraId="177EE3DE" w14:textId="77777777" w:rsidTr="00EC7AE6">
        <w:trPr>
          <w:trHeight w:val="320"/>
        </w:trPr>
        <w:tc>
          <w:tcPr>
            <w:tcW w:w="1803" w:type="dxa"/>
            <w:vMerge w:val="restart"/>
            <w:noWrap/>
            <w:vAlign w:val="center"/>
            <w:hideMark/>
          </w:tcPr>
          <w:p w14:paraId="646ED9BC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Z12 美国中高等级债券基金</w:t>
            </w:r>
          </w:p>
        </w:tc>
        <w:tc>
          <w:tcPr>
            <w:tcW w:w="1670" w:type="dxa"/>
            <w:noWrap/>
            <w:vAlign w:val="center"/>
            <w:hideMark/>
          </w:tcPr>
          <w:p w14:paraId="0BA3DAC4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11/1/24</w:t>
            </w:r>
          </w:p>
        </w:tc>
        <w:tc>
          <w:tcPr>
            <w:tcW w:w="943" w:type="dxa"/>
            <w:noWrap/>
            <w:vAlign w:val="center"/>
            <w:hideMark/>
          </w:tcPr>
          <w:p w14:paraId="280C4009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790160E6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44EF4A45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2B011681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63C919BE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34ED87C8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EC7AE6" w:rsidRPr="00EC7AE6" w14:paraId="4D43C819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79F877D0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4C19614B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12/2/24</w:t>
            </w:r>
          </w:p>
        </w:tc>
        <w:tc>
          <w:tcPr>
            <w:tcW w:w="943" w:type="dxa"/>
            <w:noWrap/>
            <w:vAlign w:val="center"/>
            <w:hideMark/>
          </w:tcPr>
          <w:p w14:paraId="04B6685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64CCBEBE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1DBE7EA1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300CA6C7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7066F449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38B6861D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EC7AE6" w:rsidRPr="00EC7AE6" w14:paraId="0DB38369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3C603E73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534893AC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12/30/24</w:t>
            </w:r>
          </w:p>
        </w:tc>
        <w:tc>
          <w:tcPr>
            <w:tcW w:w="943" w:type="dxa"/>
            <w:noWrap/>
            <w:vAlign w:val="center"/>
            <w:hideMark/>
          </w:tcPr>
          <w:p w14:paraId="22561BC8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5C748984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7DCC8030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295EBF94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32E85A45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16DBEA2D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EC7AE6" w:rsidRPr="00EC7AE6" w14:paraId="4FB0B77B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3AC51C6D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36E04DCD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1/31/25</w:t>
            </w:r>
          </w:p>
        </w:tc>
        <w:tc>
          <w:tcPr>
            <w:tcW w:w="943" w:type="dxa"/>
            <w:noWrap/>
            <w:vAlign w:val="center"/>
            <w:hideMark/>
          </w:tcPr>
          <w:p w14:paraId="561580E5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11FEBFB7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750D7FE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21EFE7FB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0BA34ACC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127939F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EC7AE6" w:rsidRPr="00EC7AE6" w14:paraId="301C17DE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497BB6DC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2A22F336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3/3/25</w:t>
            </w:r>
          </w:p>
        </w:tc>
        <w:tc>
          <w:tcPr>
            <w:tcW w:w="943" w:type="dxa"/>
            <w:noWrap/>
            <w:vAlign w:val="center"/>
            <w:hideMark/>
          </w:tcPr>
          <w:p w14:paraId="19D91791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3869CAF3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4D9BABBC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681834DE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03B1263B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3E146965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EC7AE6" w:rsidRPr="00EC7AE6" w14:paraId="753FADA8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40CC60C3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7BA8ECC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4/1/25</w:t>
            </w:r>
          </w:p>
        </w:tc>
        <w:tc>
          <w:tcPr>
            <w:tcW w:w="943" w:type="dxa"/>
            <w:noWrap/>
            <w:vAlign w:val="center"/>
            <w:hideMark/>
          </w:tcPr>
          <w:p w14:paraId="1A8FB91A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16BCE035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66F208D9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6E4A647D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36FE12AF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4C1FA667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EC7AE6" w:rsidRPr="00EC7AE6" w14:paraId="06B8B659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26F609FB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47E9B714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5/1/25</w:t>
            </w:r>
          </w:p>
        </w:tc>
        <w:tc>
          <w:tcPr>
            <w:tcW w:w="943" w:type="dxa"/>
            <w:noWrap/>
            <w:vAlign w:val="center"/>
            <w:hideMark/>
          </w:tcPr>
          <w:p w14:paraId="6C214C6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547C4ECD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3FE7EA69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3F18931D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2CD098A0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597C0AD7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EC7AE6" w:rsidRPr="00EC7AE6" w14:paraId="2A9A3136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7738187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3E0EBC6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6/2/25</w:t>
            </w:r>
          </w:p>
        </w:tc>
        <w:tc>
          <w:tcPr>
            <w:tcW w:w="943" w:type="dxa"/>
            <w:noWrap/>
            <w:vAlign w:val="center"/>
            <w:hideMark/>
          </w:tcPr>
          <w:p w14:paraId="565DD5E4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68E360F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760B0AF0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20AF9007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0A35132B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312D1C0F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EC7AE6" w:rsidRPr="00EC7AE6" w14:paraId="713ECA8D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785E9C36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609BBB47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7/1/25</w:t>
            </w:r>
          </w:p>
        </w:tc>
        <w:tc>
          <w:tcPr>
            <w:tcW w:w="943" w:type="dxa"/>
            <w:noWrap/>
            <w:vAlign w:val="center"/>
            <w:hideMark/>
          </w:tcPr>
          <w:p w14:paraId="516C6FC7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48090F17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1E94D17B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4E351348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65318274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3766790D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EC7AE6" w:rsidRPr="00EC7AE6" w14:paraId="0F08E87F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10ED7378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007379D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8/1/25</w:t>
            </w:r>
          </w:p>
        </w:tc>
        <w:tc>
          <w:tcPr>
            <w:tcW w:w="943" w:type="dxa"/>
            <w:noWrap/>
            <w:vAlign w:val="center"/>
            <w:hideMark/>
          </w:tcPr>
          <w:p w14:paraId="69151BBE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69D6398A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5A6A4F8E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3B7ACE0F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713FD64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390BA6C0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EC7AE6" w:rsidRPr="00EC7AE6" w14:paraId="402FF8D7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63CC145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273472DF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9/2/25</w:t>
            </w:r>
          </w:p>
        </w:tc>
        <w:tc>
          <w:tcPr>
            <w:tcW w:w="943" w:type="dxa"/>
            <w:noWrap/>
            <w:vAlign w:val="center"/>
            <w:hideMark/>
          </w:tcPr>
          <w:p w14:paraId="222789C3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61DCD2E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6F930828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76ACE17C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61535518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54F46E15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EC7AE6" w:rsidRPr="00EC7AE6" w14:paraId="1DF5A7F2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0B6A2873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029E7D2D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10/1/25</w:t>
            </w:r>
          </w:p>
        </w:tc>
        <w:tc>
          <w:tcPr>
            <w:tcW w:w="943" w:type="dxa"/>
            <w:noWrap/>
            <w:vAlign w:val="center"/>
            <w:hideMark/>
          </w:tcPr>
          <w:p w14:paraId="1534E01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2884D947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0B902EE5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3563C036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4ED1BA39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5EE1F80B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EC7AE6" w:rsidRPr="00EC7AE6" w14:paraId="4EC79295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7438C29B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408EB064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11/3/25</w:t>
            </w:r>
          </w:p>
        </w:tc>
        <w:tc>
          <w:tcPr>
            <w:tcW w:w="943" w:type="dxa"/>
            <w:noWrap/>
            <w:vAlign w:val="center"/>
            <w:hideMark/>
          </w:tcPr>
          <w:p w14:paraId="3D11BE60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6CC13EBE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4C90DF0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6CC81D6D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541DC64C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154D3A70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EC7AE6" w:rsidRPr="00EC7AE6" w14:paraId="7AEDCF3B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594F4B4C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52089566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12/1/25</w:t>
            </w:r>
          </w:p>
        </w:tc>
        <w:tc>
          <w:tcPr>
            <w:tcW w:w="943" w:type="dxa"/>
            <w:noWrap/>
            <w:vAlign w:val="center"/>
            <w:hideMark/>
          </w:tcPr>
          <w:p w14:paraId="2E584E63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0CC3E7C3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529ED55E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326C5376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00CAA75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798192E8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EC7AE6" w:rsidRPr="00EC7AE6" w14:paraId="686A113D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103406E5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36F9276E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1/2/26</w:t>
            </w:r>
          </w:p>
        </w:tc>
        <w:tc>
          <w:tcPr>
            <w:tcW w:w="943" w:type="dxa"/>
            <w:noWrap/>
            <w:vAlign w:val="center"/>
            <w:hideMark/>
          </w:tcPr>
          <w:p w14:paraId="0F6A6F3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0138888A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70DAD286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15CB47F5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329448D0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7DBA1FFC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EC7AE6" w:rsidRPr="00EC7AE6" w14:paraId="613A8707" w14:textId="77777777" w:rsidTr="00EC7AE6">
        <w:trPr>
          <w:trHeight w:val="320"/>
        </w:trPr>
        <w:tc>
          <w:tcPr>
            <w:tcW w:w="1803" w:type="dxa"/>
            <w:vMerge w:val="restart"/>
            <w:noWrap/>
            <w:vAlign w:val="center"/>
            <w:hideMark/>
          </w:tcPr>
          <w:p w14:paraId="48243364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Z17 美国优质股权基金</w:t>
            </w:r>
          </w:p>
        </w:tc>
        <w:tc>
          <w:tcPr>
            <w:tcW w:w="1670" w:type="dxa"/>
            <w:noWrap/>
            <w:vAlign w:val="center"/>
            <w:hideMark/>
          </w:tcPr>
          <w:p w14:paraId="2FD46230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10/30/24</w:t>
            </w:r>
          </w:p>
        </w:tc>
        <w:tc>
          <w:tcPr>
            <w:tcW w:w="943" w:type="dxa"/>
            <w:noWrap/>
            <w:vAlign w:val="center"/>
            <w:hideMark/>
          </w:tcPr>
          <w:p w14:paraId="01C7A3A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0.054</w:t>
            </w:r>
          </w:p>
        </w:tc>
        <w:tc>
          <w:tcPr>
            <w:tcW w:w="943" w:type="dxa"/>
            <w:noWrap/>
            <w:vAlign w:val="center"/>
            <w:hideMark/>
          </w:tcPr>
          <w:p w14:paraId="62DD294F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5986A307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2395</w:t>
            </w:r>
          </w:p>
        </w:tc>
        <w:tc>
          <w:tcPr>
            <w:tcW w:w="986" w:type="dxa"/>
            <w:noWrap/>
            <w:vAlign w:val="center"/>
            <w:hideMark/>
          </w:tcPr>
          <w:p w14:paraId="1D292088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4DD1C4D7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43" w:type="dxa"/>
            <w:noWrap/>
            <w:vAlign w:val="center"/>
            <w:hideMark/>
          </w:tcPr>
          <w:p w14:paraId="0379583B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7.18%</w:t>
            </w:r>
          </w:p>
        </w:tc>
      </w:tr>
      <w:tr w:rsidR="00EC7AE6" w:rsidRPr="00EC7AE6" w14:paraId="49668698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1D5B0F35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49631ACD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11/28/24</w:t>
            </w:r>
          </w:p>
        </w:tc>
        <w:tc>
          <w:tcPr>
            <w:tcW w:w="943" w:type="dxa"/>
            <w:noWrap/>
            <w:vAlign w:val="center"/>
            <w:hideMark/>
          </w:tcPr>
          <w:p w14:paraId="7A080D4D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0.054</w:t>
            </w:r>
          </w:p>
        </w:tc>
        <w:tc>
          <w:tcPr>
            <w:tcW w:w="943" w:type="dxa"/>
            <w:noWrap/>
            <w:vAlign w:val="center"/>
            <w:hideMark/>
          </w:tcPr>
          <w:p w14:paraId="21F33338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0A00A29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2395</w:t>
            </w:r>
          </w:p>
        </w:tc>
        <w:tc>
          <w:tcPr>
            <w:tcW w:w="986" w:type="dxa"/>
            <w:noWrap/>
            <w:vAlign w:val="center"/>
            <w:hideMark/>
          </w:tcPr>
          <w:p w14:paraId="5569697E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4800F84A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43" w:type="dxa"/>
            <w:noWrap/>
            <w:vAlign w:val="center"/>
            <w:hideMark/>
          </w:tcPr>
          <w:p w14:paraId="68420FD6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7.18%</w:t>
            </w:r>
          </w:p>
        </w:tc>
      </w:tr>
      <w:tr w:rsidR="00EC7AE6" w:rsidRPr="00EC7AE6" w14:paraId="41FB4174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7D4646BD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0C14B27B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12/24/24</w:t>
            </w:r>
          </w:p>
        </w:tc>
        <w:tc>
          <w:tcPr>
            <w:tcW w:w="943" w:type="dxa"/>
            <w:noWrap/>
            <w:vAlign w:val="center"/>
            <w:hideMark/>
          </w:tcPr>
          <w:p w14:paraId="110FC8DE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0.054</w:t>
            </w:r>
          </w:p>
        </w:tc>
        <w:tc>
          <w:tcPr>
            <w:tcW w:w="943" w:type="dxa"/>
            <w:noWrap/>
            <w:vAlign w:val="center"/>
            <w:hideMark/>
          </w:tcPr>
          <w:p w14:paraId="2599984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1072EAE1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2395</w:t>
            </w:r>
          </w:p>
        </w:tc>
        <w:tc>
          <w:tcPr>
            <w:tcW w:w="986" w:type="dxa"/>
            <w:noWrap/>
            <w:vAlign w:val="center"/>
            <w:hideMark/>
          </w:tcPr>
          <w:p w14:paraId="23A9777B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375976EF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43" w:type="dxa"/>
            <w:noWrap/>
            <w:vAlign w:val="center"/>
            <w:hideMark/>
          </w:tcPr>
          <w:p w14:paraId="7E349313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7.18%</w:t>
            </w:r>
          </w:p>
        </w:tc>
      </w:tr>
      <w:tr w:rsidR="00EC7AE6" w:rsidRPr="00EC7AE6" w14:paraId="0BD01553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5F0ADB3A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3E8922FA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1/31/25</w:t>
            </w:r>
          </w:p>
        </w:tc>
        <w:tc>
          <w:tcPr>
            <w:tcW w:w="943" w:type="dxa"/>
            <w:noWrap/>
            <w:vAlign w:val="center"/>
            <w:hideMark/>
          </w:tcPr>
          <w:p w14:paraId="2E0FA1AB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0.054</w:t>
            </w:r>
          </w:p>
        </w:tc>
        <w:tc>
          <w:tcPr>
            <w:tcW w:w="943" w:type="dxa"/>
            <w:noWrap/>
            <w:vAlign w:val="center"/>
            <w:hideMark/>
          </w:tcPr>
          <w:p w14:paraId="28B9F696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0135ADB1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2395</w:t>
            </w:r>
          </w:p>
        </w:tc>
        <w:tc>
          <w:tcPr>
            <w:tcW w:w="986" w:type="dxa"/>
            <w:noWrap/>
            <w:vAlign w:val="center"/>
            <w:hideMark/>
          </w:tcPr>
          <w:p w14:paraId="03550093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6F03AD64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43" w:type="dxa"/>
            <w:noWrap/>
            <w:vAlign w:val="center"/>
            <w:hideMark/>
          </w:tcPr>
          <w:p w14:paraId="7B1FBE2F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7.18%</w:t>
            </w:r>
          </w:p>
        </w:tc>
      </w:tr>
      <w:tr w:rsidR="00EC7AE6" w:rsidRPr="00EC7AE6" w14:paraId="27FFF3D1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48CEDB8E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42C9BE96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2/28/25</w:t>
            </w:r>
          </w:p>
        </w:tc>
        <w:tc>
          <w:tcPr>
            <w:tcW w:w="943" w:type="dxa"/>
            <w:noWrap/>
            <w:vAlign w:val="center"/>
            <w:hideMark/>
          </w:tcPr>
          <w:p w14:paraId="50A15ED4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0.0545</w:t>
            </w:r>
          </w:p>
        </w:tc>
        <w:tc>
          <w:tcPr>
            <w:tcW w:w="943" w:type="dxa"/>
            <w:noWrap/>
            <w:vAlign w:val="center"/>
            <w:hideMark/>
          </w:tcPr>
          <w:p w14:paraId="59BFB8CA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2B210C0E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2417</w:t>
            </w:r>
          </w:p>
        </w:tc>
        <w:tc>
          <w:tcPr>
            <w:tcW w:w="986" w:type="dxa"/>
            <w:noWrap/>
            <w:vAlign w:val="center"/>
            <w:hideMark/>
          </w:tcPr>
          <w:p w14:paraId="2DD8336D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5A39BB3B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43" w:type="dxa"/>
            <w:noWrap/>
            <w:vAlign w:val="center"/>
            <w:hideMark/>
          </w:tcPr>
          <w:p w14:paraId="73D0B014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7.25%</w:t>
            </w:r>
          </w:p>
        </w:tc>
      </w:tr>
      <w:tr w:rsidR="00EC7AE6" w:rsidRPr="00EC7AE6" w14:paraId="040933F1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213958D8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3012079F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3/31/25</w:t>
            </w:r>
          </w:p>
        </w:tc>
        <w:tc>
          <w:tcPr>
            <w:tcW w:w="943" w:type="dxa"/>
            <w:noWrap/>
            <w:vAlign w:val="center"/>
            <w:hideMark/>
          </w:tcPr>
          <w:p w14:paraId="3EBB3E98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0.0545</w:t>
            </w:r>
          </w:p>
        </w:tc>
        <w:tc>
          <w:tcPr>
            <w:tcW w:w="943" w:type="dxa"/>
            <w:noWrap/>
            <w:vAlign w:val="center"/>
            <w:hideMark/>
          </w:tcPr>
          <w:p w14:paraId="305D3346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0284C70C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2417</w:t>
            </w:r>
          </w:p>
        </w:tc>
        <w:tc>
          <w:tcPr>
            <w:tcW w:w="986" w:type="dxa"/>
            <w:noWrap/>
            <w:vAlign w:val="center"/>
            <w:hideMark/>
          </w:tcPr>
          <w:p w14:paraId="3AD4B6D4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0D76C7F3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43" w:type="dxa"/>
            <w:noWrap/>
            <w:vAlign w:val="center"/>
            <w:hideMark/>
          </w:tcPr>
          <w:p w14:paraId="20E17318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7.25%</w:t>
            </w:r>
          </w:p>
        </w:tc>
      </w:tr>
      <w:tr w:rsidR="00EC7AE6" w:rsidRPr="00EC7AE6" w14:paraId="1ACC6FD9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701A5E51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3EA14B5A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4/30/25</w:t>
            </w:r>
          </w:p>
        </w:tc>
        <w:tc>
          <w:tcPr>
            <w:tcW w:w="943" w:type="dxa"/>
            <w:noWrap/>
            <w:vAlign w:val="center"/>
            <w:hideMark/>
          </w:tcPr>
          <w:p w14:paraId="4CD4942F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0.0545</w:t>
            </w:r>
          </w:p>
        </w:tc>
        <w:tc>
          <w:tcPr>
            <w:tcW w:w="943" w:type="dxa"/>
            <w:noWrap/>
            <w:vAlign w:val="center"/>
            <w:hideMark/>
          </w:tcPr>
          <w:p w14:paraId="1245BCC6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1867A869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2417</w:t>
            </w:r>
          </w:p>
        </w:tc>
        <w:tc>
          <w:tcPr>
            <w:tcW w:w="986" w:type="dxa"/>
            <w:noWrap/>
            <w:vAlign w:val="center"/>
            <w:hideMark/>
          </w:tcPr>
          <w:p w14:paraId="5BB48BA0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385D5DE8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43" w:type="dxa"/>
            <w:noWrap/>
            <w:vAlign w:val="center"/>
            <w:hideMark/>
          </w:tcPr>
          <w:p w14:paraId="70E84C85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7.25%</w:t>
            </w:r>
          </w:p>
        </w:tc>
      </w:tr>
      <w:tr w:rsidR="00EC7AE6" w:rsidRPr="00EC7AE6" w14:paraId="2DCEBF14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2FEB901B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7B041F17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5/30/25</w:t>
            </w:r>
          </w:p>
        </w:tc>
        <w:tc>
          <w:tcPr>
            <w:tcW w:w="943" w:type="dxa"/>
            <w:noWrap/>
            <w:vAlign w:val="center"/>
            <w:hideMark/>
          </w:tcPr>
          <w:p w14:paraId="6829B9E7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0.0565</w:t>
            </w:r>
          </w:p>
        </w:tc>
        <w:tc>
          <w:tcPr>
            <w:tcW w:w="943" w:type="dxa"/>
            <w:noWrap/>
            <w:vAlign w:val="center"/>
            <w:hideMark/>
          </w:tcPr>
          <w:p w14:paraId="23CDB93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26468AAF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2505</w:t>
            </w:r>
          </w:p>
        </w:tc>
        <w:tc>
          <w:tcPr>
            <w:tcW w:w="986" w:type="dxa"/>
            <w:noWrap/>
            <w:vAlign w:val="center"/>
            <w:hideMark/>
          </w:tcPr>
          <w:p w14:paraId="7B43150A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578B2D0C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0.63%</w:t>
            </w:r>
          </w:p>
        </w:tc>
        <w:tc>
          <w:tcPr>
            <w:tcW w:w="943" w:type="dxa"/>
            <w:noWrap/>
            <w:vAlign w:val="center"/>
            <w:hideMark/>
          </w:tcPr>
          <w:p w14:paraId="114C0E56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7.52%</w:t>
            </w:r>
          </w:p>
        </w:tc>
      </w:tr>
      <w:tr w:rsidR="00EC7AE6" w:rsidRPr="00EC7AE6" w14:paraId="01D89B00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6F8520D4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6149588E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6/30/25</w:t>
            </w:r>
          </w:p>
        </w:tc>
        <w:tc>
          <w:tcPr>
            <w:tcW w:w="943" w:type="dxa"/>
            <w:noWrap/>
            <w:vAlign w:val="center"/>
            <w:hideMark/>
          </w:tcPr>
          <w:p w14:paraId="55D71CDF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0.0565</w:t>
            </w:r>
          </w:p>
        </w:tc>
        <w:tc>
          <w:tcPr>
            <w:tcW w:w="943" w:type="dxa"/>
            <w:noWrap/>
            <w:vAlign w:val="center"/>
            <w:hideMark/>
          </w:tcPr>
          <w:p w14:paraId="387B765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7377036C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2505</w:t>
            </w:r>
          </w:p>
        </w:tc>
        <w:tc>
          <w:tcPr>
            <w:tcW w:w="986" w:type="dxa"/>
            <w:noWrap/>
            <w:vAlign w:val="center"/>
            <w:hideMark/>
          </w:tcPr>
          <w:p w14:paraId="37CB4C0F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0D319EAA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0.63%</w:t>
            </w:r>
          </w:p>
        </w:tc>
        <w:tc>
          <w:tcPr>
            <w:tcW w:w="943" w:type="dxa"/>
            <w:noWrap/>
            <w:vAlign w:val="center"/>
            <w:hideMark/>
          </w:tcPr>
          <w:p w14:paraId="43A0909C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7.52%</w:t>
            </w:r>
          </w:p>
        </w:tc>
      </w:tr>
      <w:tr w:rsidR="00EC7AE6" w:rsidRPr="00EC7AE6" w14:paraId="12BEE6A7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6DBEF8CF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525C04AD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7/31/25</w:t>
            </w:r>
          </w:p>
        </w:tc>
        <w:tc>
          <w:tcPr>
            <w:tcW w:w="943" w:type="dxa"/>
            <w:noWrap/>
            <w:vAlign w:val="center"/>
            <w:hideMark/>
          </w:tcPr>
          <w:p w14:paraId="2F2C4BC6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0.0565</w:t>
            </w:r>
          </w:p>
        </w:tc>
        <w:tc>
          <w:tcPr>
            <w:tcW w:w="943" w:type="dxa"/>
            <w:noWrap/>
            <w:vAlign w:val="center"/>
            <w:hideMark/>
          </w:tcPr>
          <w:p w14:paraId="5163A61F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76E8E021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2505</w:t>
            </w:r>
          </w:p>
        </w:tc>
        <w:tc>
          <w:tcPr>
            <w:tcW w:w="986" w:type="dxa"/>
            <w:noWrap/>
            <w:vAlign w:val="center"/>
            <w:hideMark/>
          </w:tcPr>
          <w:p w14:paraId="5EEB4F44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044CD885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0.63%</w:t>
            </w:r>
          </w:p>
        </w:tc>
        <w:tc>
          <w:tcPr>
            <w:tcW w:w="943" w:type="dxa"/>
            <w:noWrap/>
            <w:vAlign w:val="center"/>
            <w:hideMark/>
          </w:tcPr>
          <w:p w14:paraId="131B209D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7.52%</w:t>
            </w:r>
          </w:p>
        </w:tc>
      </w:tr>
      <w:tr w:rsidR="00EC7AE6" w:rsidRPr="00EC7AE6" w14:paraId="374B9D8C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40A35050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544CD704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8/29/25</w:t>
            </w:r>
          </w:p>
        </w:tc>
        <w:tc>
          <w:tcPr>
            <w:tcW w:w="943" w:type="dxa"/>
            <w:noWrap/>
            <w:vAlign w:val="center"/>
            <w:hideMark/>
          </w:tcPr>
          <w:p w14:paraId="22E1990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0.0575</w:t>
            </w:r>
          </w:p>
        </w:tc>
        <w:tc>
          <w:tcPr>
            <w:tcW w:w="943" w:type="dxa"/>
            <w:noWrap/>
            <w:vAlign w:val="center"/>
            <w:hideMark/>
          </w:tcPr>
          <w:p w14:paraId="43B7B26D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7944CB1F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2550</w:t>
            </w:r>
          </w:p>
        </w:tc>
        <w:tc>
          <w:tcPr>
            <w:tcW w:w="986" w:type="dxa"/>
            <w:noWrap/>
            <w:vAlign w:val="center"/>
            <w:hideMark/>
          </w:tcPr>
          <w:p w14:paraId="5F31680F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0571F4C6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0.64%</w:t>
            </w:r>
          </w:p>
        </w:tc>
        <w:tc>
          <w:tcPr>
            <w:tcW w:w="943" w:type="dxa"/>
            <w:noWrap/>
            <w:vAlign w:val="center"/>
            <w:hideMark/>
          </w:tcPr>
          <w:p w14:paraId="7FC803ED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7.65%</w:t>
            </w:r>
          </w:p>
        </w:tc>
      </w:tr>
      <w:tr w:rsidR="00EC7AE6" w:rsidRPr="00EC7AE6" w14:paraId="296CBD56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6AE7E6D6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5D8F9DEC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9/30/25</w:t>
            </w:r>
          </w:p>
        </w:tc>
        <w:tc>
          <w:tcPr>
            <w:tcW w:w="943" w:type="dxa"/>
            <w:noWrap/>
            <w:vAlign w:val="center"/>
            <w:hideMark/>
          </w:tcPr>
          <w:p w14:paraId="69AA3C13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0.0575</w:t>
            </w:r>
          </w:p>
        </w:tc>
        <w:tc>
          <w:tcPr>
            <w:tcW w:w="943" w:type="dxa"/>
            <w:noWrap/>
            <w:vAlign w:val="center"/>
            <w:hideMark/>
          </w:tcPr>
          <w:p w14:paraId="42CFA0D5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3259F5DA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2550</w:t>
            </w:r>
          </w:p>
        </w:tc>
        <w:tc>
          <w:tcPr>
            <w:tcW w:w="986" w:type="dxa"/>
            <w:noWrap/>
            <w:vAlign w:val="center"/>
            <w:hideMark/>
          </w:tcPr>
          <w:p w14:paraId="40398A4E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7A7BB191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0.64%</w:t>
            </w:r>
          </w:p>
        </w:tc>
        <w:tc>
          <w:tcPr>
            <w:tcW w:w="943" w:type="dxa"/>
            <w:noWrap/>
            <w:vAlign w:val="center"/>
            <w:hideMark/>
          </w:tcPr>
          <w:p w14:paraId="765802B4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7.65%</w:t>
            </w:r>
          </w:p>
        </w:tc>
      </w:tr>
      <w:tr w:rsidR="00EC7AE6" w:rsidRPr="00EC7AE6" w14:paraId="02570180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4BA84F27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12F16CE1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10/31/25</w:t>
            </w:r>
          </w:p>
        </w:tc>
        <w:tc>
          <w:tcPr>
            <w:tcW w:w="943" w:type="dxa"/>
            <w:noWrap/>
            <w:vAlign w:val="center"/>
            <w:hideMark/>
          </w:tcPr>
          <w:p w14:paraId="52EAA1D1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0.0575</w:t>
            </w:r>
          </w:p>
        </w:tc>
        <w:tc>
          <w:tcPr>
            <w:tcW w:w="943" w:type="dxa"/>
            <w:noWrap/>
            <w:vAlign w:val="center"/>
            <w:hideMark/>
          </w:tcPr>
          <w:p w14:paraId="0E4EC3F8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7EC0A9ED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2550</w:t>
            </w:r>
          </w:p>
        </w:tc>
        <w:tc>
          <w:tcPr>
            <w:tcW w:w="986" w:type="dxa"/>
            <w:noWrap/>
            <w:vAlign w:val="center"/>
            <w:hideMark/>
          </w:tcPr>
          <w:p w14:paraId="4043E913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08516109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0.64%</w:t>
            </w:r>
          </w:p>
        </w:tc>
        <w:tc>
          <w:tcPr>
            <w:tcW w:w="943" w:type="dxa"/>
            <w:noWrap/>
            <w:vAlign w:val="center"/>
            <w:hideMark/>
          </w:tcPr>
          <w:p w14:paraId="350455A9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7.65%</w:t>
            </w:r>
          </w:p>
        </w:tc>
      </w:tr>
      <w:tr w:rsidR="00EC7AE6" w:rsidRPr="00EC7AE6" w14:paraId="6576D4ED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5EE13B74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01B2B494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11/28/25</w:t>
            </w:r>
          </w:p>
        </w:tc>
        <w:tc>
          <w:tcPr>
            <w:tcW w:w="943" w:type="dxa"/>
            <w:noWrap/>
            <w:vAlign w:val="center"/>
            <w:hideMark/>
          </w:tcPr>
          <w:p w14:paraId="3FC6374E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0.062</w:t>
            </w:r>
          </w:p>
        </w:tc>
        <w:tc>
          <w:tcPr>
            <w:tcW w:w="943" w:type="dxa"/>
            <w:noWrap/>
            <w:vAlign w:val="center"/>
            <w:hideMark/>
          </w:tcPr>
          <w:p w14:paraId="32448541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09B8D7E6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2749</w:t>
            </w:r>
          </w:p>
        </w:tc>
        <w:tc>
          <w:tcPr>
            <w:tcW w:w="986" w:type="dxa"/>
            <w:noWrap/>
            <w:vAlign w:val="center"/>
            <w:hideMark/>
          </w:tcPr>
          <w:p w14:paraId="133F3866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7B634A1D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0.69%</w:t>
            </w:r>
          </w:p>
        </w:tc>
        <w:tc>
          <w:tcPr>
            <w:tcW w:w="943" w:type="dxa"/>
            <w:noWrap/>
            <w:vAlign w:val="center"/>
            <w:hideMark/>
          </w:tcPr>
          <w:p w14:paraId="2B1F290E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8.25%</w:t>
            </w:r>
          </w:p>
        </w:tc>
      </w:tr>
      <w:tr w:rsidR="00EC7AE6" w:rsidRPr="00EC7AE6" w14:paraId="2CF18862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1AD375F2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3D608354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12/31/25</w:t>
            </w:r>
          </w:p>
        </w:tc>
        <w:tc>
          <w:tcPr>
            <w:tcW w:w="943" w:type="dxa"/>
            <w:noWrap/>
            <w:vAlign w:val="center"/>
            <w:hideMark/>
          </w:tcPr>
          <w:p w14:paraId="3A9B131E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0.062</w:t>
            </w:r>
          </w:p>
        </w:tc>
        <w:tc>
          <w:tcPr>
            <w:tcW w:w="943" w:type="dxa"/>
            <w:noWrap/>
            <w:vAlign w:val="center"/>
            <w:hideMark/>
          </w:tcPr>
          <w:p w14:paraId="6A394B6D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330F7329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2749</w:t>
            </w:r>
          </w:p>
        </w:tc>
        <w:tc>
          <w:tcPr>
            <w:tcW w:w="986" w:type="dxa"/>
            <w:noWrap/>
            <w:vAlign w:val="center"/>
            <w:hideMark/>
          </w:tcPr>
          <w:p w14:paraId="72C1A836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0A5F01ED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0.69%</w:t>
            </w:r>
          </w:p>
        </w:tc>
        <w:tc>
          <w:tcPr>
            <w:tcW w:w="943" w:type="dxa"/>
            <w:noWrap/>
            <w:vAlign w:val="center"/>
            <w:hideMark/>
          </w:tcPr>
          <w:p w14:paraId="79D9A08F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8.25%</w:t>
            </w:r>
          </w:p>
        </w:tc>
      </w:tr>
      <w:tr w:rsidR="00EC7AE6" w:rsidRPr="00EC7AE6" w14:paraId="3BEECE29" w14:textId="77777777" w:rsidTr="00EC7AE6">
        <w:trPr>
          <w:trHeight w:val="320"/>
        </w:trPr>
        <w:tc>
          <w:tcPr>
            <w:tcW w:w="5359" w:type="dxa"/>
            <w:gridSpan w:val="4"/>
            <w:noWrap/>
            <w:vAlign w:val="center"/>
            <w:hideMark/>
          </w:tcPr>
          <w:p w14:paraId="4909E9CC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合计</w:t>
            </w:r>
          </w:p>
        </w:tc>
        <w:tc>
          <w:tcPr>
            <w:tcW w:w="1119" w:type="dxa"/>
            <w:noWrap/>
            <w:vAlign w:val="center"/>
            <w:hideMark/>
          </w:tcPr>
          <w:p w14:paraId="1C5B1AEB" w14:textId="3212B526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83,589</w:t>
            </w:r>
          </w:p>
        </w:tc>
        <w:tc>
          <w:tcPr>
            <w:tcW w:w="986" w:type="dxa"/>
            <w:noWrap/>
            <w:vAlign w:val="center"/>
            <w:hideMark/>
          </w:tcPr>
          <w:p w14:paraId="6E245ABF" w14:textId="5C9BAA33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999,995</w:t>
            </w:r>
          </w:p>
        </w:tc>
        <w:tc>
          <w:tcPr>
            <w:tcW w:w="943" w:type="dxa"/>
            <w:noWrap/>
            <w:vAlign w:val="center"/>
            <w:hideMark/>
          </w:tcPr>
          <w:p w14:paraId="03BA4621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0.56%</w:t>
            </w:r>
          </w:p>
        </w:tc>
        <w:tc>
          <w:tcPr>
            <w:tcW w:w="943" w:type="dxa"/>
            <w:noWrap/>
            <w:vAlign w:val="center"/>
            <w:hideMark/>
          </w:tcPr>
          <w:p w14:paraId="1C211351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6.69%</w:t>
            </w:r>
          </w:p>
        </w:tc>
      </w:tr>
    </w:tbl>
    <w:p w14:paraId="0BDCAAA8" w14:textId="0000E23D" w:rsidR="00EC7AE6" w:rsidRPr="001E195B" w:rsidRDefault="00EC7AE6" w:rsidP="00EC7AE6">
      <w:pPr>
        <w:rPr>
          <w:rFonts w:ascii="KaiTi" w:eastAsia="KaiTi" w:hAnsi="KaiTi"/>
        </w:rPr>
      </w:pPr>
    </w:p>
    <w:sectPr w:rsidR="00EC7AE6" w:rsidRPr="001E195B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BE92E" w14:textId="77777777" w:rsidR="008A14C8" w:rsidRDefault="008A14C8" w:rsidP="00EC7AE6">
      <w:pPr>
        <w:spacing w:after="0" w:line="240" w:lineRule="auto"/>
      </w:pPr>
      <w:r>
        <w:separator/>
      </w:r>
    </w:p>
  </w:endnote>
  <w:endnote w:type="continuationSeparator" w:id="0">
    <w:p w14:paraId="461AD508" w14:textId="77777777" w:rsidR="008A14C8" w:rsidRDefault="008A14C8" w:rsidP="00EC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TC">
    <w:altName w:val="Microsoft JhengHei"/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iti TC">
    <w:altName w:val="Cambria"/>
    <w:panose1 w:val="02000000000000000000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7DB47" w14:textId="7CAFDD6C" w:rsidR="00EC7AE6" w:rsidRDefault="00EC7AE6">
    <w:pPr>
      <w:pStyle w:val="Footer"/>
    </w:pPr>
  </w:p>
  <w:p w14:paraId="62A544A7" w14:textId="77777777" w:rsidR="00EC7AE6" w:rsidRDefault="00EC7A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DEBBE" w14:textId="77777777" w:rsidR="008A14C8" w:rsidRDefault="008A14C8" w:rsidP="00EC7AE6">
      <w:pPr>
        <w:spacing w:after="0" w:line="240" w:lineRule="auto"/>
      </w:pPr>
      <w:r>
        <w:separator/>
      </w:r>
    </w:p>
  </w:footnote>
  <w:footnote w:type="continuationSeparator" w:id="0">
    <w:p w14:paraId="3F45221D" w14:textId="77777777" w:rsidR="008A14C8" w:rsidRDefault="008A14C8" w:rsidP="00EC7AE6">
      <w:pPr>
        <w:spacing w:after="0" w:line="240" w:lineRule="auto"/>
      </w:pPr>
      <w:r>
        <w:continuationSeparator/>
      </w:r>
    </w:p>
  </w:footnote>
  <w:footnote w:id="1">
    <w:p w14:paraId="2DA9757C" w14:textId="59248B6A" w:rsidR="00EC7AE6" w:rsidRDefault="00EC7AE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C7AE6">
        <w:rPr>
          <w:rFonts w:ascii="KaiTi" w:eastAsia="KaiTi" w:hAnsi="KaiTi" w:hint="eastAsia"/>
        </w:rPr>
        <w:t>I17基金底层资产有40%的非美国股权资产，因此之前仅称为美国优质股权基金并不妥当，本期将其简称改为环球优质股权基金</w:t>
      </w:r>
    </w:p>
  </w:footnote>
  <w:footnote w:id="2">
    <w:p w14:paraId="4DB98B00" w14:textId="55230313" w:rsidR="00EC7AE6" w:rsidRDefault="00EC7AE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C7AE6">
        <w:rPr>
          <w:rFonts w:ascii="KaiTi" w:eastAsia="KaiTi" w:hAnsi="KaiTi" w:hint="eastAsia"/>
        </w:rPr>
        <w:t>R01房地产基金底层有27%的资产来自于非美国家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30A"/>
    <w:multiLevelType w:val="multilevel"/>
    <w:tmpl w:val="E3CE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143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075"/>
    <w:rsid w:val="00137817"/>
    <w:rsid w:val="001E195B"/>
    <w:rsid w:val="0038461C"/>
    <w:rsid w:val="003F569D"/>
    <w:rsid w:val="004B2948"/>
    <w:rsid w:val="00706A02"/>
    <w:rsid w:val="007F22B7"/>
    <w:rsid w:val="00806AAE"/>
    <w:rsid w:val="008A14C8"/>
    <w:rsid w:val="009246F5"/>
    <w:rsid w:val="00B470CE"/>
    <w:rsid w:val="00C46870"/>
    <w:rsid w:val="00CF5C82"/>
    <w:rsid w:val="00D17075"/>
    <w:rsid w:val="00D90DAE"/>
    <w:rsid w:val="00EC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FDA6E7"/>
  <w15:chartTrackingRefBased/>
  <w15:docId w15:val="{1D16F770-913E-9446-96F7-EB3892F5C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07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17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D17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17075"/>
  </w:style>
  <w:style w:type="paragraph" w:customStyle="1" w:styleId="p3">
    <w:name w:val="p3"/>
    <w:basedOn w:val="Normal"/>
    <w:rsid w:val="00D17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EC7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7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AE6"/>
  </w:style>
  <w:style w:type="paragraph" w:styleId="Footer">
    <w:name w:val="footer"/>
    <w:basedOn w:val="Normal"/>
    <w:link w:val="FooterChar"/>
    <w:uiPriority w:val="99"/>
    <w:unhideWhenUsed/>
    <w:rsid w:val="00EC7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AE6"/>
  </w:style>
  <w:style w:type="paragraph" w:styleId="FootnoteText">
    <w:name w:val="footnote text"/>
    <w:basedOn w:val="Normal"/>
    <w:link w:val="FootnoteTextChar"/>
    <w:uiPriority w:val="99"/>
    <w:semiHidden/>
    <w:unhideWhenUsed/>
    <w:rsid w:val="00EC7AE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C7AE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7AE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4889C2B-8600-5D4C-BDFC-60C005D79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1393</Words>
  <Characters>2245</Characters>
  <Application>Microsoft Office Word</Application>
  <DocSecurity>0</DocSecurity>
  <Lines>280</Lines>
  <Paragraphs>330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Wu</dc:creator>
  <cp:keywords/>
  <dc:description/>
  <cp:lastModifiedBy>Derek Wu</cp:lastModifiedBy>
  <cp:revision>9</cp:revision>
  <dcterms:created xsi:type="dcterms:W3CDTF">2026-01-31T06:45:00Z</dcterms:created>
  <dcterms:modified xsi:type="dcterms:W3CDTF">2026-03-02T04:00:00Z</dcterms:modified>
</cp:coreProperties>
</file>