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F997" w14:textId="7D76527F" w:rsidR="001E195B" w:rsidRPr="00A07C6F" w:rsidRDefault="00137817" w:rsidP="001E19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Wonder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客户</w:t>
      </w:r>
      <w:r w:rsidR="001E195B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月度通讯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（</w:t>
      </w:r>
      <w:r w:rsidR="001E195B"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</w:t>
      </w:r>
      <w:r w:rsidR="001E195B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6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 w:rsidR="00A51C67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2</w:t>
      </w:r>
      <w:r w:rsidR="001E195B"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="001E195B"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44EFF41E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6E0F4B18" w14:textId="75687F7E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各位朋友，您好：</w:t>
      </w:r>
    </w:p>
    <w:p w14:paraId="5BC0D021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67FFBC99" w14:textId="7282A44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值此新春伊始，旺达财智向所有</w:t>
      </w:r>
      <w:r w:rsidR="00957B84">
        <w:rPr>
          <w:rFonts w:ascii="KaiTi" w:eastAsia="KaiTi" w:hAnsi="KaiTi" w:cs="Heiti TC" w:hint="eastAsia"/>
          <w:kern w:val="0"/>
          <w14:ligatures w14:val="none"/>
        </w:rPr>
        <w:t>朋友</w:t>
      </w:r>
      <w:r w:rsidRPr="00AA40F5">
        <w:rPr>
          <w:rFonts w:ascii="KaiTi" w:eastAsia="KaiTi" w:hAnsi="KaiTi" w:cs="Heiti TC" w:hint="eastAsia"/>
          <w:kern w:val="0"/>
          <w14:ligatures w14:val="none"/>
        </w:rPr>
        <w:t>致</w:t>
      </w:r>
      <w:r w:rsidRPr="00AA40F5">
        <w:rPr>
          <w:rFonts w:ascii="KaiTi" w:eastAsia="KaiTi" w:hAnsi="KaiTi" w:cs="Heiti TC"/>
          <w:kern w:val="0"/>
          <w14:ligatures w14:val="none"/>
        </w:rPr>
        <w:t>以最诚挚的祝福：</w:t>
      </w:r>
    </w:p>
    <w:p w14:paraId="58F315AB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愿您与家人健康如意，财富稳健增长，资产结构坚韧有序，继续在不确定性中把握确定性。</w:t>
      </w:r>
    </w:p>
    <w:p w14:paraId="6F0E62CB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新的一年，我们将继续秉持理性、专业与稳健，陪您走过每一次市场起伏。</w:t>
      </w:r>
    </w:p>
    <w:p w14:paraId="11EEE475" w14:textId="77777777" w:rsidR="001E195B" w:rsidRDefault="001E195B" w:rsidP="00D17075">
      <w:pPr>
        <w:rPr>
          <w:rFonts w:ascii="KaiTi" w:eastAsia="KaiTi" w:hAnsi="KaiTi" w:cs="Heiti TC"/>
          <w:kern w:val="0"/>
          <w14:ligatures w14:val="none"/>
        </w:rPr>
      </w:pPr>
    </w:p>
    <w:p w14:paraId="2A745C79" w14:textId="514E8076" w:rsidR="00957B84" w:rsidRDefault="00957B84" w:rsidP="00D17075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 w:hint="eastAsia"/>
          <w:kern w:val="0"/>
          <w14:ligatures w14:val="none"/>
        </w:rPr>
        <w:t>首先，还是来回顾一下这个月的市场情况：</w:t>
      </w:r>
    </w:p>
    <w:p w14:paraId="6F19A240" w14:textId="4BA2FE9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2 月全球资本市场整体表现呈现显著震荡。美股主要指数在月末显著承压，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标普 500 下跌近 0.</w:t>
      </w:r>
      <w:r w:rsidR="00842F7A">
        <w:rPr>
          <w:rFonts w:ascii="KaiTi" w:eastAsia="KaiTi" w:hAnsi="KaiTi" w:cs="Heiti TC" w:hint="eastAsia"/>
          <w:b/>
          <w:bCs/>
          <w:kern w:val="0"/>
          <w14:ligatures w14:val="none"/>
        </w:rPr>
        <w:t>87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% 左右，纳指</w:t>
      </w:r>
      <w:r w:rsidR="00842F7A">
        <w:rPr>
          <w:rFonts w:ascii="KaiTi" w:eastAsia="KaiTi" w:hAnsi="KaiTi" w:cs="Heiti TC" w:hint="eastAsia"/>
          <w:b/>
          <w:bCs/>
          <w:kern w:val="0"/>
          <w14:ligatures w14:val="none"/>
        </w:rPr>
        <w:t>下跌3.38%</w:t>
      </w:r>
      <w:r w:rsidRPr="00AA40F5">
        <w:rPr>
          <w:rFonts w:ascii="KaiTi" w:eastAsia="KaiTi" w:hAnsi="KaiTi" w:cs="Heiti TC"/>
          <w:kern w:val="0"/>
          <w14:ligatures w14:val="none"/>
        </w:rPr>
        <w:t>，科技股尤其是</w:t>
      </w:r>
      <w:r w:rsidR="00842F7A">
        <w:rPr>
          <w:rFonts w:ascii="KaiTi" w:eastAsia="KaiTi" w:hAnsi="KaiTi" w:cs="Heiti TC" w:hint="eastAsia"/>
          <w:kern w:val="0"/>
          <w14:ligatures w14:val="none"/>
        </w:rPr>
        <w:t>软件、金融等</w:t>
      </w:r>
      <w:r w:rsidRPr="00AA40F5">
        <w:rPr>
          <w:rFonts w:ascii="KaiTi" w:eastAsia="KaiTi" w:hAnsi="KaiTi" w:cs="Heiti TC" w:hint="eastAsia"/>
          <w:kern w:val="0"/>
          <w14:ligatures w14:val="none"/>
        </w:rPr>
        <w:t>板</w:t>
      </w:r>
      <w:r w:rsidRPr="00AA40F5">
        <w:rPr>
          <w:rFonts w:ascii="KaiTi" w:eastAsia="KaiTi" w:hAnsi="KaiTi" w:cs="Heiti TC"/>
          <w:kern w:val="0"/>
          <w14:ligatures w14:val="none"/>
        </w:rPr>
        <w:t xml:space="preserve">块表现疲弱，引发市场恐慌情绪加剧。 </w:t>
      </w:r>
    </w:p>
    <w:p w14:paraId="45725EB8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</w:p>
    <w:p w14:paraId="4FA8A138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>核心驱动因素可归结为三条：</w:t>
      </w:r>
    </w:p>
    <w:p w14:paraId="42682A11" w14:textId="7580794B" w:rsidR="00AA40F5" w:rsidRPr="00AA40F5" w:rsidRDefault="00AA40F5" w:rsidP="00AA40F5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>2.1 AI恐慌与估值修正</w:t>
      </w:r>
    </w:p>
    <w:p w14:paraId="173BAE28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 xml:space="preserve">AI 热潮诞生了巨额预期，但随着部分企业发布谨慎指引及结构性调整（如裁员等），市场对 AI 对未来利润提升的预期出现分化。投资者的恐慌情绪从科技板块蔓延至金融与传统行业，导致抛压短期提升。 </w:t>
      </w:r>
    </w:p>
    <w:p w14:paraId="591C294D" w14:textId="6CEC4602" w:rsidR="00AA40F5" w:rsidRPr="00AA40F5" w:rsidRDefault="00AA40F5" w:rsidP="00AA40F5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>2.2 通胀意外走高</w:t>
      </w:r>
    </w:p>
    <w:p w14:paraId="690FD142" w14:textId="12E66308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 w:hint="eastAsia"/>
          <w:kern w:val="0"/>
          <w14:ligatures w14:val="none"/>
        </w:rPr>
        <w:t>1</w:t>
      </w:r>
      <w:r w:rsidRPr="00AA40F5">
        <w:rPr>
          <w:rFonts w:ascii="KaiTi" w:eastAsia="KaiTi" w:hAnsi="KaiTi" w:cs="Heiti TC"/>
          <w:kern w:val="0"/>
          <w14:ligatures w14:val="none"/>
        </w:rPr>
        <w:t xml:space="preserve"> 月 PPI（生产者价格指数）核心环比上涨 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0.8%</w:t>
      </w:r>
      <w:r w:rsidRPr="00AA40F5">
        <w:rPr>
          <w:rFonts w:ascii="KaiTi" w:eastAsia="KaiTi" w:hAnsi="KaiTi" w:cs="Heiti TC"/>
          <w:kern w:val="0"/>
          <w14:ligatures w14:val="none"/>
        </w:rPr>
        <w:t>，远高于市场预期，这表明通胀仍具黏性，可能迫使美联储在短期内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维持偏紧货币政策</w:t>
      </w:r>
      <w:r w:rsidRPr="00AA40F5">
        <w:rPr>
          <w:rFonts w:ascii="KaiTi" w:eastAsia="KaiTi" w:hAnsi="KaiTi" w:cs="Heiti TC"/>
          <w:kern w:val="0"/>
          <w14:ligatures w14:val="none"/>
        </w:rPr>
        <w:t xml:space="preserve">而非降息。 </w:t>
      </w:r>
    </w:p>
    <w:p w14:paraId="71D504CD" w14:textId="49D6AF51" w:rsidR="00AA40F5" w:rsidRPr="00AA40F5" w:rsidRDefault="00AA40F5" w:rsidP="00AA40F5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>2.3 板块分化与避险回归</w:t>
      </w:r>
    </w:p>
    <w:p w14:paraId="1886CF45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 xml:space="preserve">在风格切换中，防御性板块如公用事业、必需消费等表现出相对韧性，而高估值科技和金融因风险重估而承压。与此同时，债券收益率下降、黄金价格上涨体现了避险情绪依旧浓厚。 </w:t>
      </w:r>
    </w:p>
    <w:p w14:paraId="06CA5633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</w:p>
    <w:p w14:paraId="1B59849F" w14:textId="1C6C4DC2" w:rsidR="00AA40F5" w:rsidRDefault="00AA40F5" w:rsidP="00AA40F5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lastRenderedPageBreak/>
        <w:t>综合来看，2 月市场的剧烈波动并非某一因素单独作用的结果，而是在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 xml:space="preserve">高通胀背景、AI </w:t>
      </w:r>
      <w:r w:rsidR="00DF7139">
        <w:rPr>
          <w:rFonts w:ascii="KaiTi" w:eastAsia="KaiTi" w:hAnsi="KaiTi" w:cs="Heiti TC" w:hint="eastAsia"/>
          <w:b/>
          <w:bCs/>
          <w:kern w:val="0"/>
          <w14:ligatures w14:val="none"/>
        </w:rPr>
        <w:t>恐慌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与宏观政策不确定性交织下的市场震荡。</w:t>
      </w:r>
    </w:p>
    <w:p w14:paraId="14630285" w14:textId="77777777" w:rsidR="00AA40F5" w:rsidRPr="00AA40F5" w:rsidRDefault="00AA40F5" w:rsidP="00AA40F5">
      <w:pPr>
        <w:rPr>
          <w:rFonts w:ascii="KaiTi" w:eastAsia="KaiTi" w:hAnsi="KaiTi" w:cs="Heiti TC" w:hint="eastAsia"/>
          <w:kern w:val="0"/>
          <w14:ligatures w14:val="none"/>
        </w:rPr>
      </w:pPr>
    </w:p>
    <w:p w14:paraId="77518BB7" w14:textId="68C2D6DF" w:rsidR="00AA40F5" w:rsidRPr="00AA40F5" w:rsidRDefault="00AA40F5" w:rsidP="00AA40F5">
      <w:pPr>
        <w:rPr>
          <w:rFonts w:ascii="KaiTi" w:eastAsia="KaiTi" w:hAnsi="KaiTi" w:cs="Heiti TC" w:hint="eastAsia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>3. 日本市场观察 | PBR改革</w:t>
      </w:r>
      <w:r>
        <w:rPr>
          <w:rFonts w:ascii="KaiTi" w:eastAsia="KaiTi" w:hAnsi="KaiTi" w:cs="Heiti TC" w:hint="eastAsia"/>
          <w:b/>
          <w:bCs/>
          <w:kern w:val="0"/>
          <w14:ligatures w14:val="none"/>
        </w:rPr>
        <w:t>跟踪</w:t>
      </w:r>
    </w:p>
    <w:p w14:paraId="35D94593" w14:textId="41C07821" w:rsidR="00842F7A" w:rsidRPr="00842F7A" w:rsidRDefault="00842F7A" w:rsidP="00842F7A">
      <w:pPr>
        <w:numPr>
          <w:ilvl w:val="0"/>
          <w:numId w:val="4"/>
        </w:num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 w:hint="eastAsia"/>
          <w:b/>
          <w:bCs/>
          <w:kern w:val="0"/>
          <w14:ligatures w14:val="none"/>
        </w:rPr>
        <w:t>日经225指数</w:t>
      </w:r>
      <w:r w:rsidRPr="00842F7A">
        <w:rPr>
          <w:rFonts w:ascii="KaiTi" w:eastAsia="KaiTi" w:hAnsi="KaiTi" w:cs="Heiti TC"/>
          <w:b/>
          <w:bCs/>
          <w:kern w:val="0"/>
          <w14:ligatures w14:val="none"/>
        </w:rPr>
        <w:t>年初至今上涨约 1</w:t>
      </w:r>
      <w:r>
        <w:rPr>
          <w:rFonts w:ascii="KaiTi" w:eastAsia="KaiTi" w:hAnsi="KaiTi" w:cs="Heiti TC" w:hint="eastAsia"/>
          <w:b/>
          <w:bCs/>
          <w:kern w:val="0"/>
          <w14:ligatures w14:val="none"/>
        </w:rPr>
        <w:t>6.91%</w:t>
      </w:r>
      <w:r w:rsidRPr="00842F7A">
        <w:rPr>
          <w:rFonts w:ascii="KaiTi" w:eastAsia="KaiTi" w:hAnsi="KaiTi" w:cs="Heiti TC"/>
          <w:kern w:val="0"/>
          <w14:ligatures w14:val="none"/>
        </w:rPr>
        <w:t xml:space="preserve"> </w:t>
      </w:r>
      <w:r>
        <w:rPr>
          <w:rFonts w:ascii="KaiTi" w:eastAsia="KaiTi" w:hAnsi="KaiTi" w:cs="Heiti TC" w:hint="eastAsia"/>
          <w:kern w:val="0"/>
          <w14:ligatures w14:val="none"/>
        </w:rPr>
        <w:t>，</w:t>
      </w:r>
      <w:r w:rsidRPr="00842F7A">
        <w:rPr>
          <w:rFonts w:ascii="KaiTi" w:eastAsia="KaiTi" w:hAnsi="KaiTi" w:cs="Heiti TC"/>
          <w:kern w:val="0"/>
          <w14:ligatures w14:val="none"/>
        </w:rPr>
        <w:t xml:space="preserve">TOPIX 同期表现同样强劲，涨幅约 </w:t>
      </w:r>
      <w:r w:rsidRPr="00842F7A">
        <w:rPr>
          <w:rFonts w:ascii="KaiTi" w:eastAsia="KaiTi" w:hAnsi="KaiTi" w:cs="Heiti TC"/>
          <w:b/>
          <w:bCs/>
          <w:kern w:val="0"/>
          <w14:ligatures w14:val="none"/>
        </w:rPr>
        <w:t>1</w:t>
      </w:r>
      <w:r>
        <w:rPr>
          <w:rFonts w:ascii="KaiTi" w:eastAsia="KaiTi" w:hAnsi="KaiTi" w:cs="Heiti TC" w:hint="eastAsia"/>
          <w:b/>
          <w:bCs/>
          <w:kern w:val="0"/>
          <w14:ligatures w14:val="none"/>
        </w:rPr>
        <w:t>5.54</w:t>
      </w:r>
      <w:r w:rsidRPr="00842F7A">
        <w:rPr>
          <w:rFonts w:ascii="KaiTi" w:eastAsia="KaiTi" w:hAnsi="KaiTi" w:cs="Heiti TC"/>
          <w:b/>
          <w:bCs/>
          <w:kern w:val="0"/>
          <w14:ligatures w14:val="none"/>
        </w:rPr>
        <w:t>%</w:t>
      </w:r>
      <w:r w:rsidRPr="00842F7A">
        <w:rPr>
          <w:rFonts w:ascii="KaiTi" w:eastAsia="KaiTi" w:hAnsi="KaiTi" w:cs="Heiti TC"/>
          <w:kern w:val="0"/>
          <w14:ligatures w14:val="none"/>
        </w:rPr>
        <w:t xml:space="preserve">，整体市场普遍上升，反映板块结构性改善。 </w:t>
      </w:r>
    </w:p>
    <w:p w14:paraId="070931E6" w14:textId="4228E317" w:rsidR="00842F7A" w:rsidRDefault="00842F7A" w:rsidP="00AA40F5">
      <w:pPr>
        <w:rPr>
          <w:rFonts w:ascii="KaiTi" w:eastAsia="KaiTi" w:hAnsi="KaiTi" w:cs="Heiti TC"/>
          <w:kern w:val="0"/>
          <w14:ligatures w14:val="none"/>
        </w:rPr>
      </w:pPr>
      <w:r w:rsidRPr="00842F7A">
        <w:rPr>
          <w:rFonts w:ascii="KaiTi" w:eastAsia="KaiTi" w:hAnsi="KaiTi" w:cs="Heiti TC"/>
          <w:kern w:val="0"/>
          <w14:ligatures w14:val="none"/>
        </w:rPr>
        <w:t xml:space="preserve">这些表现说明在新政策预期与企业治理改善的推动下，日本股市不仅延续去年的上涨趋势，还在 </w:t>
      </w:r>
      <w:r w:rsidRPr="00842F7A">
        <w:rPr>
          <w:rFonts w:ascii="KaiTi" w:eastAsia="KaiTi" w:hAnsi="KaiTi" w:cs="Heiti TC"/>
          <w:b/>
          <w:bCs/>
          <w:kern w:val="0"/>
          <w14:ligatures w14:val="none"/>
        </w:rPr>
        <w:t>2026 初再次站上新高并保持显著正收益</w:t>
      </w:r>
      <w:r w:rsidRPr="00842F7A">
        <w:rPr>
          <w:rFonts w:ascii="KaiTi" w:eastAsia="KaiTi" w:hAnsi="KaiTi" w:cs="Heiti TC"/>
          <w:kern w:val="0"/>
          <w14:ligatures w14:val="none"/>
        </w:rPr>
        <w:t>。</w:t>
      </w:r>
    </w:p>
    <w:p w14:paraId="58D6D3E6" w14:textId="77777777" w:rsidR="00842F7A" w:rsidRDefault="00842F7A" w:rsidP="00AA40F5">
      <w:pPr>
        <w:rPr>
          <w:rFonts w:ascii="KaiTi" w:eastAsia="KaiTi" w:hAnsi="KaiTi" w:cs="Heiti TC"/>
          <w:kern w:val="0"/>
          <w14:ligatures w14:val="none"/>
        </w:rPr>
      </w:pPr>
    </w:p>
    <w:p w14:paraId="52F28BC3" w14:textId="6C04965C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日本市场这一轮持续上涨，本质是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政治确定性与资本效率提升的叠加共振</w:t>
      </w:r>
      <w:r w:rsidRPr="00AA40F5">
        <w:rPr>
          <w:rFonts w:ascii="KaiTi" w:eastAsia="KaiTi" w:hAnsi="KaiTi" w:cs="Heiti TC"/>
          <w:kern w:val="0"/>
          <w14:ligatures w14:val="none"/>
        </w:rPr>
        <w:t>。自民党取得压倒性胜利，使高市早苗主张的财政刺激与产业扶持政策执行路径更加清晰，政策风险溢价显著下降；与此同时，日本监管层持续推动PBR改革，要求企业提升资本回报、加强分红与回购、优化资产结构，市场对ROE改善与现金流质量的预期上修。当“增长预期提升”与“资本效率提升”同时发生，估值中枢自然抬升。换句话说，这不是情绪推动的反弹，而是一场制度与企业行为共同驱动的结构性重估。</w:t>
      </w:r>
    </w:p>
    <w:p w14:paraId="6A870D21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</w:p>
    <w:p w14:paraId="2210F78D" w14:textId="47B4C1D3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在</w:t>
      </w:r>
      <w:r w:rsidR="00842F7A">
        <w:rPr>
          <w:rFonts w:ascii="KaiTi" w:eastAsia="KaiTi" w:hAnsi="KaiTi" w:cs="Heiti TC" w:hint="eastAsia"/>
          <w:kern w:val="0"/>
          <w14:ligatures w14:val="none"/>
        </w:rPr>
        <w:t>上月通讯发出后的周末</w:t>
      </w:r>
      <w:r w:rsidRPr="00AA40F5">
        <w:rPr>
          <w:rFonts w:ascii="KaiTi" w:eastAsia="KaiTi" w:hAnsi="KaiTi" w:cs="Heiti TC" w:hint="eastAsia"/>
          <w:kern w:val="0"/>
          <w14:ligatures w14:val="none"/>
        </w:rPr>
        <w:t>，</w:t>
      </w:r>
      <w:r w:rsidRPr="00AA40F5">
        <w:rPr>
          <w:rFonts w:ascii="KaiTi" w:eastAsia="KaiTi" w:hAnsi="KaiTi" w:cs="Heiti TC"/>
          <w:kern w:val="0"/>
          <w14:ligatures w14:val="none"/>
        </w:rPr>
        <w:t>我们</w:t>
      </w:r>
      <w:r w:rsidR="00842F7A">
        <w:rPr>
          <w:rFonts w:ascii="KaiTi" w:eastAsia="KaiTi" w:hAnsi="KaiTi" w:cs="Heiti TC" w:hint="eastAsia"/>
          <w:kern w:val="0"/>
          <w14:ligatures w14:val="none"/>
        </w:rPr>
        <w:t>日本PBR改革</w:t>
      </w:r>
      <w:r w:rsidRPr="00AA40F5">
        <w:rPr>
          <w:rFonts w:ascii="KaiTi" w:eastAsia="KaiTi" w:hAnsi="KaiTi" w:cs="Heiti TC"/>
          <w:kern w:val="0"/>
          <w14:ligatures w14:val="none"/>
        </w:rPr>
        <w:t xml:space="preserve">观察名单中的 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两家日本企业完成了私有化（</w:t>
      </w:r>
      <w:r w:rsidR="00957B84">
        <w:rPr>
          <w:rFonts w:ascii="KaiTi" w:eastAsia="KaiTi" w:hAnsi="KaiTi" w:cs="Heiti TC" w:hint="eastAsia"/>
          <w:b/>
          <w:bCs/>
          <w:kern w:val="0"/>
          <w14:ligatures w14:val="none"/>
        </w:rPr>
        <w:t>TOB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）</w:t>
      </w:r>
      <w:r w:rsidR="00957B84">
        <w:rPr>
          <w:rFonts w:ascii="KaiTi" w:eastAsia="KaiTi" w:hAnsi="KaiTi" w:cs="Heiti TC" w:hint="eastAsia"/>
          <w:b/>
          <w:bCs/>
          <w:kern w:val="0"/>
          <w14:ligatures w14:val="none"/>
        </w:rPr>
        <w:t>收购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，平均溢价率约 110% 左右</w:t>
      </w:r>
      <w:r w:rsidRPr="00AA40F5">
        <w:rPr>
          <w:rFonts w:ascii="KaiTi" w:eastAsia="KaiTi" w:hAnsi="KaiTi" w:cs="Heiti TC"/>
          <w:kern w:val="0"/>
          <w14:ligatures w14:val="none"/>
        </w:rPr>
        <w:t>。（</w:t>
      </w:r>
      <w:r w:rsidR="00842F7A">
        <w:rPr>
          <w:rFonts w:ascii="KaiTi" w:eastAsia="KaiTi" w:hAnsi="KaiTi" w:cs="Heiti TC" w:hint="eastAsia"/>
          <w:kern w:val="0"/>
          <w14:ligatures w14:val="none"/>
        </w:rPr>
        <w:t>详见文章《烟蒂的余温，抽一口挣1倍你别嫌弃》</w:t>
      </w:r>
      <w:r w:rsidRPr="00AA40F5">
        <w:rPr>
          <w:rFonts w:ascii="KaiTi" w:eastAsia="KaiTi" w:hAnsi="KaiTi" w:cs="Heiti TC"/>
          <w:kern w:val="0"/>
          <w14:ligatures w14:val="none"/>
        </w:rPr>
        <w:t>）</w:t>
      </w:r>
    </w:p>
    <w:p w14:paraId="194907D5" w14:textId="77777777" w:rsidR="00AA40F5" w:rsidRPr="00AA40F5" w:rsidRDefault="00AA40F5" w:rsidP="00AA40F5">
      <w:pPr>
        <w:rPr>
          <w:rFonts w:ascii="KaiTi" w:eastAsia="KaiTi" w:hAnsi="KaiTi" w:cs="Heiti TC" w:hint="eastAsia"/>
          <w:kern w:val="0"/>
          <w14:ligatures w14:val="none"/>
        </w:rPr>
      </w:pPr>
    </w:p>
    <w:p w14:paraId="21BE468E" w14:textId="0AFB1425" w:rsidR="00AA40F5" w:rsidRPr="00AA40F5" w:rsidRDefault="00957B84" w:rsidP="00AA40F5">
      <w:pPr>
        <w:rPr>
          <w:rFonts w:ascii="KaiTi" w:eastAsia="KaiTi" w:hAnsi="KaiTi" w:cs="Heiti TC" w:hint="eastAsia"/>
          <w:kern w:val="0"/>
          <w14:ligatures w14:val="none"/>
        </w:rPr>
      </w:pPr>
      <w:r>
        <w:rPr>
          <w:rFonts w:ascii="KaiTi" w:eastAsia="KaiTi" w:hAnsi="KaiTi" w:cs="Heiti TC" w:hint="eastAsia"/>
          <w:kern w:val="0"/>
          <w14:ligatures w14:val="none"/>
        </w:rPr>
        <w:t>这次日本PBR改革给了我们一个很好的观察机会：</w:t>
      </w:r>
    </w:p>
    <w:p w14:paraId="35C784F3" w14:textId="1133C2E2" w:rsidR="00AA40F5" w:rsidRDefault="00AA40F5" w:rsidP="00AA40F5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>当市场从“低估值陷阱”向“价值重估逻辑”转变时，资本流向与资产价值</w:t>
      </w:r>
      <w:r w:rsidR="00957B84">
        <w:rPr>
          <w:rFonts w:ascii="KaiTi" w:eastAsia="KaiTi" w:hAnsi="KaiTi" w:cs="Heiti TC" w:hint="eastAsia"/>
          <w:b/>
          <w:bCs/>
          <w:kern w:val="0"/>
          <w14:ligatures w14:val="none"/>
        </w:rPr>
        <w:t>的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重新定价</w:t>
      </w:r>
      <w:r w:rsidR="00957B84">
        <w:rPr>
          <w:rFonts w:ascii="KaiTi" w:eastAsia="KaiTi" w:hAnsi="KaiTi" w:cs="Heiti TC" w:hint="eastAsia"/>
          <w:b/>
          <w:bCs/>
          <w:kern w:val="0"/>
          <w14:ligatures w14:val="none"/>
        </w:rPr>
        <w:t>是如何发展和实现的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。</w:t>
      </w:r>
    </w:p>
    <w:p w14:paraId="348087F2" w14:textId="77777777" w:rsidR="00842F7A" w:rsidRDefault="00842F7A" w:rsidP="00AA40F5">
      <w:pPr>
        <w:rPr>
          <w:rFonts w:ascii="KaiTi" w:eastAsia="KaiTi" w:hAnsi="KaiTi" w:cs="Heiti TC" w:hint="eastAsia"/>
          <w:b/>
          <w:bCs/>
          <w:kern w:val="0"/>
          <w14:ligatures w14:val="none"/>
        </w:rPr>
      </w:pPr>
    </w:p>
    <w:p w14:paraId="09AD2FBB" w14:textId="31D6A768" w:rsidR="00AA40F5" w:rsidRPr="00AA40F5" w:rsidRDefault="00AA40F5" w:rsidP="00AA40F5">
      <w:pPr>
        <w:rPr>
          <w:rFonts w:ascii="KaiTi" w:eastAsia="KaiTi" w:hAnsi="KaiTi" w:cs="Heiti TC" w:hint="eastAsia"/>
          <w:b/>
          <w:bCs/>
          <w:kern w:val="0"/>
          <w14:ligatures w14:val="none"/>
        </w:rPr>
      </w:pPr>
      <w:r w:rsidRPr="00AA40F5">
        <w:rPr>
          <w:rFonts w:ascii="KaiTi" w:eastAsia="KaiTi" w:hAnsi="KaiTi" w:cs="Heiti TC"/>
          <w:b/>
          <w:bCs/>
          <w:kern w:val="0"/>
          <w14:ligatures w14:val="none"/>
        </w:rPr>
        <w:t xml:space="preserve">4. </w:t>
      </w:r>
      <w:r w:rsidR="00842F7A">
        <w:rPr>
          <w:rFonts w:ascii="KaiTi" w:eastAsia="KaiTi" w:hAnsi="KaiTi" w:cs="Heiti TC" w:hint="eastAsia"/>
          <w:b/>
          <w:bCs/>
          <w:kern w:val="0"/>
          <w14:ligatures w14:val="none"/>
        </w:rPr>
        <w:t>美以对伊朗突袭</w:t>
      </w:r>
      <w:r w:rsidRPr="00AA40F5">
        <w:rPr>
          <w:rFonts w:ascii="KaiTi" w:eastAsia="KaiTi" w:hAnsi="KaiTi" w:cs="Heiti TC" w:hint="eastAsia"/>
          <w:b/>
          <w:bCs/>
          <w:kern w:val="0"/>
          <w14:ligatures w14:val="none"/>
        </w:rPr>
        <w:t xml:space="preserve"> 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 xml:space="preserve">| </w:t>
      </w:r>
      <w:r w:rsidR="00842F7A">
        <w:rPr>
          <w:rFonts w:ascii="KaiTi" w:eastAsia="KaiTi" w:hAnsi="KaiTi" w:cs="Heiti TC" w:hint="eastAsia"/>
          <w:b/>
          <w:bCs/>
          <w:kern w:val="0"/>
          <w14:ligatures w14:val="none"/>
        </w:rPr>
        <w:t>地缘冲突剧变，配置何去何从</w:t>
      </w:r>
    </w:p>
    <w:p w14:paraId="540CD147" w14:textId="77777777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</w:p>
    <w:p w14:paraId="0AC5816A" w14:textId="527C8AD5" w:rsidR="00AA40F5" w:rsidRPr="00AA40F5" w:rsidRDefault="00AA40F5" w:rsidP="00AA40F5">
      <w:pPr>
        <w:rPr>
          <w:rFonts w:ascii="KaiTi" w:eastAsia="KaiTi" w:hAnsi="KaiTi" w:cs="Heiti TC"/>
          <w:kern w:val="0"/>
          <w14:ligatures w14:val="none"/>
        </w:rPr>
      </w:pPr>
      <w:r w:rsidRPr="00AA40F5">
        <w:rPr>
          <w:rFonts w:ascii="KaiTi" w:eastAsia="KaiTi" w:hAnsi="KaiTi" w:cs="Heiti TC"/>
          <w:kern w:val="0"/>
          <w14:ligatures w14:val="none"/>
        </w:rPr>
        <w:t>2 月最后一天，</w:t>
      </w:r>
      <w:r w:rsidRPr="00AA40F5">
        <w:rPr>
          <w:rFonts w:ascii="KaiTi" w:eastAsia="KaiTi" w:hAnsi="KaiTi" w:cs="Heiti TC"/>
          <w:b/>
          <w:bCs/>
          <w:kern w:val="0"/>
          <w14:ligatures w14:val="none"/>
        </w:rPr>
        <w:t>美以联手对伊朗采取军事行动</w:t>
      </w:r>
      <w:r w:rsidRPr="00AA40F5">
        <w:rPr>
          <w:rFonts w:ascii="KaiTi" w:eastAsia="KaiTi" w:hAnsi="KaiTi" w:cs="Heiti TC"/>
          <w:kern w:val="0"/>
          <w14:ligatures w14:val="none"/>
        </w:rPr>
        <w:t>，引发全球金融市场避险情绪显著升温</w:t>
      </w:r>
      <w:r w:rsidR="00192496">
        <w:rPr>
          <w:rFonts w:ascii="KaiTi" w:eastAsia="KaiTi" w:hAnsi="KaiTi" w:cs="Heiti TC" w:hint="eastAsia"/>
          <w:kern w:val="0"/>
          <w14:ligatures w14:val="none"/>
        </w:rPr>
        <w:t>。</w:t>
      </w:r>
      <w:r w:rsidR="00192496" w:rsidRPr="00192496">
        <w:rPr>
          <w:rFonts w:ascii="KaiTi" w:eastAsia="KaiTi" w:hAnsi="KaiTi" w:cs="Heiti TC" w:hint="eastAsia"/>
          <w:kern w:val="0"/>
          <w14:ligatures w14:val="none"/>
        </w:rPr>
        <w:t>在</w:t>
      </w:r>
      <w:r w:rsidR="00192496">
        <w:rPr>
          <w:rFonts w:ascii="KaiTi" w:eastAsia="KaiTi" w:hAnsi="KaiTi" w:cs="Heiti TC" w:hint="eastAsia"/>
          <w:kern w:val="0"/>
          <w14:ligatures w14:val="none"/>
        </w:rPr>
        <w:t>各类媒体</w:t>
      </w:r>
      <w:r w:rsidR="00192496" w:rsidRPr="00192496">
        <w:rPr>
          <w:rFonts w:ascii="KaiTi" w:eastAsia="KaiTi" w:hAnsi="KaiTi" w:cs="Heiti TC" w:hint="eastAsia"/>
          <w:kern w:val="0"/>
          <w14:ligatures w14:val="none"/>
        </w:rPr>
        <w:t>的</w:t>
      </w:r>
      <w:r w:rsidR="00192496">
        <w:rPr>
          <w:rFonts w:ascii="KaiTi" w:eastAsia="KaiTi" w:hAnsi="KaiTi" w:cs="Heiti TC" w:hint="eastAsia"/>
          <w:kern w:val="0"/>
          <w14:ligatures w14:val="none"/>
        </w:rPr>
        <w:t>头条新闻和各类自媒体的建政分析以外</w:t>
      </w:r>
      <w:r w:rsidR="00192496" w:rsidRPr="00192496">
        <w:rPr>
          <w:rFonts w:ascii="KaiTi" w:eastAsia="KaiTi" w:hAnsi="KaiTi" w:cs="Heiti TC" w:hint="eastAsia"/>
          <w:kern w:val="0"/>
          <w14:ligatures w14:val="none"/>
        </w:rPr>
        <w:t>，作为您的</w:t>
      </w:r>
      <w:r w:rsidR="00957B84">
        <w:rPr>
          <w:rFonts w:ascii="KaiTi" w:eastAsia="KaiTi" w:hAnsi="KaiTi" w:cs="Heiti TC" w:hint="eastAsia"/>
          <w:kern w:val="0"/>
          <w14:ligatures w14:val="none"/>
        </w:rPr>
        <w:t>顾问</w:t>
      </w:r>
      <w:r w:rsidR="00192496" w:rsidRPr="00192496">
        <w:rPr>
          <w:rFonts w:ascii="KaiTi" w:eastAsia="KaiTi" w:hAnsi="KaiTi" w:cs="Heiti TC" w:hint="eastAsia"/>
          <w:kern w:val="0"/>
          <w14:ligatures w14:val="none"/>
        </w:rPr>
        <w:t>，我更倾向于关掉</w:t>
      </w:r>
      <w:r w:rsidR="00192496">
        <w:rPr>
          <w:rFonts w:ascii="KaiTi" w:eastAsia="KaiTi" w:hAnsi="KaiTi" w:cs="Heiti TC" w:hint="eastAsia"/>
          <w:kern w:val="0"/>
          <w14:ligatures w14:val="none"/>
        </w:rPr>
        <w:t>这些喧嚣的媒体</w:t>
      </w:r>
      <w:r w:rsidR="00192496" w:rsidRPr="00192496">
        <w:rPr>
          <w:rFonts w:ascii="KaiTi" w:eastAsia="KaiTi" w:hAnsi="KaiTi" w:cs="Heiti TC" w:hint="eastAsia"/>
          <w:kern w:val="0"/>
          <w14:ligatures w14:val="none"/>
        </w:rPr>
        <w:t>，从更深层的周期和风险逻辑出发，与各位探讨现状。</w:t>
      </w:r>
    </w:p>
    <w:p w14:paraId="724B0B7B" w14:textId="77777777" w:rsidR="00192496" w:rsidRPr="00192496" w:rsidRDefault="00192496" w:rsidP="00192496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lastRenderedPageBreak/>
        <w:t>一、 警惕一阶反应：市场是否已经“卖在事实”？</w:t>
      </w:r>
    </w:p>
    <w:p w14:paraId="44047275" w14:textId="649D7E92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大多数投资者的反应是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一阶思维（First-Level Thinking）</w:t>
      </w:r>
      <w:r w:rsidRPr="00192496">
        <w:rPr>
          <w:rFonts w:ascii="KaiTi" w:eastAsia="KaiTi" w:hAnsi="KaiTi" w:cs="Heiti TC"/>
          <w:kern w:val="0"/>
          <w14:ligatures w14:val="none"/>
        </w:rPr>
        <w:t>：战争爆发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>
        <w:rPr>
          <w:rFonts w:ascii="Calibri" w:eastAsia="KaiTi" w:hAnsi="Calibri" w:cs="Calibri" w:hint="eastAsia"/>
          <w:kern w:val="0"/>
          <w14:ligatures w14:val="none"/>
        </w:rPr>
        <w:t>-</w:t>
      </w:r>
      <w:r>
        <w:rPr>
          <w:rFonts w:ascii="Calibri" w:eastAsia="KaiTi" w:hAnsi="Calibri" w:cs="Calibri"/>
          <w:kern w:val="0"/>
          <w14:ligatures w14:val="none"/>
        </w:rPr>
        <w:t>&gt;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油价上涨、金价飙升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>
        <w:rPr>
          <w:rFonts w:ascii="Calibri" w:eastAsia="KaiTi" w:hAnsi="Calibri" w:cs="Calibri"/>
          <w:kern w:val="0"/>
          <w14:ligatures w14:val="none"/>
        </w:rPr>
        <w:t>-&gt;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抛售风险资产。</w:t>
      </w:r>
    </w:p>
    <w:p w14:paraId="79A7C73F" w14:textId="77777777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然而，优秀的投资者必须具备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二阶思维（Second-Level Thinking）</w:t>
      </w:r>
      <w:r w:rsidRPr="00192496">
        <w:rPr>
          <w:rFonts w:ascii="KaiTi" w:eastAsia="KaiTi" w:hAnsi="KaiTi" w:cs="Heiti TC"/>
          <w:kern w:val="0"/>
          <w14:ligatures w14:val="none"/>
        </w:rPr>
        <w:t>。我们需要问自己：</w:t>
      </w:r>
    </w:p>
    <w:p w14:paraId="3493A670" w14:textId="77777777" w:rsidR="00192496" w:rsidRPr="00192496" w:rsidRDefault="00192496" w:rsidP="00192496">
      <w:pPr>
        <w:numPr>
          <w:ilvl w:val="0"/>
          <w:numId w:val="5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预期定价（Price-in）：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过去一个月中，中东局势的持续紧张是否已被市场部分消化？如果答案是肯定的，那么当炸弹落地时，往往是避险资产波动率的顶点。</w:t>
      </w:r>
    </w:p>
    <w:p w14:paraId="1F64D568" w14:textId="5D846CAF" w:rsidR="00192496" w:rsidRPr="00192496" w:rsidRDefault="00192496" w:rsidP="00192496">
      <w:pPr>
        <w:numPr>
          <w:ilvl w:val="0"/>
          <w:numId w:val="5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历史的重复性：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回溯近30年的地缘冲突（从海湾战争到俄乌冲突），市场的第一反应往往是过度激烈的。通常在冲突爆发后的最初几天，恐慌盘会推高</w:t>
      </w:r>
      <w:r>
        <w:rPr>
          <w:rFonts w:ascii="KaiTi" w:eastAsia="KaiTi" w:hAnsi="KaiTi" w:cs="Heiti TC" w:hint="eastAsia"/>
          <w:kern w:val="0"/>
          <w14:ligatures w14:val="none"/>
        </w:rPr>
        <w:t>避险</w:t>
      </w:r>
      <w:r w:rsidRPr="00192496">
        <w:rPr>
          <w:rFonts w:ascii="KaiTi" w:eastAsia="KaiTi" w:hAnsi="KaiTi" w:cs="Heiti TC"/>
          <w:kern w:val="0"/>
          <w14:ligatures w14:val="none"/>
        </w:rPr>
        <w:t>资产价格，</w:t>
      </w:r>
      <w:r>
        <w:rPr>
          <w:rFonts w:ascii="KaiTi" w:eastAsia="KaiTi" w:hAnsi="KaiTi" w:cs="Heiti TC" w:hint="eastAsia"/>
          <w:kern w:val="0"/>
          <w14:ligatures w14:val="none"/>
        </w:rPr>
        <w:t>甩卖风险资产。</w:t>
      </w:r>
      <w:r w:rsidRPr="00192496">
        <w:rPr>
          <w:rFonts w:ascii="KaiTi" w:eastAsia="KaiTi" w:hAnsi="KaiTi" w:cs="Heiti TC"/>
          <w:kern w:val="0"/>
          <w14:ligatures w14:val="none"/>
        </w:rPr>
        <w:t>但只要冲突未演变为全面世界大战，波动往往在一周内回归均值。</w:t>
      </w:r>
    </w:p>
    <w:p w14:paraId="7A5BAB87" w14:textId="77777777" w:rsidR="00192496" w:rsidRPr="00192496" w:rsidRDefault="00192496" w:rsidP="00192496">
      <w:pPr>
        <w:numPr>
          <w:ilvl w:val="0"/>
          <w:numId w:val="5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散户接盘陷阱：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所谓“买在预期，卖在事实”。当晚报头条都在讨论避险时，往往是聪明钱（Smart Money）开始减仓避险资产、重新审视被错杀的优质蓝筹股之时。</w:t>
      </w:r>
    </w:p>
    <w:p w14:paraId="29D05574" w14:textId="77777777" w:rsidR="00192496" w:rsidRPr="00192496" w:rsidRDefault="00192496" w:rsidP="00192496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二、 极端假设：如果“暂时性冲击”转为“结构性恶化”</w:t>
      </w:r>
    </w:p>
    <w:p w14:paraId="386AFCE9" w14:textId="77777777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作为风控专家，我们必须为低概率、高影响的“尾部风险”做准备。如果冲突持续升级，我们需要关注以下连锁反应：</w:t>
      </w:r>
    </w:p>
    <w:p w14:paraId="7B755234" w14:textId="62ED74B5" w:rsidR="00192496" w:rsidRPr="00192496" w:rsidRDefault="00192496" w:rsidP="00192496">
      <w:pPr>
        <w:numPr>
          <w:ilvl w:val="0"/>
          <w:numId w:val="6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能源通胀的螺旋：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若油价</w:t>
      </w:r>
      <w:r>
        <w:rPr>
          <w:rFonts w:ascii="KaiTi" w:eastAsia="KaiTi" w:hAnsi="KaiTi" w:cs="Heiti TC" w:hint="eastAsia"/>
          <w:kern w:val="0"/>
          <w14:ligatures w14:val="none"/>
        </w:rPr>
        <w:t>冲上</w:t>
      </w:r>
      <w:r>
        <w:rPr>
          <w:rFonts w:ascii="Calibri" w:eastAsia="KaiTi" w:hAnsi="Calibri" w:cs="Calibri" w:hint="eastAsia"/>
          <w:kern w:val="0"/>
          <w14:ligatures w14:val="none"/>
        </w:rPr>
        <w:t>100</w:t>
      </w:r>
      <w:r w:rsidRPr="00192496">
        <w:rPr>
          <w:rFonts w:ascii="KaiTi" w:eastAsia="KaiTi" w:hAnsi="KaiTi" w:cs="Heiti TC"/>
          <w:kern w:val="0"/>
          <w14:ligatures w14:val="none"/>
        </w:rPr>
        <w:t>美元/桶以上，此前美联储对抗通胀的努力可能功亏一篑。</w:t>
      </w:r>
    </w:p>
    <w:p w14:paraId="5EDF93BE" w14:textId="711771CE" w:rsidR="00192496" w:rsidRPr="00192496" w:rsidRDefault="00192496" w:rsidP="00192496">
      <w:pPr>
        <w:numPr>
          <w:ilvl w:val="0"/>
          <w:numId w:val="6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货币政策的反噬：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通胀居高不下将迫使美联储放弃降息，甚至不排除再次加息的可能。这会导致全球无风险利率（10年期美债收益率）进一步上行，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直接挤压所有风险资产的估值（P/E）空间</w:t>
      </w:r>
      <w:r w:rsidRPr="00192496">
        <w:rPr>
          <w:rFonts w:ascii="KaiTi" w:eastAsia="KaiTi" w:hAnsi="KaiTi" w:cs="Heiti TC"/>
          <w:kern w:val="0"/>
          <w14:ligatures w14:val="none"/>
        </w:rPr>
        <w:t>。</w:t>
      </w:r>
    </w:p>
    <w:p w14:paraId="4233CDCB" w14:textId="2B75E825" w:rsidR="00192496" w:rsidRPr="00192496" w:rsidRDefault="00192496" w:rsidP="00192496">
      <w:pPr>
        <w:numPr>
          <w:ilvl w:val="0"/>
          <w:numId w:val="6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新兴市场的脆弱性：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美元走强与高油价的双重挤压，将使新兴市场货币进入剧烈贬值通道。</w:t>
      </w:r>
    </w:p>
    <w:p w14:paraId="03BA4A63" w14:textId="77777777" w:rsidR="00192496" w:rsidRDefault="00192496" w:rsidP="00192496">
      <w:pPr>
        <w:spacing w:before="100" w:beforeAutospacing="1" w:after="100" w:afterAutospacing="1" w:line="240" w:lineRule="auto"/>
        <w:rPr>
          <w:rFonts w:ascii="Heiti TC" w:eastAsia="Heiti TC" w:hAnsi="Heiti TC" w:cs="Heiti TC"/>
          <w:color w:val="000000"/>
          <w:kern w:val="0"/>
          <w14:ligatures w14:val="none"/>
        </w:rPr>
      </w:pPr>
    </w:p>
    <w:p w14:paraId="7A4B38C6" w14:textId="55065D13" w:rsidR="00192496" w:rsidRPr="00957B84" w:rsidRDefault="00192496" w:rsidP="00192496">
      <w:pPr>
        <w:spacing w:before="100" w:beforeAutospacing="1" w:after="100" w:afterAutospacing="1" w:line="240" w:lineRule="auto"/>
        <w:jc w:val="center"/>
        <w:rPr>
          <w:rFonts w:ascii="KaiTi" w:eastAsia="KaiTi" w:hAnsi="KaiTi" w:cs="Times New Roman"/>
          <w:b/>
          <w:bCs/>
          <w:color w:val="EE0000"/>
          <w:kern w:val="0"/>
          <w:sz w:val="32"/>
          <w:szCs w:val="32"/>
          <w14:ligatures w14:val="none"/>
        </w:rPr>
      </w:pPr>
      <w:r w:rsidRPr="00192496">
        <w:rPr>
          <w:rFonts w:ascii="KaiTi" w:eastAsia="KaiTi" w:hAnsi="KaiTi" w:cs="Heiti TC" w:hint="eastAsia"/>
          <w:b/>
          <w:bCs/>
          <w:color w:val="EE0000"/>
          <w:kern w:val="0"/>
          <w:sz w:val="32"/>
          <w:szCs w:val="32"/>
          <w14:ligatures w14:val="none"/>
        </w:rPr>
        <w:t>我们不能预测，但我们可以准备。</w:t>
      </w:r>
    </w:p>
    <w:p w14:paraId="7DB7D113" w14:textId="77777777" w:rsidR="00192496" w:rsidRPr="00192496" w:rsidRDefault="00192496" w:rsidP="00192496">
      <w:pPr>
        <w:spacing w:before="100" w:beforeAutospacing="1" w:after="100" w:afterAutospacing="1" w:line="240" w:lineRule="auto"/>
        <w:rPr>
          <w:rFonts w:ascii="KaiTi" w:eastAsia="KaiTi" w:hAnsi="KaiTi" w:cs="Times New Roman" w:hint="eastAsia"/>
          <w:color w:val="000000"/>
          <w:kern w:val="0"/>
          <w14:ligatures w14:val="none"/>
        </w:rPr>
      </w:pPr>
    </w:p>
    <w:p w14:paraId="7FB89926" w14:textId="45170208" w:rsidR="00192496" w:rsidRPr="00192496" w:rsidRDefault="00192496" w:rsidP="00192496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1. 杠杆的克制：</w:t>
      </w:r>
      <w:r w:rsidR="00957B84" w:rsidRPr="00192496">
        <w:rPr>
          <w:rFonts w:ascii="KaiTi" w:eastAsia="KaiTi" w:hAnsi="KaiTi" w:cs="Heiti TC" w:hint="eastAsia"/>
          <w:b/>
          <w:bCs/>
          <w:kern w:val="0"/>
          <w14:ligatures w14:val="none"/>
        </w:rPr>
        <w:t>保护您的</w:t>
      </w:r>
      <w:r w:rsidR="00957B84" w:rsidRPr="00192496">
        <w:rPr>
          <w:rFonts w:ascii="KaiTi" w:eastAsia="KaiTi" w:hAnsi="KaiTi" w:cs="Heiti TC"/>
          <w:b/>
          <w:bCs/>
          <w:kern w:val="0"/>
          <w14:ligatures w14:val="none"/>
        </w:rPr>
        <w:t xml:space="preserve"> “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入场券”</w:t>
      </w:r>
    </w:p>
    <w:p w14:paraId="67D831F3" w14:textId="55C671CF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投资成功很大程度上取决于“在市场最艰难的时刻留在场内”。</w:t>
      </w:r>
    </w:p>
    <w:p w14:paraId="6C012DBD" w14:textId="1A47FF45" w:rsidR="00192496" w:rsidRPr="00192496" w:rsidRDefault="00192496" w:rsidP="00192496">
      <w:pPr>
        <w:numPr>
          <w:ilvl w:val="0"/>
          <w:numId w:val="13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lastRenderedPageBreak/>
        <w:t>杠杆的悖论：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杠杆在顺境中放大收益，但在极端回撤（如战争爆发引发的流动性挤压）中，它会剥夺您的</w:t>
      </w:r>
      <w:r>
        <w:rPr>
          <w:rFonts w:ascii="KaiTi" w:eastAsia="KaiTi" w:hAnsi="KaiTi" w:cs="Heiti TC" w:hint="eastAsia"/>
          <w:kern w:val="0"/>
          <w14:ligatures w14:val="none"/>
        </w:rPr>
        <w:t>机会</w:t>
      </w:r>
      <w:r w:rsidRPr="00192496">
        <w:rPr>
          <w:rFonts w:ascii="KaiTi" w:eastAsia="KaiTi" w:hAnsi="KaiTi" w:cs="Heiti TC"/>
          <w:kern w:val="0"/>
          <w14:ligatures w14:val="none"/>
        </w:rPr>
        <w:t>。强制平仓（Margin Call）是财富毁灭的头号杀手，因为它迫使你在价格最糟糕的时候变成卖家。</w:t>
      </w:r>
    </w:p>
    <w:p w14:paraId="04448C2C" w14:textId="5718BFF9" w:rsidR="00192496" w:rsidRPr="00192496" w:rsidRDefault="00192496" w:rsidP="00192496">
      <w:pPr>
        <w:numPr>
          <w:ilvl w:val="0"/>
          <w:numId w:val="13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我们不仅要降低财务杠杆，还要降低“心理杠杆”。即便没有战争，任何基于预期的加杠杆行为本质上都是在赌博未来。保持极低的杠杆率，意味着您拥有了市场最稀缺的资源——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决策的自主权</w:t>
      </w:r>
      <w:r w:rsidRPr="00192496">
        <w:rPr>
          <w:rFonts w:ascii="KaiTi" w:eastAsia="KaiTi" w:hAnsi="KaiTi" w:cs="Heiti TC"/>
          <w:kern w:val="0"/>
          <w14:ligatures w14:val="none"/>
        </w:rPr>
        <w:t>。</w:t>
      </w:r>
    </w:p>
    <w:p w14:paraId="54C225A9" w14:textId="40D54532" w:rsidR="00192496" w:rsidRPr="00192496" w:rsidRDefault="00192496" w:rsidP="00192496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2. 分散：构建全天候的资产矩阵</w:t>
      </w:r>
    </w:p>
    <w:p w14:paraId="372BAEA5" w14:textId="77777777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分散投资（Diversification）是金融学中唯一的“免费午餐”，但在危机时刻，许多资产的相关性会趋向于 1（即同步下跌）。</w:t>
      </w:r>
    </w:p>
    <w:p w14:paraId="21D7B926" w14:textId="70B0E104" w:rsidR="00192496" w:rsidRPr="00192496" w:rsidRDefault="00192496" w:rsidP="00192496">
      <w:pPr>
        <w:numPr>
          <w:ilvl w:val="0"/>
          <w:numId w:val="14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跨地域与跨工具布局：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真正的分散不是简单地多买几只股票，而是资产类别（黄金、长债、防御性股权）、地域（避险货币国家与新兴市场）以及法律架构（境内外信托、保单等）的深度解耦。</w:t>
      </w:r>
    </w:p>
    <w:p w14:paraId="6BE6AC09" w14:textId="5BCDAFCF" w:rsidR="00192496" w:rsidRPr="00192496" w:rsidRDefault="00192496" w:rsidP="00192496">
      <w:pPr>
        <w:numPr>
          <w:ilvl w:val="0"/>
          <w:numId w:val="14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工具的应用：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利用</w:t>
      </w:r>
      <w:r>
        <w:rPr>
          <w:rFonts w:ascii="KaiTi" w:eastAsia="KaiTi" w:hAnsi="KaiTi" w:cs="Heiti TC" w:hint="eastAsia"/>
          <w:kern w:val="0"/>
          <w14:ligatures w14:val="none"/>
        </w:rPr>
        <w:t>储蓄分红保单</w:t>
      </w:r>
      <w:r w:rsidRPr="00192496">
        <w:rPr>
          <w:rFonts w:ascii="KaiTi" w:eastAsia="KaiTi" w:hAnsi="KaiTi" w:cs="Heiti TC"/>
          <w:kern w:val="0"/>
          <w14:ligatures w14:val="none"/>
        </w:rPr>
        <w:t>来</w:t>
      </w:r>
      <w:r>
        <w:rPr>
          <w:rFonts w:ascii="KaiTi" w:eastAsia="KaiTi" w:hAnsi="KaiTi" w:cs="Heiti TC" w:hint="eastAsia"/>
          <w:kern w:val="0"/>
          <w14:ligatures w14:val="none"/>
        </w:rPr>
        <w:t>为</w:t>
      </w:r>
      <w:r w:rsidRPr="00192496">
        <w:rPr>
          <w:rFonts w:ascii="KaiTi" w:eastAsia="KaiTi" w:hAnsi="KaiTi" w:cs="Heiti TC"/>
          <w:kern w:val="0"/>
          <w14:ligatures w14:val="none"/>
        </w:rPr>
        <w:t>极端尾部风险</w:t>
      </w:r>
      <w:r>
        <w:rPr>
          <w:rFonts w:ascii="KaiTi" w:eastAsia="KaiTi" w:hAnsi="KaiTi" w:cs="Heiti TC" w:hint="eastAsia"/>
          <w:kern w:val="0"/>
          <w14:ligatures w14:val="none"/>
        </w:rPr>
        <w:t>作为兜底对冲</w:t>
      </w:r>
      <w:r w:rsidRPr="00192496">
        <w:rPr>
          <w:rFonts w:ascii="KaiTi" w:eastAsia="KaiTi" w:hAnsi="KaiTi" w:cs="Heiti TC"/>
          <w:kern w:val="0"/>
          <w14:ligatures w14:val="none"/>
        </w:rPr>
        <w:t>，确保当一方失火时，另一方的收益或稳定性能够提供足够的缓冲</w:t>
      </w:r>
      <w:r>
        <w:rPr>
          <w:rFonts w:ascii="KaiTi" w:eastAsia="KaiTi" w:hAnsi="KaiTi" w:cs="Heiti TC" w:hint="eastAsia"/>
          <w:kern w:val="0"/>
          <w14:ligatures w14:val="none"/>
        </w:rPr>
        <w:t>和安心</w:t>
      </w:r>
      <w:r w:rsidRPr="00192496">
        <w:rPr>
          <w:rFonts w:ascii="KaiTi" w:eastAsia="KaiTi" w:hAnsi="KaiTi" w:cs="Heiti TC"/>
          <w:kern w:val="0"/>
          <w14:ligatures w14:val="none"/>
        </w:rPr>
        <w:t>。</w:t>
      </w:r>
    </w:p>
    <w:p w14:paraId="0B62CF2E" w14:textId="1EB7F847" w:rsidR="00192496" w:rsidRPr="00192496" w:rsidRDefault="00192496" w:rsidP="00192496">
      <w:pPr>
        <w:rPr>
          <w:rFonts w:ascii="KaiTi" w:eastAsia="KaiTi" w:hAnsi="KaiTi" w:cs="Heiti TC"/>
          <w:b/>
          <w:bCs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3. 现金流为王：</w:t>
      </w:r>
      <w:r w:rsidRPr="00192496">
        <w:rPr>
          <w:rFonts w:ascii="KaiTi" w:eastAsia="KaiTi" w:hAnsi="KaiTi" w:cs="Heiti TC" w:hint="eastAsia"/>
          <w:b/>
          <w:bCs/>
          <w:kern w:val="0"/>
          <w14:ligatures w14:val="none"/>
        </w:rPr>
        <w:t>将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 xml:space="preserve"> “</w:t>
      </w:r>
      <w:r w:rsidRPr="00192496">
        <w:rPr>
          <w:rFonts w:ascii="KaiTi" w:eastAsia="KaiTi" w:hAnsi="KaiTi" w:cs="Heiti TC" w:hint="eastAsia"/>
          <w:b/>
          <w:bCs/>
          <w:kern w:val="0"/>
          <w14:ligatures w14:val="none"/>
        </w:rPr>
        <w:t>纸面富贵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”</w:t>
      </w:r>
      <w:r w:rsidRPr="00192496">
        <w:rPr>
          <w:rFonts w:ascii="KaiTi" w:eastAsia="KaiTi" w:hAnsi="KaiTi" w:cs="Heiti TC" w:hint="eastAsia"/>
          <w:b/>
          <w:bCs/>
          <w:kern w:val="0"/>
          <w14:ligatures w14:val="none"/>
        </w:rPr>
        <w:t xml:space="preserve"> 转化为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 xml:space="preserve"> “</w:t>
      </w:r>
      <w:r w:rsidRPr="00192496">
        <w:rPr>
          <w:rFonts w:ascii="KaiTi" w:eastAsia="KaiTi" w:hAnsi="KaiTi" w:cs="Heiti TC"/>
          <w:b/>
          <w:bCs/>
          <w:kern w:val="0"/>
          <w14:ligatures w14:val="none"/>
        </w:rPr>
        <w:t>生存耐力”</w:t>
      </w:r>
    </w:p>
    <w:p w14:paraId="68B2DF91" w14:textId="77777777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价格是虚幻的，只有现金流是真实的。</w:t>
      </w:r>
    </w:p>
    <w:p w14:paraId="31379EEF" w14:textId="0E032845" w:rsidR="00192496" w:rsidRPr="00192496" w:rsidRDefault="00192496" w:rsidP="00192496">
      <w:pPr>
        <w:numPr>
          <w:ilvl w:val="0"/>
          <w:numId w:val="15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确定性的力量：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无论纳斯达克跌了多少，或者油价如何震荡，如果您的投资组合中包含高质量的派息股、稳健的债权收益</w:t>
      </w:r>
      <w:r>
        <w:rPr>
          <w:rFonts w:ascii="KaiTi" w:eastAsia="KaiTi" w:hAnsi="KaiTi" w:cs="Heiti TC" w:hint="eastAsia"/>
          <w:kern w:val="0"/>
          <w14:ligatures w14:val="none"/>
        </w:rPr>
        <w:t>、</w:t>
      </w:r>
      <w:r w:rsidRPr="00192496">
        <w:rPr>
          <w:rFonts w:ascii="KaiTi" w:eastAsia="KaiTi" w:hAnsi="KaiTi" w:cs="Heiti TC"/>
          <w:kern w:val="0"/>
          <w14:ligatures w14:val="none"/>
        </w:rPr>
        <w:t>具有通胀抵御能力的租金收入</w:t>
      </w:r>
      <w:r>
        <w:rPr>
          <w:rFonts w:ascii="KaiTi" w:eastAsia="KaiTi" w:hAnsi="KaiTi" w:cs="Heiti TC" w:hint="eastAsia"/>
          <w:kern w:val="0"/>
          <w14:ligatures w14:val="none"/>
        </w:rPr>
        <w:t>或稳稳上升的储蓄分红险保单现金价值</w:t>
      </w:r>
      <w:r w:rsidRPr="00192496">
        <w:rPr>
          <w:rFonts w:ascii="KaiTi" w:eastAsia="KaiTi" w:hAnsi="KaiTi" w:cs="Heiti TC" w:hint="eastAsia"/>
          <w:kern w:val="0"/>
          <w14:ligatures w14:val="none"/>
        </w:rPr>
        <w:t>，</w:t>
      </w:r>
      <w:r w:rsidRPr="00192496">
        <w:rPr>
          <w:rFonts w:ascii="KaiTi" w:eastAsia="KaiTi" w:hAnsi="KaiTi" w:cs="Heiti TC"/>
          <w:kern w:val="0"/>
          <w14:ligatures w14:val="none"/>
        </w:rPr>
        <w:t>您的生活质量和心态将保持免疫。</w:t>
      </w:r>
    </w:p>
    <w:p w14:paraId="3DD907D2" w14:textId="632EFC84" w:rsidR="00192496" w:rsidRPr="00192496" w:rsidRDefault="00192496" w:rsidP="00192496">
      <w:pPr>
        <w:numPr>
          <w:ilvl w:val="0"/>
          <w:numId w:val="15"/>
        </w:num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b/>
          <w:bCs/>
          <w:kern w:val="0"/>
          <w14:ligatures w14:val="none"/>
        </w:rPr>
        <w:t>逆周期资本：</w:t>
      </w:r>
      <w:r w:rsidRPr="00192496">
        <w:rPr>
          <w:rFonts w:ascii="Calibri" w:eastAsia="KaiTi" w:hAnsi="Calibri" w:cs="Calibri"/>
          <w:kern w:val="0"/>
          <w14:ligatures w14:val="none"/>
        </w:rPr>
        <w:t> </w:t>
      </w:r>
      <w:r w:rsidRPr="00192496">
        <w:rPr>
          <w:rFonts w:ascii="KaiTi" w:eastAsia="KaiTi" w:hAnsi="KaiTi" w:cs="Heiti TC"/>
          <w:kern w:val="0"/>
          <w14:ligatures w14:val="none"/>
        </w:rPr>
        <w:t>稳定的现金流不仅能让你“睡个好觉”，更重要的是，它为您提供了在市场底部“捡拾带血筹码”的资本。当别人因流动性枯竭而被迫割肉时，拥有持续现金流的您才是真正的买家。</w:t>
      </w:r>
    </w:p>
    <w:p w14:paraId="65370FBF" w14:textId="77777777" w:rsidR="00192496" w:rsidRDefault="00192496" w:rsidP="00192496">
      <w:pPr>
        <w:rPr>
          <w:rFonts w:ascii="KaiTi" w:eastAsia="KaiTi" w:hAnsi="KaiTi" w:cs="Heiti TC"/>
          <w:b/>
          <w:bCs/>
          <w:kern w:val="0"/>
          <w14:ligatures w14:val="none"/>
        </w:rPr>
      </w:pPr>
    </w:p>
    <w:p w14:paraId="4F6066FE" w14:textId="3C828DCD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 w:hint="eastAsia"/>
          <w:kern w:val="0"/>
          <w14:ligatures w14:val="none"/>
        </w:rPr>
        <w:t>财富的积累</w:t>
      </w:r>
      <w:r w:rsidRPr="00192496">
        <w:rPr>
          <w:rFonts w:ascii="KaiTi" w:eastAsia="KaiTi" w:hAnsi="KaiTi" w:cs="Heiti TC"/>
          <w:kern w:val="0"/>
          <w14:ligatures w14:val="none"/>
        </w:rPr>
        <w:t>是一场长跑，终点线不在明天的行情表上，本质上是在构建一个“反脆弱”的系统——一个不仅能抵御混乱，甚至能从混乱中获益的系统。</w:t>
      </w:r>
    </w:p>
    <w:p w14:paraId="405C09F2" w14:textId="44195167" w:rsidR="00192496" w:rsidRPr="00192496" w:rsidRDefault="00192496" w:rsidP="00192496">
      <w:pPr>
        <w:rPr>
          <w:rFonts w:ascii="KaiTi" w:eastAsia="KaiTi" w:hAnsi="KaiTi" w:cs="Heiti TC"/>
          <w:kern w:val="0"/>
          <w14:ligatures w14:val="none"/>
        </w:rPr>
      </w:pPr>
      <w:r w:rsidRPr="00192496">
        <w:rPr>
          <w:rFonts w:ascii="KaiTi" w:eastAsia="KaiTi" w:hAnsi="KaiTi" w:cs="Heiti TC"/>
          <w:kern w:val="0"/>
          <w14:ligatures w14:val="none"/>
        </w:rPr>
        <w:t>正如</w:t>
      </w:r>
      <w:r>
        <w:rPr>
          <w:rFonts w:ascii="KaiTi" w:eastAsia="KaiTi" w:hAnsi="KaiTi" w:cs="Heiti TC" w:hint="eastAsia"/>
          <w:kern w:val="0"/>
          <w14:ligatures w14:val="none"/>
        </w:rPr>
        <w:t>霍华德·</w:t>
      </w:r>
      <w:r w:rsidRPr="00192496">
        <w:rPr>
          <w:rFonts w:ascii="KaiTi" w:eastAsia="KaiTi" w:hAnsi="KaiTi" w:cs="Heiti TC"/>
          <w:kern w:val="0"/>
          <w14:ligatures w14:val="none"/>
        </w:rPr>
        <w:t>马克斯所言：“我们不能预测，但我们可以准备。”现在的市场噪音虽大，但只要守住这三条底线，我们就已经赢在了起跑线上。</w:t>
      </w:r>
    </w:p>
    <w:p w14:paraId="1E483D22" w14:textId="77777777" w:rsidR="00AA40F5" w:rsidRPr="00AA40F5" w:rsidRDefault="00AA40F5" w:rsidP="00AA40F5">
      <w:pPr>
        <w:rPr>
          <w:rFonts w:ascii="KaiTi" w:eastAsia="KaiTi" w:hAnsi="KaiTi" w:cs="Heiti TC" w:hint="eastAsia"/>
          <w:kern w:val="0"/>
          <w14:ligatures w14:val="none"/>
        </w:rPr>
      </w:pPr>
    </w:p>
    <w:p w14:paraId="1042D2F6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t>感谢一路同行，</w:t>
      </w:r>
    </w:p>
    <w:p w14:paraId="6EA3E914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 w:hint="eastAsia"/>
          <w:kern w:val="0"/>
          <w14:ligatures w14:val="none"/>
        </w:rPr>
        <w:lastRenderedPageBreak/>
        <w:t>祝您与家人新年平安，稳步向前。</w:t>
      </w:r>
    </w:p>
    <w:p w14:paraId="21318992" w14:textId="77777777" w:rsidR="00D17075" w:rsidRPr="001E195B" w:rsidRDefault="00D17075" w:rsidP="00D17075">
      <w:pPr>
        <w:rPr>
          <w:rFonts w:ascii="KaiTi" w:eastAsia="KaiTi" w:hAnsi="KaiTi" w:cs="Heiti TC"/>
          <w:kern w:val="0"/>
          <w14:ligatures w14:val="none"/>
        </w:rPr>
      </w:pPr>
    </w:p>
    <w:p w14:paraId="60949995" w14:textId="598C41C5" w:rsidR="00D17075" w:rsidRDefault="00D17075" w:rsidP="00D17075">
      <w:pPr>
        <w:rPr>
          <w:rFonts w:ascii="KaiTi" w:eastAsia="KaiTi" w:hAnsi="KaiTi" w:cs="Heiti TC"/>
          <w:kern w:val="0"/>
          <w14:ligatures w14:val="none"/>
        </w:rPr>
      </w:pPr>
      <w:r w:rsidRPr="001E195B">
        <w:rPr>
          <w:rFonts w:ascii="KaiTi" w:eastAsia="KaiTi" w:hAnsi="KaiTi" w:cs="Heiti TC"/>
          <w:kern w:val="0"/>
          <w14:ligatures w14:val="none"/>
        </w:rPr>
        <w:t>Wonder</w:t>
      </w:r>
      <w:r w:rsidR="004B2948">
        <w:rPr>
          <w:rFonts w:ascii="KaiTi" w:eastAsia="KaiTi" w:hAnsi="KaiTi" w:cs="Heiti TC" w:hint="eastAsia"/>
          <w:kern w:val="0"/>
          <w14:ligatures w14:val="none"/>
        </w:rPr>
        <w:t>团队</w:t>
      </w:r>
    </w:p>
    <w:p w14:paraId="5E456731" w14:textId="2794A077" w:rsidR="00EC7AE6" w:rsidRDefault="00EC7AE6">
      <w:pPr>
        <w:rPr>
          <w:rFonts w:ascii="KaiTi" w:eastAsia="KaiTi" w:hAnsi="KaiTi" w:cs="Heiti TC"/>
          <w:kern w:val="0"/>
          <w14:ligatures w14:val="none"/>
        </w:rPr>
      </w:pPr>
      <w:r>
        <w:rPr>
          <w:rFonts w:ascii="KaiTi" w:eastAsia="KaiTi" w:hAnsi="KaiTi" w:cs="Heiti TC"/>
          <w:kern w:val="0"/>
          <w14:ligatures w14:val="none"/>
        </w:rPr>
        <w:br w:type="page"/>
      </w:r>
    </w:p>
    <w:p w14:paraId="2B8BB611" w14:textId="77777777" w:rsidR="00EC7AE6" w:rsidRPr="000C1D9B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lastRenderedPageBreak/>
        <w:t>示例组合运行情况</w:t>
      </w:r>
    </w:p>
    <w:p w14:paraId="29D46525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54391468" w14:textId="77777777" w:rsidR="00EC7AE6" w:rsidRPr="000E2963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2CD0BD10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5EF1DC23" w14:textId="520FDCF5" w:rsidR="00EC7AE6" w:rsidRPr="00331F36" w:rsidRDefault="00EC7AE6" w:rsidP="00EC7AE6">
      <w:pPr>
        <w:rPr>
          <w:rFonts w:ascii="KaiTi" w:eastAsia="KaiTi" w:hAnsi="KaiTi"/>
          <w:sz w:val="21"/>
          <w:szCs w:val="21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年</w:t>
      </w:r>
      <w:r w:rsidR="00A51C67">
        <w:rPr>
          <w:rFonts w:ascii="KaiTi" w:eastAsia="KaiTi" w:hAnsi="KaiTi" w:hint="eastAsia"/>
        </w:rPr>
        <w:t>2</w:t>
      </w:r>
      <w:r w:rsidRPr="000C1D9B">
        <w:rPr>
          <w:rFonts w:ascii="KaiTi" w:eastAsia="KaiTi" w:hAnsi="KaiTi" w:hint="eastAsia"/>
        </w:rPr>
        <w:t>月</w:t>
      </w:r>
      <w:r w:rsidR="00A51C67">
        <w:rPr>
          <w:rFonts w:ascii="KaiTi" w:eastAsia="KaiTi" w:hAnsi="KaiTi" w:hint="eastAsia"/>
        </w:rPr>
        <w:t>27</w:t>
      </w:r>
      <w:r w:rsidRPr="000C1D9B">
        <w:rPr>
          <w:rFonts w:ascii="KaiTi" w:eastAsia="KaiTi" w:hAnsi="KaiTi" w:hint="eastAsia"/>
        </w:rPr>
        <w:t>日，这个组合的运行情况如下：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4"/>
        <w:gridCol w:w="1209"/>
        <w:gridCol w:w="1106"/>
        <w:gridCol w:w="1453"/>
        <w:gridCol w:w="1273"/>
        <w:gridCol w:w="1275"/>
      </w:tblGrid>
      <w:tr w:rsidR="00EC7AE6" w:rsidRPr="00EC7AE6" w14:paraId="65D9FDF2" w14:textId="77777777" w:rsidTr="00EC7AE6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7F9715EF" w14:textId="03BADDD2" w:rsidR="00EC7AE6" w:rsidRPr="00A51C67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09" w:type="dxa"/>
            <w:noWrap/>
            <w:vAlign w:val="center"/>
            <w:hideMark/>
          </w:tcPr>
          <w:p w14:paraId="62316F41" w14:textId="77777777" w:rsidR="00EC7AE6" w:rsidRPr="00A51C67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106" w:type="dxa"/>
            <w:noWrap/>
            <w:vAlign w:val="center"/>
            <w:hideMark/>
          </w:tcPr>
          <w:p w14:paraId="1D85ED01" w14:textId="77777777" w:rsidR="00EC7AE6" w:rsidRPr="00A51C67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453" w:type="dxa"/>
            <w:noWrap/>
            <w:vAlign w:val="center"/>
            <w:hideMark/>
          </w:tcPr>
          <w:p w14:paraId="35E1F16B" w14:textId="77777777" w:rsidR="00EC7AE6" w:rsidRPr="00A51C67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73" w:type="dxa"/>
            <w:noWrap/>
            <w:vAlign w:val="center"/>
            <w:hideMark/>
          </w:tcPr>
          <w:p w14:paraId="37F7563C" w14:textId="77777777" w:rsidR="00EC7AE6" w:rsidRPr="00A51C67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75" w:type="dxa"/>
            <w:noWrap/>
            <w:vAlign w:val="center"/>
            <w:hideMark/>
          </w:tcPr>
          <w:p w14:paraId="26B416C3" w14:textId="650C572C" w:rsidR="00EC7AE6" w:rsidRPr="00A51C67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净值</w:t>
            </w:r>
            <w:r w:rsidR="00A51C67">
              <w:rPr>
                <w:rFonts w:ascii="KaiTi" w:eastAsia="KaiTi" w:hAnsi="KaiTi" w:hint="eastAsia"/>
                <w:sz w:val="22"/>
                <w:szCs w:val="22"/>
              </w:rPr>
              <w:t>累计</w:t>
            </w:r>
            <w:r w:rsidRPr="00A51C67">
              <w:rPr>
                <w:rFonts w:ascii="KaiTi" w:eastAsia="KaiTi" w:hAnsi="KaiTi"/>
                <w:sz w:val="22"/>
                <w:szCs w:val="22"/>
              </w:rPr>
              <w:t>增长</w:t>
            </w:r>
          </w:p>
        </w:tc>
      </w:tr>
      <w:tr w:rsidR="00A51C67" w:rsidRPr="00EC7AE6" w14:paraId="71978679" w14:textId="77777777" w:rsidTr="002302F3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76F01536" w14:textId="43AF0D99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 xml:space="preserve">I17 </w:t>
            </w:r>
            <w:r w:rsidRPr="00A51C67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Pr="00A51C67">
              <w:rPr>
                <w:rStyle w:val="FootnoteReference"/>
                <w:rFonts w:ascii="KaiTi" w:eastAsia="KaiTi" w:hAnsi="KaiTi"/>
                <w:sz w:val="22"/>
                <w:szCs w:val="22"/>
              </w:rPr>
              <w:footnoteReference w:id="1"/>
            </w:r>
            <w:r w:rsidRPr="00A51C67">
              <w:rPr>
                <w:rFonts w:ascii="KaiTi" w:eastAsia="KaiTi" w:hAnsi="KaiTi"/>
                <w:sz w:val="22"/>
                <w:szCs w:val="22"/>
              </w:rPr>
              <w:t>优质股权基金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736AB2D3" w14:textId="031A2283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2/27/26</w:t>
            </w:r>
          </w:p>
        </w:tc>
        <w:tc>
          <w:tcPr>
            <w:tcW w:w="1106" w:type="dxa"/>
            <w:noWrap/>
            <w:vAlign w:val="center"/>
            <w:hideMark/>
          </w:tcPr>
          <w:p w14:paraId="5F5B2C61" w14:textId="5A055C9E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25.66</w:t>
            </w:r>
          </w:p>
        </w:tc>
        <w:tc>
          <w:tcPr>
            <w:tcW w:w="1453" w:type="dxa"/>
            <w:noWrap/>
            <w:hideMark/>
          </w:tcPr>
          <w:p w14:paraId="47C27C73" w14:textId="3A2BE36C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 xml:space="preserve"> 402,118 </w:t>
            </w:r>
          </w:p>
        </w:tc>
        <w:tc>
          <w:tcPr>
            <w:tcW w:w="1273" w:type="dxa"/>
            <w:noWrap/>
            <w:hideMark/>
          </w:tcPr>
          <w:p w14:paraId="0B2D213F" w14:textId="3488245E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37.1%</w:t>
            </w:r>
          </w:p>
        </w:tc>
        <w:tc>
          <w:tcPr>
            <w:tcW w:w="1275" w:type="dxa"/>
            <w:noWrap/>
            <w:hideMark/>
          </w:tcPr>
          <w:p w14:paraId="5D611CB7" w14:textId="0FF69DB5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17.17%</w:t>
            </w:r>
          </w:p>
        </w:tc>
      </w:tr>
      <w:tr w:rsidR="00A51C67" w:rsidRPr="00EC7AE6" w14:paraId="5A82D35A" w14:textId="77777777" w:rsidTr="002302F3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5D0EC2AC" w14:textId="04B27830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 xml:space="preserve">R01 </w:t>
            </w:r>
            <w:r w:rsidRPr="00A51C67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Pr="00A51C67">
              <w:rPr>
                <w:rStyle w:val="FootnoteReference"/>
                <w:rFonts w:ascii="KaiTi" w:eastAsia="KaiTi" w:hAnsi="KaiTi"/>
                <w:sz w:val="22"/>
                <w:szCs w:val="22"/>
              </w:rPr>
              <w:footnoteReference w:id="2"/>
            </w:r>
            <w:r w:rsidRPr="00A51C67">
              <w:rPr>
                <w:rFonts w:ascii="KaiTi" w:eastAsia="KaiTi" w:hAnsi="KaiTi" w:hint="eastAsia"/>
                <w:sz w:val="22"/>
                <w:szCs w:val="22"/>
              </w:rPr>
              <w:t>房</w:t>
            </w:r>
            <w:r w:rsidRPr="00A51C67">
              <w:rPr>
                <w:rFonts w:ascii="KaiTi" w:eastAsia="KaiTi" w:hAnsi="KaiTi"/>
                <w:sz w:val="22"/>
                <w:szCs w:val="22"/>
              </w:rPr>
              <w:t>地产基金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1A4F1DEC" w14:textId="2C9CE4C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2/27/26</w:t>
            </w:r>
          </w:p>
        </w:tc>
        <w:tc>
          <w:tcPr>
            <w:tcW w:w="1106" w:type="dxa"/>
            <w:noWrap/>
            <w:vAlign w:val="center"/>
            <w:hideMark/>
          </w:tcPr>
          <w:p w14:paraId="683BAD9D" w14:textId="46A8E982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27.35</w:t>
            </w:r>
          </w:p>
        </w:tc>
        <w:tc>
          <w:tcPr>
            <w:tcW w:w="1453" w:type="dxa"/>
            <w:noWrap/>
            <w:hideMark/>
          </w:tcPr>
          <w:p w14:paraId="548059CB" w14:textId="20B7061B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 xml:space="preserve"> 281,131 </w:t>
            </w:r>
          </w:p>
        </w:tc>
        <w:tc>
          <w:tcPr>
            <w:tcW w:w="1273" w:type="dxa"/>
            <w:noWrap/>
            <w:hideMark/>
          </w:tcPr>
          <w:p w14:paraId="5B01A0F4" w14:textId="38B10F4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25.9%</w:t>
            </w:r>
          </w:p>
        </w:tc>
        <w:tc>
          <w:tcPr>
            <w:tcW w:w="1275" w:type="dxa"/>
            <w:noWrap/>
            <w:hideMark/>
          </w:tcPr>
          <w:p w14:paraId="6888932B" w14:textId="59E07935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6.00%</w:t>
            </w:r>
          </w:p>
        </w:tc>
      </w:tr>
      <w:tr w:rsidR="00A51C67" w:rsidRPr="00EC7AE6" w14:paraId="662F7E6B" w14:textId="77777777" w:rsidTr="002302F3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67F311C3" w14:textId="7777777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F16 美国中高等级债券基金</w:t>
            </w:r>
          </w:p>
        </w:tc>
        <w:tc>
          <w:tcPr>
            <w:tcW w:w="1209" w:type="dxa"/>
            <w:noWrap/>
            <w:vAlign w:val="center"/>
            <w:hideMark/>
          </w:tcPr>
          <w:p w14:paraId="72FD5F85" w14:textId="45868D13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2/27/26</w:t>
            </w:r>
          </w:p>
        </w:tc>
        <w:tc>
          <w:tcPr>
            <w:tcW w:w="1106" w:type="dxa"/>
            <w:noWrap/>
            <w:vAlign w:val="center"/>
            <w:hideMark/>
          </w:tcPr>
          <w:p w14:paraId="7D4670EA" w14:textId="658D981B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145.95</w:t>
            </w:r>
          </w:p>
        </w:tc>
        <w:tc>
          <w:tcPr>
            <w:tcW w:w="1453" w:type="dxa"/>
            <w:noWrap/>
            <w:hideMark/>
          </w:tcPr>
          <w:p w14:paraId="1266CE1A" w14:textId="1873F47B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 xml:space="preserve"> 423,255 </w:t>
            </w:r>
          </w:p>
        </w:tc>
        <w:tc>
          <w:tcPr>
            <w:tcW w:w="1273" w:type="dxa"/>
            <w:noWrap/>
            <w:hideMark/>
          </w:tcPr>
          <w:p w14:paraId="0CFD7020" w14:textId="70B94C40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39.1%</w:t>
            </w:r>
          </w:p>
        </w:tc>
        <w:tc>
          <w:tcPr>
            <w:tcW w:w="1275" w:type="dxa"/>
            <w:noWrap/>
            <w:hideMark/>
          </w:tcPr>
          <w:p w14:paraId="71C32356" w14:textId="4E250898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7.66%</w:t>
            </w:r>
          </w:p>
        </w:tc>
      </w:tr>
      <w:tr w:rsidR="00A51C67" w:rsidRPr="00EC7AE6" w14:paraId="39AF25AC" w14:textId="77777777" w:rsidTr="002302F3">
        <w:trPr>
          <w:trHeight w:val="320"/>
        </w:trPr>
        <w:tc>
          <w:tcPr>
            <w:tcW w:w="3034" w:type="dxa"/>
            <w:noWrap/>
            <w:vAlign w:val="center"/>
            <w:hideMark/>
          </w:tcPr>
          <w:p w14:paraId="4711C987" w14:textId="7777777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09" w:type="dxa"/>
            <w:noWrap/>
            <w:vAlign w:val="center"/>
            <w:hideMark/>
          </w:tcPr>
          <w:p w14:paraId="106D2726" w14:textId="7777777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106" w:type="dxa"/>
            <w:noWrap/>
            <w:vAlign w:val="center"/>
            <w:hideMark/>
          </w:tcPr>
          <w:p w14:paraId="46838DE2" w14:textId="7777777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453" w:type="dxa"/>
            <w:noWrap/>
            <w:hideMark/>
          </w:tcPr>
          <w:p w14:paraId="3FE6EFF8" w14:textId="6E151143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 xml:space="preserve"> 1,106,504 </w:t>
            </w:r>
          </w:p>
        </w:tc>
        <w:tc>
          <w:tcPr>
            <w:tcW w:w="1273" w:type="dxa"/>
            <w:noWrap/>
            <w:hideMark/>
          </w:tcPr>
          <w:p w14:paraId="1990C0E8" w14:textId="057BCAA2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102.1%</w:t>
            </w:r>
          </w:p>
        </w:tc>
        <w:tc>
          <w:tcPr>
            <w:tcW w:w="1275" w:type="dxa"/>
            <w:noWrap/>
            <w:hideMark/>
          </w:tcPr>
          <w:p w14:paraId="61454684" w14:textId="5A5A1252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sz w:val="22"/>
                <w:szCs w:val="22"/>
              </w:rPr>
              <w:t>10.67%</w:t>
            </w:r>
          </w:p>
        </w:tc>
      </w:tr>
    </w:tbl>
    <w:p w14:paraId="0F450AA8" w14:textId="77777777" w:rsidR="00EC7AE6" w:rsidRDefault="00EC7AE6" w:rsidP="00EC7AE6">
      <w:pPr>
        <w:rPr>
          <w:rFonts w:ascii="KaiTi" w:eastAsia="KaiTi" w:hAnsi="KaiTi"/>
        </w:rPr>
      </w:pPr>
      <w:r w:rsidRPr="00331F36">
        <w:rPr>
          <w:rFonts w:ascii="KaiTi" w:eastAsia="KaiTi" w:hAnsi="KaiTi" w:hint="eastAsia"/>
          <w:sz w:val="21"/>
          <w:szCs w:val="21"/>
        </w:rPr>
        <w:t>注：因晨星系统改版，该组合数据由人工整理获得</w:t>
      </w:r>
      <w:r>
        <w:rPr>
          <w:rFonts w:ascii="KaiTi" w:eastAsia="KaiTi" w:hAnsi="KaiTi" w:hint="eastAsia"/>
        </w:rPr>
        <w:t>。</w:t>
      </w:r>
    </w:p>
    <w:p w14:paraId="66B69A55" w14:textId="40A2F7F0" w:rsidR="00EC7AE6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截止</w:t>
      </w:r>
      <w:r w:rsidR="00A51C67">
        <w:rPr>
          <w:rFonts w:ascii="KaiTi" w:eastAsia="KaiTi" w:hAnsi="KaiTi" w:hint="eastAsia"/>
        </w:rPr>
        <w:t>2</w:t>
      </w:r>
      <w:r>
        <w:rPr>
          <w:rFonts w:ascii="KaiTi" w:eastAsia="KaiTi" w:hAnsi="KaiTi" w:hint="eastAsia"/>
        </w:rPr>
        <w:t>月</w:t>
      </w:r>
      <w:r w:rsidR="00A51C67">
        <w:rPr>
          <w:rFonts w:ascii="KaiTi" w:eastAsia="KaiTi" w:hAnsi="KaiTi" w:hint="eastAsia"/>
        </w:rPr>
        <w:t>27</w:t>
      </w:r>
      <w:r>
        <w:rPr>
          <w:rFonts w:ascii="KaiTi" w:eastAsia="KaiTi" w:hAnsi="KaiTi" w:hint="eastAsia"/>
        </w:rPr>
        <w:t>号的收盘数据，组合自成立起近1</w:t>
      </w:r>
      <w:r w:rsidR="00A51C67">
        <w:rPr>
          <w:rFonts w:ascii="KaiTi" w:eastAsia="KaiTi" w:hAnsi="KaiTi" w:hint="eastAsia"/>
        </w:rPr>
        <w:t>6</w:t>
      </w:r>
      <w:r>
        <w:rPr>
          <w:rFonts w:ascii="KaiTi" w:eastAsia="KaiTi" w:hAnsi="KaiTi" w:hint="eastAsia"/>
        </w:rPr>
        <w:t>个月，累计增长</w:t>
      </w:r>
      <w:r w:rsidR="00A51C67" w:rsidRPr="00A51C67">
        <w:rPr>
          <w:rFonts w:ascii="KaiTi" w:eastAsia="KaiTi" w:hAnsi="KaiTi" w:hint="eastAsia"/>
          <w:color w:val="EE0000"/>
        </w:rPr>
        <w:t>10.67</w:t>
      </w:r>
      <w:r w:rsidRPr="00A51C67">
        <w:rPr>
          <w:rFonts w:ascii="KaiTi" w:eastAsia="KaiTi" w:hAnsi="KaiTi" w:hint="eastAsia"/>
          <w:color w:val="EE0000"/>
        </w:rPr>
        <w:t>%</w:t>
      </w:r>
      <w:r>
        <w:rPr>
          <w:rFonts w:ascii="KaiTi" w:eastAsia="KaiTi" w:hAnsi="KaiTi" w:hint="eastAsia"/>
        </w:rPr>
        <w:t>，年内累计增长</w:t>
      </w:r>
      <w:r w:rsidR="00A51C67" w:rsidRPr="00A51C67">
        <w:rPr>
          <w:rFonts w:ascii="KaiTi" w:eastAsia="KaiTi" w:hAnsi="KaiTi" w:hint="eastAsia"/>
          <w:color w:val="EE0000"/>
        </w:rPr>
        <w:t>3.73</w:t>
      </w:r>
      <w:r w:rsidRPr="00A51C67">
        <w:rPr>
          <w:rFonts w:ascii="KaiTi" w:eastAsia="KaiTi" w:hAnsi="KaiTi" w:hint="eastAsia"/>
          <w:color w:val="EE0000"/>
        </w:rPr>
        <w:t>%</w:t>
      </w:r>
      <w:r>
        <w:rPr>
          <w:rFonts w:ascii="KaiTi" w:eastAsia="KaiTi" w:hAnsi="KaiTi" w:hint="eastAsia"/>
        </w:rPr>
        <w:t>。</w:t>
      </w:r>
    </w:p>
    <w:p w14:paraId="662DE6A9" w14:textId="77777777" w:rsidR="00EC7AE6" w:rsidRDefault="00EC7AE6" w:rsidP="00EC7AE6">
      <w:pPr>
        <w:rPr>
          <w:rFonts w:ascii="KaiTi" w:eastAsia="KaiTi" w:hAnsi="KaiTi"/>
        </w:rPr>
      </w:pPr>
    </w:p>
    <w:p w14:paraId="064B9DC7" w14:textId="77777777" w:rsidR="00EC7AE6" w:rsidRPr="00B14E80" w:rsidRDefault="00EC7AE6" w:rsidP="00EC7AE6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1DF0882D" w14:textId="77777777" w:rsidR="00EC7AE6" w:rsidRPr="000C1D9B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2FA4F89F" w14:textId="77777777" w:rsidR="00EC7AE6" w:rsidRPr="000C1D9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66E2B02B" w14:textId="4D8EA3A0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6</w:t>
      </w:r>
      <w:r w:rsidRPr="000C1D9B">
        <w:rPr>
          <w:rFonts w:ascii="KaiTi" w:eastAsia="KaiTi" w:hAnsi="KaiTi" w:hint="eastAsia"/>
        </w:rPr>
        <w:t>年</w:t>
      </w:r>
      <w:r w:rsidR="00A51C67">
        <w:rPr>
          <w:rFonts w:ascii="KaiTi" w:eastAsia="KaiTi" w:hAnsi="KaiTi" w:hint="eastAsia"/>
        </w:rPr>
        <w:t>2</w:t>
      </w:r>
      <w:r w:rsidRPr="000C1D9B">
        <w:rPr>
          <w:rFonts w:ascii="KaiTi" w:eastAsia="KaiTi" w:hAnsi="KaiTi" w:hint="eastAsia"/>
        </w:rPr>
        <w:t>月</w:t>
      </w:r>
      <w:r w:rsidR="00A51C67">
        <w:rPr>
          <w:rFonts w:ascii="KaiTi" w:eastAsia="KaiTi" w:hAnsi="KaiTi" w:hint="eastAsia"/>
        </w:rPr>
        <w:t>27</w:t>
      </w:r>
      <w:r w:rsidRPr="000C1D9B">
        <w:rPr>
          <w:rFonts w:ascii="KaiTi" w:eastAsia="KaiTi" w:hAnsi="KaiTi" w:hint="eastAsia"/>
        </w:rPr>
        <w:t>日，组合运行情况：</w:t>
      </w:r>
    </w:p>
    <w:p w14:paraId="7AE35477" w14:textId="77777777" w:rsidR="0038461C" w:rsidRDefault="0038461C" w:rsidP="00EC7AE6">
      <w:pPr>
        <w:rPr>
          <w:rFonts w:ascii="KaiTi" w:eastAsia="KaiTi" w:hAnsi="KaiTi"/>
        </w:rPr>
      </w:pPr>
    </w:p>
    <w:p w14:paraId="057B73FE" w14:textId="77777777" w:rsidR="0038461C" w:rsidRDefault="0038461C" w:rsidP="00EC7AE6">
      <w:pPr>
        <w:rPr>
          <w:rFonts w:ascii="KaiTi" w:eastAsia="KaiTi" w:hAnsi="KaiTi"/>
        </w:rPr>
      </w:pPr>
    </w:p>
    <w:p w14:paraId="4512F167" w14:textId="77777777" w:rsidR="0038461C" w:rsidRDefault="0038461C" w:rsidP="00EC7AE6">
      <w:pPr>
        <w:rPr>
          <w:rFonts w:ascii="KaiTi" w:eastAsia="KaiTi" w:hAnsi="KaiT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1215"/>
        <w:gridCol w:w="1218"/>
        <w:gridCol w:w="1585"/>
        <w:gridCol w:w="1251"/>
        <w:gridCol w:w="1251"/>
      </w:tblGrid>
      <w:tr w:rsidR="00EC7AE6" w:rsidRPr="00EC7AE6" w14:paraId="6101B908" w14:textId="77777777" w:rsidTr="00F82739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218D5B9B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15" w:type="dxa"/>
            <w:noWrap/>
            <w:vAlign w:val="center"/>
            <w:hideMark/>
          </w:tcPr>
          <w:p w14:paraId="4700180F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218" w:type="dxa"/>
            <w:noWrap/>
            <w:vAlign w:val="center"/>
            <w:hideMark/>
          </w:tcPr>
          <w:p w14:paraId="69A7CD9D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585" w:type="dxa"/>
            <w:noWrap/>
            <w:vAlign w:val="center"/>
            <w:hideMark/>
          </w:tcPr>
          <w:p w14:paraId="6587FBE4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51" w:type="dxa"/>
            <w:noWrap/>
            <w:vAlign w:val="center"/>
            <w:hideMark/>
          </w:tcPr>
          <w:p w14:paraId="2CD73D56" w14:textId="77777777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51" w:type="dxa"/>
            <w:noWrap/>
            <w:vAlign w:val="center"/>
            <w:hideMark/>
          </w:tcPr>
          <w:p w14:paraId="5858C81C" w14:textId="75A3986A" w:rsidR="00EC7AE6" w:rsidRPr="00EC7AE6" w:rsidRDefault="00EC7AE6" w:rsidP="00F82739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净值</w:t>
            </w:r>
            <w:r w:rsidR="00957B84">
              <w:rPr>
                <w:rFonts w:ascii="KaiTi" w:eastAsia="KaiTi" w:hAnsi="KaiTi" w:hint="eastAsia"/>
                <w:sz w:val="22"/>
                <w:szCs w:val="22"/>
              </w:rPr>
              <w:t>累计</w:t>
            </w:r>
            <w:r w:rsidRPr="00EC7AE6">
              <w:rPr>
                <w:rFonts w:ascii="KaiTi" w:eastAsia="KaiTi" w:hAnsi="KaiTi"/>
                <w:sz w:val="22"/>
                <w:szCs w:val="22"/>
              </w:rPr>
              <w:t>增长</w:t>
            </w:r>
          </w:p>
        </w:tc>
      </w:tr>
      <w:tr w:rsidR="00A51C67" w:rsidRPr="00EC7AE6" w14:paraId="68CDDA97" w14:textId="77777777" w:rsidTr="00A51C67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1A244019" w14:textId="515CD2E1" w:rsidR="00A51C67" w:rsidRPr="00EC7AE6" w:rsidRDefault="00A51C67" w:rsidP="00A51C67">
            <w:pPr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Z12</w:t>
            </w:r>
            <w:r w:rsidRPr="00A51C67">
              <w:rPr>
                <w:rFonts w:ascii="KaiTi" w:eastAsia="KaiTi" w:hAnsi="KaiTi"/>
                <w:sz w:val="22"/>
                <w:szCs w:val="22"/>
              </w:rPr>
              <w:t>美国中高等级债券基金</w:t>
            </w:r>
          </w:p>
        </w:tc>
        <w:tc>
          <w:tcPr>
            <w:tcW w:w="1215" w:type="dxa"/>
            <w:noWrap/>
            <w:vAlign w:val="center"/>
            <w:hideMark/>
          </w:tcPr>
          <w:p w14:paraId="7BBBD0E7" w14:textId="549CA68A" w:rsidR="00A51C67" w:rsidRPr="00957B84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57B84">
              <w:rPr>
                <w:rFonts w:ascii="KaiTi" w:eastAsia="KaiTi" w:hAnsi="KaiTi"/>
                <w:sz w:val="22"/>
                <w:szCs w:val="22"/>
              </w:rPr>
              <w:t>2/27/26</w:t>
            </w:r>
          </w:p>
        </w:tc>
        <w:tc>
          <w:tcPr>
            <w:tcW w:w="1218" w:type="dxa"/>
            <w:noWrap/>
            <w:vAlign w:val="center"/>
            <w:hideMark/>
          </w:tcPr>
          <w:p w14:paraId="6F4A153E" w14:textId="6074FD70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7.76</w:t>
            </w:r>
          </w:p>
        </w:tc>
        <w:tc>
          <w:tcPr>
            <w:tcW w:w="1585" w:type="dxa"/>
            <w:noWrap/>
            <w:vAlign w:val="center"/>
            <w:hideMark/>
          </w:tcPr>
          <w:p w14:paraId="081DD7F3" w14:textId="4C13F6AB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596,162</w:t>
            </w:r>
          </w:p>
        </w:tc>
        <w:tc>
          <w:tcPr>
            <w:tcW w:w="1251" w:type="dxa"/>
            <w:noWrap/>
            <w:vAlign w:val="center"/>
            <w:hideMark/>
          </w:tcPr>
          <w:p w14:paraId="7BF23275" w14:textId="793F7F68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58%</w:t>
            </w:r>
          </w:p>
        </w:tc>
        <w:tc>
          <w:tcPr>
            <w:tcW w:w="1251" w:type="dxa"/>
            <w:noWrap/>
            <w:vAlign w:val="center"/>
            <w:hideMark/>
          </w:tcPr>
          <w:p w14:paraId="1586A0A7" w14:textId="07E026D5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-0.64%</w:t>
            </w:r>
          </w:p>
        </w:tc>
      </w:tr>
      <w:tr w:rsidR="00A51C67" w:rsidRPr="00EC7AE6" w14:paraId="3B028B0E" w14:textId="77777777" w:rsidTr="00A51C67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3C47CE56" w14:textId="5F1CB064" w:rsidR="00A51C67" w:rsidRPr="00EC7AE6" w:rsidRDefault="00A51C67" w:rsidP="00A51C67">
            <w:pPr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Z17</w:t>
            </w:r>
            <w:r w:rsidRPr="00A51C67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Pr="00A51C67">
              <w:rPr>
                <w:rStyle w:val="FootnoteReference"/>
                <w:rFonts w:ascii="KaiTi" w:eastAsia="KaiTi" w:hAnsi="KaiTi"/>
                <w:sz w:val="22"/>
                <w:szCs w:val="22"/>
              </w:rPr>
              <w:footnoteReference w:id="3"/>
            </w:r>
            <w:r w:rsidRPr="00A51C67">
              <w:rPr>
                <w:rFonts w:ascii="KaiTi" w:eastAsia="KaiTi" w:hAnsi="KaiTi"/>
                <w:sz w:val="22"/>
                <w:szCs w:val="22"/>
              </w:rPr>
              <w:t>优质股权基金</w:t>
            </w:r>
          </w:p>
        </w:tc>
        <w:tc>
          <w:tcPr>
            <w:tcW w:w="1215" w:type="dxa"/>
            <w:noWrap/>
            <w:vAlign w:val="center"/>
            <w:hideMark/>
          </w:tcPr>
          <w:p w14:paraId="29C3A045" w14:textId="1DBACC8E" w:rsidR="00A51C67" w:rsidRPr="00957B84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957B84">
              <w:rPr>
                <w:rFonts w:ascii="KaiTi" w:eastAsia="KaiTi" w:hAnsi="KaiTi"/>
                <w:sz w:val="22"/>
                <w:szCs w:val="22"/>
              </w:rPr>
              <w:t>2/27/26</w:t>
            </w:r>
          </w:p>
        </w:tc>
        <w:tc>
          <w:tcPr>
            <w:tcW w:w="1218" w:type="dxa"/>
            <w:noWrap/>
            <w:vAlign w:val="center"/>
            <w:hideMark/>
          </w:tcPr>
          <w:p w14:paraId="50E8478A" w14:textId="763D2EFD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9.54</w:t>
            </w:r>
          </w:p>
        </w:tc>
        <w:tc>
          <w:tcPr>
            <w:tcW w:w="1585" w:type="dxa"/>
            <w:noWrap/>
            <w:vAlign w:val="center"/>
            <w:hideMark/>
          </w:tcPr>
          <w:p w14:paraId="7A0D561E" w14:textId="2E3B4342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423,051</w:t>
            </w:r>
          </w:p>
        </w:tc>
        <w:tc>
          <w:tcPr>
            <w:tcW w:w="1251" w:type="dxa"/>
            <w:noWrap/>
            <w:vAlign w:val="center"/>
            <w:hideMark/>
          </w:tcPr>
          <w:p w14:paraId="6CADA6B2" w14:textId="70D81D4A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42%</w:t>
            </w:r>
          </w:p>
        </w:tc>
        <w:tc>
          <w:tcPr>
            <w:tcW w:w="1251" w:type="dxa"/>
            <w:noWrap/>
            <w:vAlign w:val="center"/>
            <w:hideMark/>
          </w:tcPr>
          <w:p w14:paraId="5CE0E6C9" w14:textId="4D781E96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5.76%</w:t>
            </w:r>
          </w:p>
        </w:tc>
      </w:tr>
      <w:tr w:rsidR="00A51C67" w:rsidRPr="00EC7AE6" w14:paraId="14D1CC85" w14:textId="77777777" w:rsidTr="00A51C67">
        <w:trPr>
          <w:trHeight w:val="320"/>
        </w:trPr>
        <w:tc>
          <w:tcPr>
            <w:tcW w:w="2830" w:type="dxa"/>
            <w:noWrap/>
            <w:vAlign w:val="center"/>
            <w:hideMark/>
          </w:tcPr>
          <w:p w14:paraId="6B9D7059" w14:textId="77777777" w:rsidR="00A51C67" w:rsidRPr="00EC7AE6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215" w:type="dxa"/>
            <w:noWrap/>
            <w:vAlign w:val="center"/>
            <w:hideMark/>
          </w:tcPr>
          <w:p w14:paraId="11EC057D" w14:textId="32901258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18" w:type="dxa"/>
            <w:noWrap/>
            <w:vAlign w:val="center"/>
            <w:hideMark/>
          </w:tcPr>
          <w:p w14:paraId="269B4954" w14:textId="5C1C8BDD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585" w:type="dxa"/>
            <w:noWrap/>
            <w:vAlign w:val="center"/>
            <w:hideMark/>
          </w:tcPr>
          <w:p w14:paraId="2E58E8D8" w14:textId="6AAD94FD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1,019,213</w:t>
            </w:r>
          </w:p>
        </w:tc>
        <w:tc>
          <w:tcPr>
            <w:tcW w:w="1251" w:type="dxa"/>
            <w:noWrap/>
            <w:vAlign w:val="center"/>
            <w:hideMark/>
          </w:tcPr>
          <w:p w14:paraId="23E96B54" w14:textId="79F346E5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251" w:type="dxa"/>
            <w:noWrap/>
            <w:vAlign w:val="center"/>
            <w:hideMark/>
          </w:tcPr>
          <w:p w14:paraId="4CC74C95" w14:textId="137B9477" w:rsidR="00A51C67" w:rsidRPr="00A51C67" w:rsidRDefault="00A51C67" w:rsidP="00A51C6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A51C67">
              <w:rPr>
                <w:rFonts w:ascii="KaiTi" w:eastAsia="KaiTi" w:hAnsi="KaiTi"/>
                <w:color w:val="000000"/>
                <w:sz w:val="22"/>
                <w:szCs w:val="22"/>
              </w:rPr>
              <w:t>1.92%</w:t>
            </w:r>
          </w:p>
        </w:tc>
      </w:tr>
    </w:tbl>
    <w:p w14:paraId="4F9FBC5E" w14:textId="77777777" w:rsidR="00EC7AE6" w:rsidRPr="00344E79" w:rsidRDefault="00EC7AE6" w:rsidP="00EC7AE6">
      <w:pPr>
        <w:rPr>
          <w:rFonts w:ascii="KaiTi" w:eastAsia="KaiTi" w:hAnsi="KaiTi"/>
          <w:sz w:val="22"/>
          <w:szCs w:val="22"/>
        </w:rPr>
      </w:pPr>
    </w:p>
    <w:p w14:paraId="3E0A48E0" w14:textId="4B7EF69E" w:rsidR="00EC7AE6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>
        <w:rPr>
          <w:rFonts w:ascii="KaiTi" w:eastAsia="KaiTi" w:hAnsi="KaiTi" w:hint="eastAsia"/>
        </w:rPr>
        <w:t>1.</w:t>
      </w:r>
      <w:r w:rsidR="00A51C67">
        <w:rPr>
          <w:rFonts w:ascii="KaiTi" w:eastAsia="KaiTi" w:hAnsi="KaiTi" w:hint="eastAsia"/>
        </w:rPr>
        <w:t>92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 w:rsidR="00A51C67">
        <w:rPr>
          <w:rFonts w:ascii="KaiTi" w:eastAsia="KaiTi" w:hAnsi="KaiTi" w:hint="eastAsia"/>
          <w:color w:val="FF0000"/>
        </w:rPr>
        <w:t>10.86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Pr="000C1D9B">
        <w:rPr>
          <w:rFonts w:ascii="KaiTi" w:eastAsia="KaiTi" w:hAnsi="KaiTi" w:hint="eastAsia"/>
        </w:rPr>
        <w:t>。</w:t>
      </w:r>
    </w:p>
    <w:p w14:paraId="2B9A9457" w14:textId="13661BAE" w:rsidR="00EC7AE6" w:rsidRDefault="00EC7AE6" w:rsidP="00EC7AE6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自2024年10月到26年1月，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现时月度分红派发</w:t>
      </w:r>
      <w:r w:rsidRPr="000C1D9B">
        <w:rPr>
          <w:rFonts w:ascii="KaiTi" w:eastAsia="KaiTi" w:hAnsi="KaiTi" w:hint="eastAsia"/>
        </w:rPr>
        <w:t>$0.0</w:t>
      </w:r>
      <w:r>
        <w:rPr>
          <w:rFonts w:ascii="KaiTi" w:eastAsia="KaiTi" w:hAnsi="KaiTi" w:hint="eastAsia"/>
        </w:rPr>
        <w:t>62</w:t>
      </w:r>
      <w:r w:rsidRPr="000C1D9B">
        <w:rPr>
          <w:rFonts w:ascii="KaiTi" w:eastAsia="KaiTi" w:hAnsi="KaiTi" w:hint="eastAsia"/>
        </w:rPr>
        <w:t>/股。</w:t>
      </w:r>
    </w:p>
    <w:p w14:paraId="3CF3F48F" w14:textId="03CBFE7D" w:rsidR="00EC7AE6" w:rsidRPr="001E195B" w:rsidRDefault="00EC7AE6" w:rsidP="00EC7AE6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</w:t>
      </w:r>
      <w:r>
        <w:rPr>
          <w:rFonts w:ascii="KaiTi" w:eastAsia="KaiTi" w:hAnsi="KaiTi" w:hint="eastAsia"/>
        </w:rPr>
        <w:t>1</w:t>
      </w:r>
      <w:r w:rsidR="00A51C67">
        <w:rPr>
          <w:rFonts w:ascii="KaiTi" w:eastAsia="KaiTi" w:hAnsi="KaiTi" w:hint="eastAsia"/>
        </w:rPr>
        <w:t>6</w:t>
      </w:r>
      <w:r>
        <w:rPr>
          <w:rFonts w:ascii="KaiTi" w:eastAsia="KaiTi" w:hAnsi="KaiTi" w:hint="eastAsia"/>
        </w:rPr>
        <w:t>期，合计</w:t>
      </w:r>
      <w:r w:rsidRPr="000C1D9B">
        <w:rPr>
          <w:rFonts w:ascii="KaiTi" w:eastAsia="KaiTi" w:hAnsi="KaiTi" w:hint="eastAsia"/>
        </w:rPr>
        <w:t>$</w:t>
      </w:r>
      <w:r w:rsidR="00A51C67">
        <w:rPr>
          <w:rFonts w:ascii="KaiTi" w:eastAsia="KaiTi" w:hAnsi="KaiTi" w:hint="eastAsia"/>
        </w:rPr>
        <w:t>89411</w:t>
      </w:r>
      <w:r>
        <w:rPr>
          <w:rFonts w:ascii="KaiTi" w:eastAsia="KaiTi" w:hAnsi="KaiTi" w:hint="eastAsia"/>
        </w:rPr>
        <w:t>（折合人民币</w:t>
      </w:r>
      <w:r w:rsidR="00A51C67">
        <w:rPr>
          <w:rFonts w:ascii="KaiTi" w:eastAsia="KaiTi" w:hAnsi="KaiTi" w:hint="eastAsia"/>
        </w:rPr>
        <w:t>64.38</w:t>
      </w:r>
      <w:r>
        <w:rPr>
          <w:rFonts w:ascii="KaiTi" w:eastAsia="KaiTi" w:hAnsi="KaiTi" w:hint="eastAsia"/>
        </w:rPr>
        <w:t>万元，汇率按照7.2</w:t>
      </w:r>
      <w:r w:rsidR="00A51C67">
        <w:rPr>
          <w:rStyle w:val="FootnoteReference"/>
          <w:rFonts w:ascii="KaiTi" w:eastAsia="KaiTi" w:hAnsi="KaiTi"/>
        </w:rPr>
        <w:footnoteReference w:id="4"/>
      </w:r>
      <w:r>
        <w:rPr>
          <w:rFonts w:ascii="KaiTi" w:eastAsia="KaiTi" w:hAnsi="KaiTi" w:hint="eastAsia"/>
        </w:rPr>
        <w:t>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>
        <w:rPr>
          <w:rFonts w:ascii="KaiTi" w:eastAsia="KaiTi" w:hAnsi="KaiTi" w:hint="eastAsia"/>
          <w:color w:val="FF0000"/>
        </w:rPr>
        <w:t>6.</w:t>
      </w:r>
      <w:r w:rsidR="00A51C67">
        <w:rPr>
          <w:rFonts w:ascii="KaiTi" w:eastAsia="KaiTi" w:hAnsi="KaiTi" w:hint="eastAsia"/>
          <w:color w:val="FF0000"/>
        </w:rPr>
        <w:t>71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670"/>
        <w:gridCol w:w="943"/>
        <w:gridCol w:w="943"/>
        <w:gridCol w:w="1119"/>
        <w:gridCol w:w="986"/>
        <w:gridCol w:w="943"/>
        <w:gridCol w:w="943"/>
      </w:tblGrid>
      <w:tr w:rsidR="00EC7AE6" w:rsidRPr="00EC7AE6" w14:paraId="19B589A9" w14:textId="77777777" w:rsidTr="00EC7AE6">
        <w:trPr>
          <w:trHeight w:val="320"/>
        </w:trPr>
        <w:tc>
          <w:tcPr>
            <w:tcW w:w="1803" w:type="dxa"/>
            <w:noWrap/>
            <w:vAlign w:val="center"/>
            <w:hideMark/>
          </w:tcPr>
          <w:p w14:paraId="75F9E6D7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基金名称</w:t>
            </w:r>
          </w:p>
        </w:tc>
        <w:tc>
          <w:tcPr>
            <w:tcW w:w="1670" w:type="dxa"/>
            <w:noWrap/>
            <w:vAlign w:val="center"/>
            <w:hideMark/>
          </w:tcPr>
          <w:p w14:paraId="0F19CC6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除净日期</w:t>
            </w:r>
          </w:p>
        </w:tc>
        <w:tc>
          <w:tcPr>
            <w:tcW w:w="943" w:type="dxa"/>
            <w:noWrap/>
            <w:vAlign w:val="center"/>
            <w:hideMark/>
          </w:tcPr>
          <w:p w14:paraId="6BC26BE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每单位派发</w:t>
            </w:r>
          </w:p>
        </w:tc>
        <w:tc>
          <w:tcPr>
            <w:tcW w:w="943" w:type="dxa"/>
            <w:noWrap/>
            <w:vAlign w:val="center"/>
            <w:hideMark/>
          </w:tcPr>
          <w:p w14:paraId="1CB2150C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持有份额</w:t>
            </w:r>
          </w:p>
        </w:tc>
        <w:tc>
          <w:tcPr>
            <w:tcW w:w="1119" w:type="dxa"/>
            <w:noWrap/>
            <w:vAlign w:val="center"/>
            <w:hideMark/>
          </w:tcPr>
          <w:p w14:paraId="76DE3390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派发合计</w:t>
            </w:r>
          </w:p>
        </w:tc>
        <w:tc>
          <w:tcPr>
            <w:tcW w:w="986" w:type="dxa"/>
            <w:noWrap/>
            <w:vAlign w:val="center"/>
            <w:hideMark/>
          </w:tcPr>
          <w:p w14:paraId="456D2315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初始投资额</w:t>
            </w:r>
          </w:p>
        </w:tc>
        <w:tc>
          <w:tcPr>
            <w:tcW w:w="943" w:type="dxa"/>
            <w:noWrap/>
            <w:vAlign w:val="center"/>
            <w:hideMark/>
          </w:tcPr>
          <w:p w14:paraId="06E7BB91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月度派息收益率</w:t>
            </w:r>
          </w:p>
        </w:tc>
        <w:tc>
          <w:tcPr>
            <w:tcW w:w="943" w:type="dxa"/>
            <w:noWrap/>
            <w:vAlign w:val="center"/>
            <w:hideMark/>
          </w:tcPr>
          <w:p w14:paraId="0313627A" w14:textId="77777777" w:rsidR="00EC7AE6" w:rsidRPr="00EC7AE6" w:rsidRDefault="00EC7AE6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年化派息收益率</w:t>
            </w:r>
          </w:p>
        </w:tc>
      </w:tr>
      <w:tr w:rsidR="004B4CE7" w:rsidRPr="00EC7AE6" w14:paraId="177EE3DE" w14:textId="77777777" w:rsidTr="00EC7AE6">
        <w:trPr>
          <w:trHeight w:val="320"/>
        </w:trPr>
        <w:tc>
          <w:tcPr>
            <w:tcW w:w="1803" w:type="dxa"/>
            <w:vMerge w:val="restart"/>
            <w:noWrap/>
            <w:vAlign w:val="center"/>
            <w:hideMark/>
          </w:tcPr>
          <w:p w14:paraId="646ED9B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Z12 美国中高等级债券基金</w:t>
            </w:r>
          </w:p>
        </w:tc>
        <w:tc>
          <w:tcPr>
            <w:tcW w:w="1670" w:type="dxa"/>
            <w:noWrap/>
            <w:vAlign w:val="center"/>
            <w:hideMark/>
          </w:tcPr>
          <w:p w14:paraId="0BA3DAC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11/1/24</w:t>
            </w:r>
          </w:p>
        </w:tc>
        <w:tc>
          <w:tcPr>
            <w:tcW w:w="943" w:type="dxa"/>
            <w:noWrap/>
            <w:vAlign w:val="center"/>
            <w:hideMark/>
          </w:tcPr>
          <w:p w14:paraId="280C400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790160E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44EF4A4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B01168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63C919B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4ED87C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4D43C81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9F877D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C19614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12/2/24</w:t>
            </w:r>
          </w:p>
        </w:tc>
        <w:tc>
          <w:tcPr>
            <w:tcW w:w="943" w:type="dxa"/>
            <w:noWrap/>
            <w:vAlign w:val="center"/>
            <w:hideMark/>
          </w:tcPr>
          <w:p w14:paraId="04B6685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4CCBEB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1DBE7EA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00CA6C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7066F44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8B6861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0DB3836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3C603E7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34893A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12/30/24</w:t>
            </w:r>
          </w:p>
        </w:tc>
        <w:tc>
          <w:tcPr>
            <w:tcW w:w="943" w:type="dxa"/>
            <w:noWrap/>
            <w:vAlign w:val="center"/>
            <w:hideMark/>
          </w:tcPr>
          <w:p w14:paraId="22561BC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5C74898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DCC803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95EBF9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32E85A4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16DBEA2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4FB0B77B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3AC51C6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6E04DC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43" w:type="dxa"/>
            <w:noWrap/>
            <w:vAlign w:val="center"/>
            <w:hideMark/>
          </w:tcPr>
          <w:p w14:paraId="561580E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11FEBFB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50D7FE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1EFE7F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BA34AC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127939F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301C17DE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97BB6D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2A22F33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3/3/25</w:t>
            </w:r>
          </w:p>
        </w:tc>
        <w:tc>
          <w:tcPr>
            <w:tcW w:w="943" w:type="dxa"/>
            <w:noWrap/>
            <w:vAlign w:val="center"/>
            <w:hideMark/>
          </w:tcPr>
          <w:p w14:paraId="19D9179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3869CAF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4D9BABB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681834D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3B1263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E14696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753FADA8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0CC60C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7BA8ECC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4/1/25</w:t>
            </w:r>
          </w:p>
        </w:tc>
        <w:tc>
          <w:tcPr>
            <w:tcW w:w="943" w:type="dxa"/>
            <w:noWrap/>
            <w:vAlign w:val="center"/>
            <w:hideMark/>
          </w:tcPr>
          <w:p w14:paraId="1A8FB91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16BCE03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66F208D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6E4A647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36FE12A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4C1FA66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06B8B65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26F609F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7E9B71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5/1/25</w:t>
            </w:r>
          </w:p>
        </w:tc>
        <w:tc>
          <w:tcPr>
            <w:tcW w:w="943" w:type="dxa"/>
            <w:noWrap/>
            <w:vAlign w:val="center"/>
            <w:hideMark/>
          </w:tcPr>
          <w:p w14:paraId="6C214C6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547C4EC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3FE7EA6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F18931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2CD098A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597C0AD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2A9A3136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738187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E0EBC6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6/2/25</w:t>
            </w:r>
          </w:p>
        </w:tc>
        <w:tc>
          <w:tcPr>
            <w:tcW w:w="943" w:type="dxa"/>
            <w:noWrap/>
            <w:vAlign w:val="center"/>
            <w:hideMark/>
          </w:tcPr>
          <w:p w14:paraId="565DD5E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8E360F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60B0AF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20AF900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A35132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12D1C0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713ECA8D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85E9C3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609BBB4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7/1/25</w:t>
            </w:r>
          </w:p>
        </w:tc>
        <w:tc>
          <w:tcPr>
            <w:tcW w:w="943" w:type="dxa"/>
            <w:noWrap/>
            <w:vAlign w:val="center"/>
            <w:hideMark/>
          </w:tcPr>
          <w:p w14:paraId="516C6FC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48090F1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1E94D17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4E35134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6531827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766790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0F08E87F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0ED737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07379D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8/1/25</w:t>
            </w:r>
          </w:p>
        </w:tc>
        <w:tc>
          <w:tcPr>
            <w:tcW w:w="943" w:type="dxa"/>
            <w:noWrap/>
            <w:vAlign w:val="center"/>
            <w:hideMark/>
          </w:tcPr>
          <w:p w14:paraId="69151BB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9D6398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5A6A4F8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B7ACE0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713FD64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390BA6C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402FF8D7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3CC145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273472D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9/2/25</w:t>
            </w:r>
          </w:p>
        </w:tc>
        <w:tc>
          <w:tcPr>
            <w:tcW w:w="943" w:type="dxa"/>
            <w:noWrap/>
            <w:vAlign w:val="center"/>
            <w:hideMark/>
          </w:tcPr>
          <w:p w14:paraId="222789C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1DCD2E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6F93082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76ACE17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6153551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54F46E1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1DF5A7F2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0B6A287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29E7D2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10/1/25</w:t>
            </w:r>
          </w:p>
        </w:tc>
        <w:tc>
          <w:tcPr>
            <w:tcW w:w="943" w:type="dxa"/>
            <w:noWrap/>
            <w:vAlign w:val="center"/>
            <w:hideMark/>
          </w:tcPr>
          <w:p w14:paraId="1534E01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2884D94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0B902EE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563C03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4ED1BA3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5EE1F80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4EC79295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438C29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08EB06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11/3/25</w:t>
            </w:r>
          </w:p>
        </w:tc>
        <w:tc>
          <w:tcPr>
            <w:tcW w:w="943" w:type="dxa"/>
            <w:noWrap/>
            <w:vAlign w:val="center"/>
            <w:hideMark/>
          </w:tcPr>
          <w:p w14:paraId="3D11BE6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6CC13EB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4C90DF0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6CC81D6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541DC64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154D3A7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7AEDCF3B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594F4B4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208956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12/1/25</w:t>
            </w:r>
          </w:p>
        </w:tc>
        <w:tc>
          <w:tcPr>
            <w:tcW w:w="943" w:type="dxa"/>
            <w:noWrap/>
            <w:vAlign w:val="center"/>
            <w:hideMark/>
          </w:tcPr>
          <w:p w14:paraId="2E584E6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0CC3E7C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529ED55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326C537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00CAA75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798192E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686A113D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03406E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6F9276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1/2/26</w:t>
            </w:r>
          </w:p>
        </w:tc>
        <w:tc>
          <w:tcPr>
            <w:tcW w:w="943" w:type="dxa"/>
            <w:noWrap/>
            <w:vAlign w:val="center"/>
            <w:hideMark/>
          </w:tcPr>
          <w:p w14:paraId="0F6A6F3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  <w:hideMark/>
          </w:tcPr>
          <w:p w14:paraId="0138888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  <w:hideMark/>
          </w:tcPr>
          <w:p w14:paraId="70DAD28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  <w:hideMark/>
          </w:tcPr>
          <w:p w14:paraId="15CB47F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  <w:hideMark/>
          </w:tcPr>
          <w:p w14:paraId="329448D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  <w:hideMark/>
          </w:tcPr>
          <w:p w14:paraId="7DBA1FF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6.15%</w:t>
            </w:r>
          </w:p>
        </w:tc>
      </w:tr>
      <w:tr w:rsidR="004B4CE7" w:rsidRPr="00EC7AE6" w14:paraId="08D78C6A" w14:textId="77777777" w:rsidTr="00EC7AE6">
        <w:trPr>
          <w:trHeight w:val="320"/>
        </w:trPr>
        <w:tc>
          <w:tcPr>
            <w:tcW w:w="1803" w:type="dxa"/>
            <w:vMerge/>
            <w:vAlign w:val="center"/>
          </w:tcPr>
          <w:p w14:paraId="1B01A444" w14:textId="77777777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</w:tcPr>
          <w:p w14:paraId="29077AE1" w14:textId="3C88F468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2/2/26</w:t>
            </w:r>
          </w:p>
        </w:tc>
        <w:tc>
          <w:tcPr>
            <w:tcW w:w="943" w:type="dxa"/>
            <w:noWrap/>
            <w:vAlign w:val="center"/>
          </w:tcPr>
          <w:p w14:paraId="1F01C9BB" w14:textId="6D152168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43" w:type="dxa"/>
            <w:noWrap/>
            <w:vAlign w:val="center"/>
          </w:tcPr>
          <w:p w14:paraId="22A4C30F" w14:textId="5EAF74A3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76825</w:t>
            </w:r>
          </w:p>
        </w:tc>
        <w:tc>
          <w:tcPr>
            <w:tcW w:w="1119" w:type="dxa"/>
            <w:noWrap/>
            <w:vAlign w:val="center"/>
          </w:tcPr>
          <w:p w14:paraId="25DBCBCD" w14:textId="0C1A7399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3073</w:t>
            </w:r>
          </w:p>
        </w:tc>
        <w:tc>
          <w:tcPr>
            <w:tcW w:w="986" w:type="dxa"/>
            <w:noWrap/>
            <w:vAlign w:val="center"/>
          </w:tcPr>
          <w:p w14:paraId="7C263788" w14:textId="6DD17B03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600003</w:t>
            </w:r>
          </w:p>
        </w:tc>
        <w:tc>
          <w:tcPr>
            <w:tcW w:w="943" w:type="dxa"/>
            <w:noWrap/>
            <w:vAlign w:val="center"/>
          </w:tcPr>
          <w:p w14:paraId="612D6839" w14:textId="18691868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0.51%</w:t>
            </w:r>
          </w:p>
        </w:tc>
        <w:tc>
          <w:tcPr>
            <w:tcW w:w="943" w:type="dxa"/>
            <w:noWrap/>
            <w:vAlign w:val="center"/>
          </w:tcPr>
          <w:p w14:paraId="26042A4D" w14:textId="12D9FA11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6.15%</w:t>
            </w:r>
          </w:p>
        </w:tc>
      </w:tr>
      <w:tr w:rsidR="004B4CE7" w:rsidRPr="00EC7AE6" w14:paraId="613A8707" w14:textId="77777777" w:rsidTr="00EC7AE6">
        <w:trPr>
          <w:trHeight w:val="320"/>
        </w:trPr>
        <w:tc>
          <w:tcPr>
            <w:tcW w:w="1803" w:type="dxa"/>
            <w:vMerge w:val="restart"/>
            <w:noWrap/>
            <w:vAlign w:val="center"/>
            <w:hideMark/>
          </w:tcPr>
          <w:p w14:paraId="48243364" w14:textId="6DD327EC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Z17</w:t>
            </w:r>
            <w:r w:rsidR="004E1DA9" w:rsidRPr="00A51C67">
              <w:rPr>
                <w:rFonts w:ascii="KaiTi" w:eastAsia="KaiTi" w:hAnsi="KaiTi" w:hint="eastAsia"/>
                <w:sz w:val="22"/>
                <w:szCs w:val="22"/>
              </w:rPr>
              <w:t>环球</w:t>
            </w:r>
            <w:r w:rsidR="004E1DA9" w:rsidRPr="00A51C67">
              <w:rPr>
                <w:rFonts w:ascii="KaiTi" w:eastAsia="KaiTi" w:hAnsi="KaiTi"/>
                <w:sz w:val="22"/>
                <w:szCs w:val="22"/>
              </w:rPr>
              <w:t>优质股权基金</w:t>
            </w:r>
          </w:p>
        </w:tc>
        <w:tc>
          <w:tcPr>
            <w:tcW w:w="1670" w:type="dxa"/>
            <w:noWrap/>
            <w:vAlign w:val="center"/>
            <w:hideMark/>
          </w:tcPr>
          <w:p w14:paraId="2FD4623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10/30/24</w:t>
            </w:r>
          </w:p>
        </w:tc>
        <w:tc>
          <w:tcPr>
            <w:tcW w:w="943" w:type="dxa"/>
            <w:noWrap/>
            <w:vAlign w:val="center"/>
            <w:hideMark/>
          </w:tcPr>
          <w:p w14:paraId="01C7A3A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62DD294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5986A30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1D29208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4DD1C4D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0379583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4B4CE7" w:rsidRPr="00EC7AE6" w14:paraId="49668698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D5B0F3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9631AC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11/28/24</w:t>
            </w:r>
          </w:p>
        </w:tc>
        <w:tc>
          <w:tcPr>
            <w:tcW w:w="943" w:type="dxa"/>
            <w:noWrap/>
            <w:vAlign w:val="center"/>
            <w:hideMark/>
          </w:tcPr>
          <w:p w14:paraId="7A080D4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21F3333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A00A29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5569697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4800F84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68420FD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4B4CE7" w:rsidRPr="00EC7AE6" w14:paraId="41FB4174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D4646B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C14B27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12/24/24</w:t>
            </w:r>
          </w:p>
        </w:tc>
        <w:tc>
          <w:tcPr>
            <w:tcW w:w="943" w:type="dxa"/>
            <w:noWrap/>
            <w:vAlign w:val="center"/>
            <w:hideMark/>
          </w:tcPr>
          <w:p w14:paraId="110FC8D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2599984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1072EAE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23A9777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375976E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E34931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4B4CE7" w:rsidRPr="00EC7AE6" w14:paraId="0BD01553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5F0ADB3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E8922F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1/31/25</w:t>
            </w:r>
          </w:p>
        </w:tc>
        <w:tc>
          <w:tcPr>
            <w:tcW w:w="943" w:type="dxa"/>
            <w:noWrap/>
            <w:vAlign w:val="center"/>
            <w:hideMark/>
          </w:tcPr>
          <w:p w14:paraId="2E0FA1A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</w:t>
            </w:r>
          </w:p>
        </w:tc>
        <w:tc>
          <w:tcPr>
            <w:tcW w:w="943" w:type="dxa"/>
            <w:noWrap/>
            <w:vAlign w:val="center"/>
            <w:hideMark/>
          </w:tcPr>
          <w:p w14:paraId="28B9F69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135ADB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2395</w:t>
            </w:r>
          </w:p>
        </w:tc>
        <w:tc>
          <w:tcPr>
            <w:tcW w:w="986" w:type="dxa"/>
            <w:noWrap/>
            <w:vAlign w:val="center"/>
            <w:hideMark/>
          </w:tcPr>
          <w:p w14:paraId="0355009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6F03AD6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B1FBE2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7.18%</w:t>
            </w:r>
          </w:p>
        </w:tc>
      </w:tr>
      <w:tr w:rsidR="004B4CE7" w:rsidRPr="00EC7AE6" w14:paraId="27FFF3D1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8CEDB8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42C9BE9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2/28/25</w:t>
            </w:r>
          </w:p>
        </w:tc>
        <w:tc>
          <w:tcPr>
            <w:tcW w:w="943" w:type="dxa"/>
            <w:noWrap/>
            <w:vAlign w:val="center"/>
            <w:hideMark/>
          </w:tcPr>
          <w:p w14:paraId="50A15ED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3" w:type="dxa"/>
            <w:noWrap/>
            <w:vAlign w:val="center"/>
            <w:hideMark/>
          </w:tcPr>
          <w:p w14:paraId="59BFB8C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2B210C0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6" w:type="dxa"/>
            <w:noWrap/>
            <w:vAlign w:val="center"/>
            <w:hideMark/>
          </w:tcPr>
          <w:p w14:paraId="2DD8336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5A39BB3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3D0B01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4B4CE7" w:rsidRPr="00EC7AE6" w14:paraId="040933F1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213958D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012079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3/31/25</w:t>
            </w:r>
          </w:p>
        </w:tc>
        <w:tc>
          <w:tcPr>
            <w:tcW w:w="943" w:type="dxa"/>
            <w:noWrap/>
            <w:vAlign w:val="center"/>
            <w:hideMark/>
          </w:tcPr>
          <w:p w14:paraId="3EBB3E9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3" w:type="dxa"/>
            <w:noWrap/>
            <w:vAlign w:val="center"/>
            <w:hideMark/>
          </w:tcPr>
          <w:p w14:paraId="305D334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284C70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6" w:type="dxa"/>
            <w:noWrap/>
            <w:vAlign w:val="center"/>
            <w:hideMark/>
          </w:tcPr>
          <w:p w14:paraId="3AD4B6D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D76C7F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20E1731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4B4CE7" w:rsidRPr="00EC7AE6" w14:paraId="1ACC6FD9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701A5E5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EA14B5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4/30/25</w:t>
            </w:r>
          </w:p>
        </w:tc>
        <w:tc>
          <w:tcPr>
            <w:tcW w:w="943" w:type="dxa"/>
            <w:noWrap/>
            <w:vAlign w:val="center"/>
            <w:hideMark/>
          </w:tcPr>
          <w:p w14:paraId="4CD4942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0.0545</w:t>
            </w:r>
          </w:p>
        </w:tc>
        <w:tc>
          <w:tcPr>
            <w:tcW w:w="943" w:type="dxa"/>
            <w:noWrap/>
            <w:vAlign w:val="center"/>
            <w:hideMark/>
          </w:tcPr>
          <w:p w14:paraId="1245BCC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1867A86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2417</w:t>
            </w:r>
          </w:p>
        </w:tc>
        <w:tc>
          <w:tcPr>
            <w:tcW w:w="986" w:type="dxa"/>
            <w:noWrap/>
            <w:vAlign w:val="center"/>
            <w:hideMark/>
          </w:tcPr>
          <w:p w14:paraId="5BB48BA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385D5DE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0.60%</w:t>
            </w:r>
          </w:p>
        </w:tc>
        <w:tc>
          <w:tcPr>
            <w:tcW w:w="943" w:type="dxa"/>
            <w:noWrap/>
            <w:vAlign w:val="center"/>
            <w:hideMark/>
          </w:tcPr>
          <w:p w14:paraId="70E84C8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7.25%</w:t>
            </w:r>
          </w:p>
        </w:tc>
      </w:tr>
      <w:tr w:rsidR="004B4CE7" w:rsidRPr="00EC7AE6" w14:paraId="2DCEBF14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2FEB901B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7B041F1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5/30/25</w:t>
            </w:r>
          </w:p>
        </w:tc>
        <w:tc>
          <w:tcPr>
            <w:tcW w:w="943" w:type="dxa"/>
            <w:noWrap/>
            <w:vAlign w:val="center"/>
            <w:hideMark/>
          </w:tcPr>
          <w:p w14:paraId="6829B9E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3" w:type="dxa"/>
            <w:noWrap/>
            <w:vAlign w:val="center"/>
            <w:hideMark/>
          </w:tcPr>
          <w:p w14:paraId="23CDB93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26468AA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6" w:type="dxa"/>
            <w:noWrap/>
            <w:vAlign w:val="center"/>
            <w:hideMark/>
          </w:tcPr>
          <w:p w14:paraId="7B43150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578B2D0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3" w:type="dxa"/>
            <w:noWrap/>
            <w:vAlign w:val="center"/>
            <w:hideMark/>
          </w:tcPr>
          <w:p w14:paraId="114C0E5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4B4CE7" w:rsidRPr="00EC7AE6" w14:paraId="01D89B00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F8520D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6149588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6/30/25</w:t>
            </w:r>
          </w:p>
        </w:tc>
        <w:tc>
          <w:tcPr>
            <w:tcW w:w="943" w:type="dxa"/>
            <w:noWrap/>
            <w:vAlign w:val="center"/>
            <w:hideMark/>
          </w:tcPr>
          <w:p w14:paraId="55D71CD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3" w:type="dxa"/>
            <w:noWrap/>
            <w:vAlign w:val="center"/>
            <w:hideMark/>
          </w:tcPr>
          <w:p w14:paraId="387B765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377036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6" w:type="dxa"/>
            <w:noWrap/>
            <w:vAlign w:val="center"/>
            <w:hideMark/>
          </w:tcPr>
          <w:p w14:paraId="37CB4C0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D319EA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3" w:type="dxa"/>
            <w:noWrap/>
            <w:vAlign w:val="center"/>
            <w:hideMark/>
          </w:tcPr>
          <w:p w14:paraId="43A0909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4B4CE7" w:rsidRPr="00EC7AE6" w14:paraId="12BEE6A7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DBEF8C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25C04A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7/31/25</w:t>
            </w:r>
          </w:p>
        </w:tc>
        <w:tc>
          <w:tcPr>
            <w:tcW w:w="943" w:type="dxa"/>
            <w:noWrap/>
            <w:vAlign w:val="center"/>
            <w:hideMark/>
          </w:tcPr>
          <w:p w14:paraId="2F2C4BC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0.0565</w:t>
            </w:r>
          </w:p>
        </w:tc>
        <w:tc>
          <w:tcPr>
            <w:tcW w:w="943" w:type="dxa"/>
            <w:noWrap/>
            <w:vAlign w:val="center"/>
            <w:hideMark/>
          </w:tcPr>
          <w:p w14:paraId="5163A61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6E8E02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2505</w:t>
            </w:r>
          </w:p>
        </w:tc>
        <w:tc>
          <w:tcPr>
            <w:tcW w:w="986" w:type="dxa"/>
            <w:noWrap/>
            <w:vAlign w:val="center"/>
            <w:hideMark/>
          </w:tcPr>
          <w:p w14:paraId="5EEB4F4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44CD88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0.63%</w:t>
            </w:r>
          </w:p>
        </w:tc>
        <w:tc>
          <w:tcPr>
            <w:tcW w:w="943" w:type="dxa"/>
            <w:noWrap/>
            <w:vAlign w:val="center"/>
            <w:hideMark/>
          </w:tcPr>
          <w:p w14:paraId="131B209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7.52%</w:t>
            </w:r>
          </w:p>
        </w:tc>
      </w:tr>
      <w:tr w:rsidR="004B4CE7" w:rsidRPr="00EC7AE6" w14:paraId="374B9D8C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0A35050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44CD70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8/29/25</w:t>
            </w:r>
          </w:p>
        </w:tc>
        <w:tc>
          <w:tcPr>
            <w:tcW w:w="943" w:type="dxa"/>
            <w:noWrap/>
            <w:vAlign w:val="center"/>
            <w:hideMark/>
          </w:tcPr>
          <w:p w14:paraId="22E1990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3" w:type="dxa"/>
            <w:noWrap/>
            <w:vAlign w:val="center"/>
            <w:hideMark/>
          </w:tcPr>
          <w:p w14:paraId="43B7B26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944CB1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6" w:type="dxa"/>
            <w:noWrap/>
            <w:vAlign w:val="center"/>
            <w:hideMark/>
          </w:tcPr>
          <w:p w14:paraId="5F31680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571F4C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3" w:type="dxa"/>
            <w:noWrap/>
            <w:vAlign w:val="center"/>
            <w:hideMark/>
          </w:tcPr>
          <w:p w14:paraId="7FC803E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4B4CE7" w:rsidRPr="00EC7AE6" w14:paraId="296CBD56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6AE7E6D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5D8F9DEC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9/30/25</w:t>
            </w:r>
          </w:p>
        </w:tc>
        <w:tc>
          <w:tcPr>
            <w:tcW w:w="943" w:type="dxa"/>
            <w:noWrap/>
            <w:vAlign w:val="center"/>
            <w:hideMark/>
          </w:tcPr>
          <w:p w14:paraId="69AA3C1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3" w:type="dxa"/>
            <w:noWrap/>
            <w:vAlign w:val="center"/>
            <w:hideMark/>
          </w:tcPr>
          <w:p w14:paraId="42CFA0D5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3259F5DA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6" w:type="dxa"/>
            <w:noWrap/>
            <w:vAlign w:val="center"/>
            <w:hideMark/>
          </w:tcPr>
          <w:p w14:paraId="40398A4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7A7BB19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3" w:type="dxa"/>
            <w:noWrap/>
            <w:vAlign w:val="center"/>
            <w:hideMark/>
          </w:tcPr>
          <w:p w14:paraId="765802B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4B4CE7" w:rsidRPr="00EC7AE6" w14:paraId="02570180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4BA84F27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12F16CE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10/31/25</w:t>
            </w:r>
          </w:p>
        </w:tc>
        <w:tc>
          <w:tcPr>
            <w:tcW w:w="943" w:type="dxa"/>
            <w:noWrap/>
            <w:vAlign w:val="center"/>
            <w:hideMark/>
          </w:tcPr>
          <w:p w14:paraId="52EAA1D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0.0575</w:t>
            </w:r>
          </w:p>
        </w:tc>
        <w:tc>
          <w:tcPr>
            <w:tcW w:w="943" w:type="dxa"/>
            <w:noWrap/>
            <w:vAlign w:val="center"/>
            <w:hideMark/>
          </w:tcPr>
          <w:p w14:paraId="0E4EC3F8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7EC0A9E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2550</w:t>
            </w:r>
          </w:p>
        </w:tc>
        <w:tc>
          <w:tcPr>
            <w:tcW w:w="986" w:type="dxa"/>
            <w:noWrap/>
            <w:vAlign w:val="center"/>
            <w:hideMark/>
          </w:tcPr>
          <w:p w14:paraId="4043E913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851610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0.64%</w:t>
            </w:r>
          </w:p>
        </w:tc>
        <w:tc>
          <w:tcPr>
            <w:tcW w:w="943" w:type="dxa"/>
            <w:noWrap/>
            <w:vAlign w:val="center"/>
            <w:hideMark/>
          </w:tcPr>
          <w:p w14:paraId="350455A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7.65%</w:t>
            </w:r>
          </w:p>
        </w:tc>
      </w:tr>
      <w:tr w:rsidR="004B4CE7" w:rsidRPr="00EC7AE6" w14:paraId="6576D4ED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5EE13B7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01B2B49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11/28/25</w:t>
            </w:r>
          </w:p>
        </w:tc>
        <w:tc>
          <w:tcPr>
            <w:tcW w:w="943" w:type="dxa"/>
            <w:noWrap/>
            <w:vAlign w:val="center"/>
            <w:hideMark/>
          </w:tcPr>
          <w:p w14:paraId="3FC6374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3" w:type="dxa"/>
            <w:noWrap/>
            <w:vAlign w:val="center"/>
            <w:hideMark/>
          </w:tcPr>
          <w:p w14:paraId="32448541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09B8D7E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986" w:type="dxa"/>
            <w:noWrap/>
            <w:vAlign w:val="center"/>
            <w:hideMark/>
          </w:tcPr>
          <w:p w14:paraId="133F386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7B634A1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3" w:type="dxa"/>
            <w:noWrap/>
            <w:vAlign w:val="center"/>
            <w:hideMark/>
          </w:tcPr>
          <w:p w14:paraId="2B1F290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4B4CE7" w:rsidRPr="004B4CE7" w14:paraId="2CF18862" w14:textId="77777777" w:rsidTr="00EC7AE6">
        <w:trPr>
          <w:trHeight w:val="320"/>
        </w:trPr>
        <w:tc>
          <w:tcPr>
            <w:tcW w:w="1803" w:type="dxa"/>
            <w:vMerge/>
            <w:vAlign w:val="center"/>
            <w:hideMark/>
          </w:tcPr>
          <w:p w14:paraId="1AD375F2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  <w:vAlign w:val="center"/>
            <w:hideMark/>
          </w:tcPr>
          <w:p w14:paraId="3D608354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12/31/25</w:t>
            </w:r>
          </w:p>
        </w:tc>
        <w:tc>
          <w:tcPr>
            <w:tcW w:w="943" w:type="dxa"/>
            <w:noWrap/>
            <w:vAlign w:val="center"/>
            <w:hideMark/>
          </w:tcPr>
          <w:p w14:paraId="3A9B131E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3" w:type="dxa"/>
            <w:noWrap/>
            <w:vAlign w:val="center"/>
            <w:hideMark/>
          </w:tcPr>
          <w:p w14:paraId="6A394B6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  <w:vAlign w:val="center"/>
            <w:hideMark/>
          </w:tcPr>
          <w:p w14:paraId="330F7329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986" w:type="dxa"/>
            <w:noWrap/>
            <w:vAlign w:val="center"/>
            <w:hideMark/>
          </w:tcPr>
          <w:p w14:paraId="72C1A836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  <w:vAlign w:val="center"/>
            <w:hideMark/>
          </w:tcPr>
          <w:p w14:paraId="0A5F01ED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3" w:type="dxa"/>
            <w:noWrap/>
            <w:vAlign w:val="center"/>
            <w:hideMark/>
          </w:tcPr>
          <w:p w14:paraId="79D9A08F" w14:textId="77777777" w:rsidR="004B4CE7" w:rsidRPr="00EC7AE6" w:rsidRDefault="004B4CE7" w:rsidP="00EC7AE6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4B4CE7" w:rsidRPr="004B4CE7" w14:paraId="2FB14EB9" w14:textId="77777777" w:rsidTr="00343FB0">
        <w:trPr>
          <w:trHeight w:val="320"/>
        </w:trPr>
        <w:tc>
          <w:tcPr>
            <w:tcW w:w="1803" w:type="dxa"/>
            <w:vMerge/>
            <w:vAlign w:val="center"/>
          </w:tcPr>
          <w:p w14:paraId="5D0A565A" w14:textId="77777777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670" w:type="dxa"/>
            <w:noWrap/>
          </w:tcPr>
          <w:p w14:paraId="709F9761" w14:textId="1C4164FB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1/30/26</w:t>
            </w:r>
          </w:p>
        </w:tc>
        <w:tc>
          <w:tcPr>
            <w:tcW w:w="943" w:type="dxa"/>
            <w:noWrap/>
          </w:tcPr>
          <w:p w14:paraId="357F5887" w14:textId="08616316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0.062</w:t>
            </w:r>
          </w:p>
        </w:tc>
        <w:tc>
          <w:tcPr>
            <w:tcW w:w="943" w:type="dxa"/>
            <w:noWrap/>
          </w:tcPr>
          <w:p w14:paraId="71740948" w14:textId="25C3BD60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44345</w:t>
            </w:r>
          </w:p>
        </w:tc>
        <w:tc>
          <w:tcPr>
            <w:tcW w:w="1119" w:type="dxa"/>
            <w:noWrap/>
          </w:tcPr>
          <w:p w14:paraId="0B9511FC" w14:textId="2595EF8F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2749</w:t>
            </w:r>
          </w:p>
        </w:tc>
        <w:tc>
          <w:tcPr>
            <w:tcW w:w="986" w:type="dxa"/>
            <w:noWrap/>
          </w:tcPr>
          <w:p w14:paraId="70DFA991" w14:textId="0F5DAB33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399992</w:t>
            </w:r>
          </w:p>
        </w:tc>
        <w:tc>
          <w:tcPr>
            <w:tcW w:w="943" w:type="dxa"/>
            <w:noWrap/>
          </w:tcPr>
          <w:p w14:paraId="4F790248" w14:textId="454ADC04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0.69%</w:t>
            </w:r>
          </w:p>
        </w:tc>
        <w:tc>
          <w:tcPr>
            <w:tcW w:w="943" w:type="dxa"/>
            <w:noWrap/>
          </w:tcPr>
          <w:p w14:paraId="70595F7E" w14:textId="3D7C1AB6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sz w:val="22"/>
                <w:szCs w:val="22"/>
              </w:rPr>
              <w:t>8.25%</w:t>
            </w:r>
          </w:p>
        </w:tc>
      </w:tr>
      <w:tr w:rsidR="004B4CE7" w:rsidRPr="00EC7AE6" w14:paraId="3BEECE29" w14:textId="77777777" w:rsidTr="004B4CE7">
        <w:trPr>
          <w:trHeight w:val="320"/>
        </w:trPr>
        <w:tc>
          <w:tcPr>
            <w:tcW w:w="5359" w:type="dxa"/>
            <w:gridSpan w:val="4"/>
            <w:noWrap/>
            <w:vAlign w:val="center"/>
            <w:hideMark/>
          </w:tcPr>
          <w:p w14:paraId="4909E9CC" w14:textId="77777777" w:rsidR="004B4CE7" w:rsidRPr="00EC7AE6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EC7AE6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119" w:type="dxa"/>
            <w:noWrap/>
            <w:vAlign w:val="center"/>
            <w:hideMark/>
          </w:tcPr>
          <w:p w14:paraId="1C5B1AEB" w14:textId="4E231969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89,411</w:t>
            </w:r>
          </w:p>
        </w:tc>
        <w:tc>
          <w:tcPr>
            <w:tcW w:w="986" w:type="dxa"/>
            <w:noWrap/>
            <w:vAlign w:val="center"/>
            <w:hideMark/>
          </w:tcPr>
          <w:p w14:paraId="6E245ABF" w14:textId="1E0987F6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999,995</w:t>
            </w:r>
          </w:p>
        </w:tc>
        <w:tc>
          <w:tcPr>
            <w:tcW w:w="943" w:type="dxa"/>
            <w:noWrap/>
            <w:vAlign w:val="center"/>
            <w:hideMark/>
          </w:tcPr>
          <w:p w14:paraId="03BA4621" w14:textId="007F1E2B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0.56%</w:t>
            </w:r>
          </w:p>
        </w:tc>
        <w:tc>
          <w:tcPr>
            <w:tcW w:w="943" w:type="dxa"/>
            <w:noWrap/>
            <w:vAlign w:val="center"/>
            <w:hideMark/>
          </w:tcPr>
          <w:p w14:paraId="1C211351" w14:textId="68326759" w:rsidR="004B4CE7" w:rsidRPr="004B4CE7" w:rsidRDefault="004B4CE7" w:rsidP="004B4CE7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4B4CE7">
              <w:rPr>
                <w:rFonts w:ascii="KaiTi" w:eastAsia="KaiTi" w:hAnsi="KaiTi"/>
                <w:color w:val="000000"/>
                <w:sz w:val="22"/>
                <w:szCs w:val="22"/>
              </w:rPr>
              <w:t>6.71%</w:t>
            </w:r>
          </w:p>
        </w:tc>
      </w:tr>
    </w:tbl>
    <w:p w14:paraId="0BDCAAA8" w14:textId="0000E23D" w:rsidR="00EC7AE6" w:rsidRPr="001E195B" w:rsidRDefault="00EC7AE6" w:rsidP="00EC7AE6">
      <w:pPr>
        <w:rPr>
          <w:rFonts w:ascii="KaiTi" w:eastAsia="KaiTi" w:hAnsi="KaiTi"/>
        </w:rPr>
      </w:pPr>
    </w:p>
    <w:sectPr w:rsidR="00EC7AE6" w:rsidRPr="001E195B"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EF849" w14:textId="77777777" w:rsidR="00D73485" w:rsidRDefault="00D73485" w:rsidP="00EC7AE6">
      <w:pPr>
        <w:spacing w:after="0" w:line="240" w:lineRule="auto"/>
      </w:pPr>
      <w:r>
        <w:separator/>
      </w:r>
    </w:p>
  </w:endnote>
  <w:endnote w:type="continuationSeparator" w:id="0">
    <w:p w14:paraId="1B2BC9AD" w14:textId="77777777" w:rsidR="00D73485" w:rsidRDefault="00D73485" w:rsidP="00EC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TC">
    <w:altName w:val="Cambria"/>
    <w:panose1 w:val="02000000000000000000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DB47" w14:textId="7CAFDD6C" w:rsidR="00EC7AE6" w:rsidRDefault="00EC7AE6">
    <w:pPr>
      <w:pStyle w:val="Footer"/>
    </w:pPr>
  </w:p>
  <w:p w14:paraId="62A544A7" w14:textId="77777777" w:rsidR="00EC7AE6" w:rsidRDefault="00EC7A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761D7" w14:textId="77777777" w:rsidR="00D73485" w:rsidRDefault="00D73485" w:rsidP="00EC7AE6">
      <w:pPr>
        <w:spacing w:after="0" w:line="240" w:lineRule="auto"/>
      </w:pPr>
      <w:r>
        <w:separator/>
      </w:r>
    </w:p>
  </w:footnote>
  <w:footnote w:type="continuationSeparator" w:id="0">
    <w:p w14:paraId="122ED32A" w14:textId="77777777" w:rsidR="00D73485" w:rsidRDefault="00D73485" w:rsidP="00EC7AE6">
      <w:pPr>
        <w:spacing w:after="0" w:line="240" w:lineRule="auto"/>
      </w:pPr>
      <w:r>
        <w:continuationSeparator/>
      </w:r>
    </w:p>
  </w:footnote>
  <w:footnote w:id="1">
    <w:p w14:paraId="2DA9757C" w14:textId="59248B6A" w:rsidR="00A51C67" w:rsidRDefault="00A51C67" w:rsidP="00A51C6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C7AE6">
        <w:rPr>
          <w:rFonts w:ascii="KaiTi" w:eastAsia="KaiTi" w:hAnsi="KaiTi" w:hint="eastAsia"/>
        </w:rPr>
        <w:t>I17基金底层资产有40%的非美国股权资产，因此之前仅称为美国优质股权基金并不妥当，本期将其简称改为环球优质股权基金</w:t>
      </w:r>
    </w:p>
  </w:footnote>
  <w:footnote w:id="2">
    <w:p w14:paraId="4DB98B00" w14:textId="55230313" w:rsidR="00A51C67" w:rsidRDefault="00A51C67" w:rsidP="00A51C6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C7AE6">
        <w:rPr>
          <w:rFonts w:ascii="KaiTi" w:eastAsia="KaiTi" w:hAnsi="KaiTi" w:hint="eastAsia"/>
        </w:rPr>
        <w:t>R01房地产基金底层有27%的资产来自于非美国家</w:t>
      </w:r>
    </w:p>
  </w:footnote>
  <w:footnote w:id="3">
    <w:p w14:paraId="6AA7DDFE" w14:textId="47C78CE9" w:rsidR="00A51C67" w:rsidRDefault="00A51C67" w:rsidP="00A51C6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KaiTi" w:eastAsia="KaiTi" w:hAnsi="KaiTi" w:hint="eastAsia"/>
        </w:rPr>
        <w:t>Z</w:t>
      </w:r>
      <w:r w:rsidRPr="00EC7AE6">
        <w:rPr>
          <w:rFonts w:ascii="KaiTi" w:eastAsia="KaiTi" w:hAnsi="KaiTi" w:hint="eastAsia"/>
        </w:rPr>
        <w:t>17</w:t>
      </w:r>
      <w:r w:rsidRPr="00EC7AE6">
        <w:rPr>
          <w:rFonts w:ascii="KaiTi" w:eastAsia="KaiTi" w:hAnsi="KaiTi" w:hint="eastAsia"/>
        </w:rPr>
        <w:t>基金</w:t>
      </w:r>
      <w:r>
        <w:rPr>
          <w:rFonts w:ascii="KaiTi" w:eastAsia="KaiTi" w:hAnsi="KaiTi" w:hint="eastAsia"/>
        </w:rPr>
        <w:t>为I17基金的派息版本，</w:t>
      </w:r>
      <w:r w:rsidRPr="00EC7AE6">
        <w:rPr>
          <w:rFonts w:ascii="KaiTi" w:eastAsia="KaiTi" w:hAnsi="KaiTi" w:hint="eastAsia"/>
        </w:rPr>
        <w:t>其简称</w:t>
      </w:r>
      <w:r>
        <w:rPr>
          <w:rFonts w:ascii="KaiTi" w:eastAsia="KaiTi" w:hAnsi="KaiTi" w:hint="eastAsia"/>
        </w:rPr>
        <w:t>同样</w:t>
      </w:r>
      <w:r w:rsidRPr="00EC7AE6">
        <w:rPr>
          <w:rFonts w:ascii="KaiTi" w:eastAsia="KaiTi" w:hAnsi="KaiTi" w:hint="eastAsia"/>
        </w:rPr>
        <w:t>改为环球优质股权基金</w:t>
      </w:r>
    </w:p>
  </w:footnote>
  <w:footnote w:id="4">
    <w:p w14:paraId="6E62D877" w14:textId="698239CE" w:rsidR="00A51C67" w:rsidRPr="00A51C67" w:rsidRDefault="00A51C67">
      <w:pPr>
        <w:pStyle w:val="FootnoteText"/>
        <w:rPr>
          <w:rFonts w:ascii="KaiTi" w:eastAsia="KaiTi" w:hAnsi="KaiTi" w:hint="eastAsia"/>
        </w:rPr>
      </w:pPr>
      <w:r w:rsidRPr="00A51C67">
        <w:rPr>
          <w:rStyle w:val="FootnoteReference"/>
          <w:rFonts w:ascii="KaiTi" w:eastAsia="KaiTi" w:hAnsi="KaiTi"/>
        </w:rPr>
        <w:footnoteRef/>
      </w:r>
      <w:r w:rsidRPr="00A51C67">
        <w:rPr>
          <w:rFonts w:ascii="KaiTi" w:eastAsia="KaiTi" w:hAnsi="KaiTi"/>
        </w:rPr>
        <w:t xml:space="preserve"> </w:t>
      </w:r>
      <w:r w:rsidRPr="00A51C67">
        <w:rPr>
          <w:rFonts w:ascii="KaiTi" w:eastAsia="KaiTi" w:hAnsi="KaiTi" w:hint="eastAsia"/>
        </w:rPr>
        <w:t>近期人民币升值明显，汇率由7.2上升至6.9，为便于</w:t>
      </w:r>
      <w:r w:rsidR="004E1DA9">
        <w:rPr>
          <w:rFonts w:ascii="KaiTi" w:eastAsia="KaiTi" w:hAnsi="KaiTi" w:hint="eastAsia"/>
        </w:rPr>
        <w:t>展示</w:t>
      </w:r>
      <w:r w:rsidRPr="00A51C67">
        <w:rPr>
          <w:rFonts w:ascii="KaiTi" w:eastAsia="KaiTi" w:hAnsi="KaiTi" w:hint="eastAsia"/>
        </w:rPr>
        <w:t>，仍然采用汇率7.2。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30A"/>
    <w:multiLevelType w:val="multilevel"/>
    <w:tmpl w:val="E3CE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24E"/>
    <w:multiLevelType w:val="multilevel"/>
    <w:tmpl w:val="155A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C11BA"/>
    <w:multiLevelType w:val="multilevel"/>
    <w:tmpl w:val="7BC0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D513B"/>
    <w:multiLevelType w:val="multilevel"/>
    <w:tmpl w:val="0E2E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33BA7"/>
    <w:multiLevelType w:val="multilevel"/>
    <w:tmpl w:val="8EC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B6BA9"/>
    <w:multiLevelType w:val="multilevel"/>
    <w:tmpl w:val="149C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D335E"/>
    <w:multiLevelType w:val="multilevel"/>
    <w:tmpl w:val="AC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B5C06"/>
    <w:multiLevelType w:val="multilevel"/>
    <w:tmpl w:val="401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582667"/>
    <w:multiLevelType w:val="multilevel"/>
    <w:tmpl w:val="E95E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52AAB"/>
    <w:multiLevelType w:val="multilevel"/>
    <w:tmpl w:val="3A42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65667"/>
    <w:multiLevelType w:val="multilevel"/>
    <w:tmpl w:val="007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7047C"/>
    <w:multiLevelType w:val="multilevel"/>
    <w:tmpl w:val="7336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E637B"/>
    <w:multiLevelType w:val="multilevel"/>
    <w:tmpl w:val="3E2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F5632"/>
    <w:multiLevelType w:val="multilevel"/>
    <w:tmpl w:val="063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709C6"/>
    <w:multiLevelType w:val="multilevel"/>
    <w:tmpl w:val="594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143680">
    <w:abstractNumId w:val="0"/>
  </w:num>
  <w:num w:numId="2" w16cid:durableId="1161775489">
    <w:abstractNumId w:val="11"/>
  </w:num>
  <w:num w:numId="3" w16cid:durableId="1773091614">
    <w:abstractNumId w:val="2"/>
  </w:num>
  <w:num w:numId="4" w16cid:durableId="764301634">
    <w:abstractNumId w:val="4"/>
  </w:num>
  <w:num w:numId="5" w16cid:durableId="1614241814">
    <w:abstractNumId w:val="8"/>
  </w:num>
  <w:num w:numId="6" w16cid:durableId="510989577">
    <w:abstractNumId w:val="1"/>
  </w:num>
  <w:num w:numId="7" w16cid:durableId="1462310605">
    <w:abstractNumId w:val="14"/>
  </w:num>
  <w:num w:numId="8" w16cid:durableId="1319111985">
    <w:abstractNumId w:val="13"/>
  </w:num>
  <w:num w:numId="9" w16cid:durableId="720131891">
    <w:abstractNumId w:val="9"/>
  </w:num>
  <w:num w:numId="10" w16cid:durableId="537199792">
    <w:abstractNumId w:val="7"/>
  </w:num>
  <w:num w:numId="11" w16cid:durableId="864949470">
    <w:abstractNumId w:val="3"/>
  </w:num>
  <w:num w:numId="12" w16cid:durableId="854611205">
    <w:abstractNumId w:val="6"/>
  </w:num>
  <w:num w:numId="13" w16cid:durableId="425728792">
    <w:abstractNumId w:val="10"/>
  </w:num>
  <w:num w:numId="14" w16cid:durableId="1357002310">
    <w:abstractNumId w:val="5"/>
  </w:num>
  <w:num w:numId="15" w16cid:durableId="6666344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75"/>
    <w:rsid w:val="00137817"/>
    <w:rsid w:val="00192496"/>
    <w:rsid w:val="001E195B"/>
    <w:rsid w:val="0038461C"/>
    <w:rsid w:val="003F569D"/>
    <w:rsid w:val="004B2948"/>
    <w:rsid w:val="004B4CE7"/>
    <w:rsid w:val="004E1DA9"/>
    <w:rsid w:val="00706A02"/>
    <w:rsid w:val="007F22B7"/>
    <w:rsid w:val="00842F7A"/>
    <w:rsid w:val="00957B84"/>
    <w:rsid w:val="00A51C67"/>
    <w:rsid w:val="00AA40F5"/>
    <w:rsid w:val="00B470CE"/>
    <w:rsid w:val="00C26CE7"/>
    <w:rsid w:val="00C46870"/>
    <w:rsid w:val="00CF5C82"/>
    <w:rsid w:val="00D17075"/>
    <w:rsid w:val="00D73485"/>
    <w:rsid w:val="00D90DAE"/>
    <w:rsid w:val="00DF7139"/>
    <w:rsid w:val="00E26F5C"/>
    <w:rsid w:val="00EC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A6E7"/>
  <w15:chartTrackingRefBased/>
  <w15:docId w15:val="{1D16F770-913E-9446-96F7-EB3892F5C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0F5"/>
  </w:style>
  <w:style w:type="paragraph" w:styleId="Heading1">
    <w:name w:val="heading 1"/>
    <w:basedOn w:val="Normal"/>
    <w:next w:val="Normal"/>
    <w:link w:val="Heading1Char"/>
    <w:uiPriority w:val="9"/>
    <w:qFormat/>
    <w:rsid w:val="00D17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7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7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17075"/>
  </w:style>
  <w:style w:type="paragraph" w:customStyle="1" w:styleId="p3">
    <w:name w:val="p3"/>
    <w:basedOn w:val="Normal"/>
    <w:rsid w:val="00D170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EC7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AE6"/>
  </w:style>
  <w:style w:type="paragraph" w:styleId="Footer">
    <w:name w:val="footer"/>
    <w:basedOn w:val="Normal"/>
    <w:link w:val="FooterChar"/>
    <w:uiPriority w:val="99"/>
    <w:unhideWhenUsed/>
    <w:rsid w:val="00EC7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AE6"/>
  </w:style>
  <w:style w:type="paragraph" w:styleId="FootnoteText">
    <w:name w:val="footnote text"/>
    <w:basedOn w:val="Normal"/>
    <w:link w:val="FootnoteTextChar"/>
    <w:uiPriority w:val="99"/>
    <w:semiHidden/>
    <w:unhideWhenUsed/>
    <w:rsid w:val="00EC7AE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7AE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7AE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A40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0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2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92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889C2B-8600-5D4C-BDFC-60C005D7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2094</Words>
  <Characters>3372</Characters>
  <Application>Microsoft Office Word</Application>
  <DocSecurity>0</DocSecurity>
  <Lines>421</Lines>
  <Paragraphs>496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11</cp:revision>
  <dcterms:created xsi:type="dcterms:W3CDTF">2026-03-01T09:00:00Z</dcterms:created>
  <dcterms:modified xsi:type="dcterms:W3CDTF">2026-03-01T10:02:00Z</dcterms:modified>
</cp:coreProperties>
</file>