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F997" w14:textId="488A4A7E" w:rsidR="001E195B" w:rsidRPr="00A07C6F" w:rsidRDefault="00137817" w:rsidP="001E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Wonder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客户</w:t>
      </w:r>
      <w:r w:rsidR="001E195B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月度通讯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="001E195B"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</w:t>
      </w:r>
      <w:r w:rsidR="001E195B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6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 w:rsidR="006F2D45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3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="001E195B"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44EFF41E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6E0F4B18" w14:textId="75687F7E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各位朋友，您好：</w:t>
      </w:r>
    </w:p>
    <w:p w14:paraId="5BC0D021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22B3DC0E" w14:textId="63DCCD4C" w:rsidR="0043286C" w:rsidRP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在经历了一个震荡的2月后，3月的市场</w:t>
      </w:r>
      <w:r>
        <w:rPr>
          <w:rFonts w:ascii="KaiTi" w:eastAsia="KaiTi" w:hAnsi="KaiTi" w:cs="Heiti TC" w:hint="eastAsia"/>
          <w:kern w:val="0"/>
          <w14:ligatures w14:val="none"/>
        </w:rPr>
        <w:t>更加让人</w:t>
      </w:r>
      <w:r w:rsidR="004B31FD">
        <w:rPr>
          <w:rFonts w:ascii="KaiTi" w:eastAsia="KaiTi" w:hAnsi="KaiTi" w:cs="Heiti TC" w:hint="eastAsia"/>
          <w:kern w:val="0"/>
          <w14:ligatures w14:val="none"/>
        </w:rPr>
        <w:t>惶恐不安</w:t>
      </w:r>
      <w:r>
        <w:rPr>
          <w:rFonts w:ascii="KaiTi" w:eastAsia="KaiTi" w:hAnsi="KaiTi" w:cs="Heiti TC" w:hint="eastAsia"/>
          <w:kern w:val="0"/>
          <w14:ligatures w14:val="none"/>
        </w:rPr>
        <w:t>。</w:t>
      </w:r>
      <w:r w:rsidRPr="0043286C">
        <w:rPr>
          <w:rFonts w:ascii="KaiTi" w:eastAsia="KaiTi" w:hAnsi="KaiTi" w:cs="Heiti TC"/>
          <w:kern w:val="0"/>
          <w14:ligatures w14:val="none"/>
        </w:rPr>
        <w:t>如果说年初的市场是在为“降息”欢呼，那么此刻，市场正在被迫重新评估通胀、政策与增长的三角关系。</w:t>
      </w:r>
    </w:p>
    <w:p w14:paraId="690DD4F5" w14:textId="4E29333E" w:rsid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值此</w:t>
      </w:r>
      <w:r w:rsidR="004B31FD">
        <w:rPr>
          <w:rFonts w:ascii="KaiTi" w:eastAsia="KaiTi" w:hAnsi="KaiTi" w:cs="Heiti TC" w:hint="eastAsia"/>
          <w:kern w:val="0"/>
          <w14:ligatures w14:val="none"/>
        </w:rPr>
        <w:t>市场喧嚣</w:t>
      </w:r>
      <w:r w:rsidRPr="0043286C">
        <w:rPr>
          <w:rFonts w:ascii="KaiTi" w:eastAsia="KaiTi" w:hAnsi="KaiTi" w:cs="Heiti TC"/>
          <w:kern w:val="0"/>
          <w14:ligatures w14:val="none"/>
        </w:rPr>
        <w:t>之际，旺达财智愿陪您拨开宏观迷雾，守望财富的确定性。</w:t>
      </w:r>
    </w:p>
    <w:p w14:paraId="12E53EAE" w14:textId="77777777" w:rsidR="004B31FD" w:rsidRPr="0043286C" w:rsidRDefault="004B31FD" w:rsidP="0043286C">
      <w:pPr>
        <w:rPr>
          <w:rFonts w:ascii="KaiTi" w:eastAsia="KaiTi" w:hAnsi="KaiTi" w:cs="Heiti TC"/>
          <w:kern w:val="0"/>
          <w14:ligatures w14:val="none"/>
        </w:rPr>
      </w:pPr>
    </w:p>
    <w:p w14:paraId="52AFACF8" w14:textId="77777777" w:rsidR="0043286C" w:rsidRPr="0043286C" w:rsidRDefault="0043286C" w:rsidP="0043286C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1. 市场综述：从“估值扩张”回归“现金流”</w:t>
      </w:r>
    </w:p>
    <w:p w14:paraId="388B8A80" w14:textId="77777777" w:rsidR="0043286C" w:rsidRP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3月全球市场的核心矛盾不再是单一的事件冲击，而是三个维度的共振：</w:t>
      </w:r>
    </w:p>
    <w:p w14:paraId="5C4D1342" w14:textId="77777777" w:rsidR="0043286C" w:rsidRPr="0043286C" w:rsidRDefault="0043286C" w:rsidP="0043286C">
      <w:pPr>
        <w:numPr>
          <w:ilvl w:val="0"/>
          <w:numId w:val="17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地缘溢价重塑成本端：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地缘冲突引发的油价上行已成为主导变量，输入型通胀压力直接对冲了此前的降息预期。</w:t>
      </w:r>
    </w:p>
    <w:p w14:paraId="13E8C51D" w14:textId="77777777" w:rsidR="0043286C" w:rsidRPr="0043286C" w:rsidRDefault="0043286C" w:rsidP="0043286C">
      <w:pPr>
        <w:numPr>
          <w:ilvl w:val="0"/>
          <w:numId w:val="17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美联储的“静默与观望”：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政策端从“潜在宽松”转向“被动观察”，这意味着分母端的压力（无风险利率）将在高位停留更久。</w:t>
      </w:r>
    </w:p>
    <w:p w14:paraId="63DE9FDB" w14:textId="77777777" w:rsidR="0043286C" w:rsidRPr="0043286C" w:rsidRDefault="0043286C" w:rsidP="0043286C">
      <w:pPr>
        <w:numPr>
          <w:ilvl w:val="0"/>
          <w:numId w:val="17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需求端的微妙拐点：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消费者信心出现松动，标志着分母端承压的同时，分子端（盈利预期）也开始面临考验。</w:t>
      </w:r>
    </w:p>
    <w:p w14:paraId="2C39C313" w14:textId="018EBE94" w:rsidR="0043286C" w:rsidRPr="004B31FD" w:rsidRDefault="0043286C" w:rsidP="0043286C">
      <w:pPr>
        <w:rPr>
          <w:b/>
          <w:bCs/>
        </w:rPr>
      </w:pPr>
      <w:r w:rsidRPr="0043286C">
        <w:rPr>
          <w:rFonts w:ascii="KaiTi" w:eastAsia="KaiTi" w:hAnsi="KaiTi"/>
          <w:color w:val="000000"/>
        </w:rPr>
        <w:t>资产回报来源正在转变。估值抬升带来的收益已经结束，市场倾向于提前悲观定价。现金流强劲、结构性优势明显的资产成为投资避险选择。</w:t>
      </w:r>
    </w:p>
    <w:p w14:paraId="4DE63708" w14:textId="77777777" w:rsidR="004B31FD" w:rsidRDefault="004B31FD" w:rsidP="0043286C">
      <w:pPr>
        <w:rPr>
          <w:rFonts w:ascii="KaiTi" w:eastAsia="KaiTi" w:hAnsi="KaiTi" w:cs="Heiti TC"/>
          <w:b/>
          <w:bCs/>
          <w:kern w:val="0"/>
          <w14:ligatures w14:val="none"/>
        </w:rPr>
      </w:pPr>
    </w:p>
    <w:p w14:paraId="3EFD8C70" w14:textId="13DA1503" w:rsidR="0043286C" w:rsidRPr="0043286C" w:rsidRDefault="0043286C" w:rsidP="0043286C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2.二阶思维下的“反脆弱”实践</w:t>
      </w:r>
    </w:p>
    <w:p w14:paraId="20018B0B" w14:textId="322F45F1" w:rsidR="0043286C" w:rsidRP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在上月通讯中，我们探讨了面对地缘突袭时的“二阶思维”。进入3月，</w:t>
      </w:r>
      <w:r>
        <w:rPr>
          <w:rFonts w:ascii="KaiTi" w:eastAsia="KaiTi" w:hAnsi="KaiTi" w:cs="Heiti TC" w:hint="eastAsia"/>
          <w:kern w:val="0"/>
          <w14:ligatures w14:val="none"/>
        </w:rPr>
        <w:t>世界逐渐向第二个可能性滑落</w:t>
      </w:r>
      <w:r w:rsidRPr="0043286C">
        <w:rPr>
          <w:rFonts w:ascii="KaiTi" w:eastAsia="KaiTi" w:hAnsi="KaiTi" w:cs="Heiti TC"/>
          <w:kern w:val="0"/>
          <w14:ligatures w14:val="none"/>
        </w:rPr>
        <w:t>：</w:t>
      </w:r>
    </w:p>
    <w:p w14:paraId="763FDD1D" w14:textId="4104DC3F" w:rsidR="0043286C" w:rsidRPr="0043286C" w:rsidRDefault="0043286C" w:rsidP="0043286C">
      <w:pPr>
        <w:numPr>
          <w:ilvl w:val="0"/>
          <w:numId w:val="18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警惕“通胀螺旋”的二阶影响：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当油价突破关键位，它不再仅仅是能源成本，而是通过供应链传导至各行各业。作为策略师，我们关注的不是油价本身，而是“企业转嫁成本的能力”。这意味着，拥有高护城河、强议价权的优质蓝筹，其价值在此时远胜于高增长但无盈利的科技股。</w:t>
      </w:r>
    </w:p>
    <w:p w14:paraId="0B12A39D" w14:textId="77777777" w:rsidR="0043286C" w:rsidRPr="0043286C" w:rsidRDefault="0043286C" w:rsidP="0043286C">
      <w:pPr>
        <w:numPr>
          <w:ilvl w:val="0"/>
          <w:numId w:val="18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lastRenderedPageBreak/>
        <w:t>从“降息交易”切换至“防御交易”：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市场已开始对“高利率维持更久（Higher for Longer）”进行二次定价。我们在配置上建议继续克制杠杆，将重心放在</w:t>
      </w:r>
      <w:r w:rsidRPr="0043286C">
        <w:rPr>
          <w:rFonts w:ascii="KaiTi" w:eastAsia="KaiTi" w:hAnsi="KaiTi" w:cs="Heiti TC"/>
          <w:b/>
          <w:bCs/>
          <w:kern w:val="0"/>
          <w14:ligatures w14:val="none"/>
        </w:rPr>
        <w:t>跨地域、跨工具的深度解耦</w:t>
      </w:r>
      <w:r w:rsidRPr="0043286C">
        <w:rPr>
          <w:rFonts w:ascii="KaiTi" w:eastAsia="KaiTi" w:hAnsi="KaiTi" w:cs="Heiti TC"/>
          <w:kern w:val="0"/>
          <w14:ligatures w14:val="none"/>
        </w:rPr>
        <w:t>上。</w:t>
      </w:r>
    </w:p>
    <w:p w14:paraId="78CCC9C6" w14:textId="77777777" w:rsidR="004B31FD" w:rsidRDefault="004B31FD" w:rsidP="0043286C">
      <w:pPr>
        <w:rPr>
          <w:rFonts w:ascii="KaiTi" w:eastAsia="KaiTi" w:hAnsi="KaiTi" w:cs="Heiti TC"/>
          <w:b/>
          <w:bCs/>
          <w:kern w:val="0"/>
          <w14:ligatures w14:val="none"/>
        </w:rPr>
      </w:pPr>
    </w:p>
    <w:p w14:paraId="1B775621" w14:textId="093CB3DD" w:rsidR="0043286C" w:rsidRPr="0043286C" w:rsidRDefault="0043286C" w:rsidP="0043286C">
      <w:pPr>
        <w:rPr>
          <w:rFonts w:ascii="KaiTi" w:eastAsia="KaiTi" w:hAnsi="KaiTi" w:cs="Heiti TC"/>
          <w:b/>
          <w:bCs/>
          <w:kern w:val="0"/>
          <w14:ligatures w14:val="none"/>
        </w:rPr>
      </w:pPr>
      <w:r>
        <w:rPr>
          <w:rFonts w:ascii="KaiTi" w:eastAsia="KaiTi" w:hAnsi="KaiTi" w:cs="Heiti TC" w:hint="eastAsia"/>
          <w:b/>
          <w:bCs/>
          <w:kern w:val="0"/>
          <w14:ligatures w14:val="none"/>
        </w:rPr>
        <w:t>3</w:t>
      </w:r>
      <w:r w:rsidRPr="0043286C">
        <w:rPr>
          <w:rFonts w:ascii="KaiTi" w:eastAsia="KaiTi" w:hAnsi="KaiTi" w:cs="Heiti TC"/>
          <w:b/>
          <w:bCs/>
          <w:kern w:val="0"/>
          <w14:ligatures w14:val="none"/>
        </w:rPr>
        <w:t xml:space="preserve">. 科技赋能：AI </w:t>
      </w:r>
      <w:r>
        <w:rPr>
          <w:rFonts w:ascii="KaiTi" w:eastAsia="KaiTi" w:hAnsi="KaiTi" w:cs="Heiti TC" w:hint="eastAsia"/>
          <w:b/>
          <w:bCs/>
          <w:kern w:val="0"/>
          <w14:ligatures w14:val="none"/>
        </w:rPr>
        <w:t>介入加速</w:t>
      </w:r>
    </w:p>
    <w:p w14:paraId="4C2FF5AC" w14:textId="7F552F62" w:rsidR="0043286C" w:rsidRP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AI 的演进速度惊人，它不仅在改变世界，也在重塑我们的投研效率。 本月，</w:t>
      </w:r>
      <w:r>
        <w:rPr>
          <w:rFonts w:ascii="KaiTi" w:eastAsia="KaiTi" w:hAnsi="KaiTi" w:cs="Heiti TC" w:hint="eastAsia"/>
          <w:kern w:val="0"/>
          <w14:ligatures w14:val="none"/>
        </w:rPr>
        <w:t>虽然</w:t>
      </w:r>
      <w:r w:rsidR="004B31FD">
        <w:rPr>
          <w:rFonts w:ascii="KaiTi" w:eastAsia="KaiTi" w:hAnsi="KaiTi" w:cs="Heiti TC" w:hint="eastAsia"/>
          <w:kern w:val="0"/>
          <w14:ligatures w14:val="none"/>
        </w:rPr>
        <w:t>我们</w:t>
      </w:r>
      <w:r w:rsidRPr="0043286C">
        <w:rPr>
          <w:rFonts w:ascii="KaiTi" w:eastAsia="KaiTi" w:hAnsi="KaiTi" w:cs="Heiti TC"/>
          <w:kern w:val="0"/>
          <w14:ligatures w14:val="none"/>
        </w:rPr>
        <w:t>并未跟风安装近期火热的小龙虾（Claude新系列/相关应用），而是</w:t>
      </w:r>
      <w:r>
        <w:rPr>
          <w:rFonts w:ascii="KaiTi" w:eastAsia="KaiTi" w:hAnsi="KaiTi" w:cs="Heiti TC" w:hint="eastAsia"/>
          <w:kern w:val="0"/>
          <w14:ligatures w14:val="none"/>
        </w:rPr>
        <w:t>一直在研究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b/>
          <w:bCs/>
          <w:kern w:val="0"/>
          <w14:ligatures w14:val="none"/>
        </w:rPr>
        <w:t>Antigravity</w:t>
      </w:r>
      <w:r w:rsidRPr="0043286C">
        <w:rPr>
          <w:rFonts w:ascii="KaiTi" w:eastAsia="KaiTi" w:hAnsi="KaiTi" w:cs="Heiti TC"/>
          <w:kern w:val="0"/>
          <w14:ligatures w14:val="none"/>
        </w:rPr>
        <w:t>（一款</w:t>
      </w:r>
      <w:r w:rsidR="004B31FD">
        <w:rPr>
          <w:rFonts w:ascii="KaiTi" w:eastAsia="KaiTi" w:hAnsi="KaiTi" w:cs="Heiti TC" w:hint="eastAsia"/>
          <w:kern w:val="0"/>
          <w14:ligatures w14:val="none"/>
        </w:rPr>
        <w:t>Google推出</w:t>
      </w:r>
      <w:r w:rsidRPr="0043286C">
        <w:rPr>
          <w:rFonts w:ascii="KaiTi" w:eastAsia="KaiTi" w:hAnsi="KaiTi" w:cs="Heiti TC"/>
          <w:kern w:val="0"/>
          <w14:ligatures w14:val="none"/>
        </w:rPr>
        <w:t>的编程 IDE）。</w:t>
      </w:r>
    </w:p>
    <w:p w14:paraId="66F09E79" w14:textId="4B611871" w:rsidR="0043286C" w:rsidRP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动态追踪功能上线：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="004B31FD">
        <w:rPr>
          <w:rFonts w:ascii="KaiTi" w:eastAsia="KaiTi" w:hAnsi="KaiTi" w:cs="Heiti TC" w:hint="eastAsia"/>
          <w:kern w:val="0"/>
          <w14:ligatures w14:val="none"/>
        </w:rPr>
        <w:t>我们</w:t>
      </w:r>
      <w:r w:rsidRPr="0043286C">
        <w:rPr>
          <w:rFonts w:ascii="KaiTi" w:eastAsia="KaiTi" w:hAnsi="KaiTi" w:cs="Heiti TC"/>
          <w:kern w:val="0"/>
          <w14:ligatures w14:val="none"/>
        </w:rPr>
        <w:t>利用</w:t>
      </w:r>
      <w:r>
        <w:rPr>
          <w:rFonts w:ascii="KaiTi" w:eastAsia="KaiTi" w:hAnsi="KaiTi" w:cs="Heiti TC" w:hint="eastAsia"/>
          <w:kern w:val="0"/>
          <w14:ligatures w14:val="none"/>
        </w:rPr>
        <w:t>这个工具在无需任何自行编程的条件下</w:t>
      </w:r>
      <w:r w:rsidRPr="0043286C">
        <w:rPr>
          <w:rFonts w:ascii="KaiTi" w:eastAsia="KaiTi" w:hAnsi="KaiTi" w:cs="Heiti TC"/>
          <w:kern w:val="0"/>
          <w14:ligatures w14:val="none"/>
        </w:rPr>
        <w:t>开发了一套</w:t>
      </w:r>
      <w:r w:rsidRPr="0043286C">
        <w:rPr>
          <w:rFonts w:ascii="KaiTi" w:eastAsia="KaiTi" w:hAnsi="KaiTi" w:cs="Heiti TC"/>
          <w:b/>
          <w:bCs/>
          <w:kern w:val="0"/>
          <w14:ligatures w14:val="none"/>
        </w:rPr>
        <w:t>示例组合实时追踪显示</w:t>
      </w:r>
      <w:r>
        <w:rPr>
          <w:rFonts w:ascii="KaiTi" w:eastAsia="KaiTi" w:hAnsi="KaiTi" w:cs="Heiti TC" w:hint="eastAsia"/>
          <w:b/>
          <w:bCs/>
          <w:kern w:val="0"/>
          <w14:ligatures w14:val="none"/>
        </w:rPr>
        <w:t>的网站</w:t>
      </w:r>
      <w:r w:rsidRPr="0043286C">
        <w:rPr>
          <w:rFonts w:ascii="KaiTi" w:eastAsia="KaiTi" w:hAnsi="KaiTi" w:cs="Heiti TC"/>
          <w:b/>
          <w:bCs/>
          <w:kern w:val="0"/>
          <w14:ligatures w14:val="none"/>
        </w:rPr>
        <w:t>功能</w:t>
      </w:r>
      <w:r w:rsidRPr="0043286C">
        <w:rPr>
          <w:rFonts w:ascii="KaiTi" w:eastAsia="KaiTi" w:hAnsi="KaiTi" w:cs="Heiti TC"/>
          <w:kern w:val="0"/>
          <w14:ligatures w14:val="none"/>
        </w:rPr>
        <w:t>。目前，该功能已在内部成功运行，大家可以直观地看到我们长线增长组合与收息组合的动态表现。</w:t>
      </w:r>
    </w:p>
    <w:p w14:paraId="2F6A599D" w14:textId="296EB57E" w:rsid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未来，</w:t>
      </w:r>
      <w:r w:rsidR="004B31FD">
        <w:rPr>
          <w:rFonts w:ascii="KaiTi" w:eastAsia="KaiTi" w:hAnsi="KaiTi" w:cs="Heiti TC" w:hint="eastAsia"/>
          <w:kern w:val="0"/>
          <w14:ligatures w14:val="none"/>
        </w:rPr>
        <w:t>我们</w:t>
      </w:r>
      <w:r>
        <w:rPr>
          <w:rFonts w:ascii="KaiTi" w:eastAsia="KaiTi" w:hAnsi="KaiTi" w:cs="Heiti TC" w:hint="eastAsia"/>
          <w:kern w:val="0"/>
          <w14:ligatures w14:val="none"/>
        </w:rPr>
        <w:t>还会尝试逐步增加功能增强我们的资产配置服务。</w:t>
      </w:r>
    </w:p>
    <w:p w14:paraId="6AD471C7" w14:textId="17356F6E" w:rsidR="0043286C" w:rsidRDefault="0043286C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AI的确能够极大提升工作效率。只要您有想法和需求，几乎都可以通过代码将其变为现实，这种能力让创新变得触手可及。</w:t>
      </w:r>
    </w:p>
    <w:p w14:paraId="5263BCD6" w14:textId="421A745C" w:rsidR="0043286C" w:rsidRDefault="0043286C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但是不是会完全替代软件公司，我觉得也不会。AI工具的深度使用目前对于个体要求依然很高，未来个体间的差异一定会极为严重，可能会带来更大的财富分化。</w:t>
      </w:r>
    </w:p>
    <w:p w14:paraId="61AD4F4F" w14:textId="77777777" w:rsidR="00742007" w:rsidRDefault="00742007" w:rsidP="00742007">
      <w:pPr>
        <w:rPr>
          <w:kern w:val="0"/>
          <w14:ligatures w14:val="none"/>
        </w:rPr>
      </w:pPr>
      <w:r>
        <w:rPr>
          <w:rFonts w:ascii="KaiTi" w:eastAsia="KaiTi" w:hAnsi="KaiTi" w:hint="eastAsia"/>
        </w:rPr>
        <w:t xml:space="preserve">此外，开发过程中的成本问题也值得关注——无论是算力消耗的 token ，还是人工费用，都在不断博弈之中。尽管 AI 工具极大提升了效率，但面对复杂业务需求或深度定制场景，软件公司的专业能力依然不可替代。未来，行业可能呈现两极分化：基础开发逐步被自动化取代，而高端定制与创新仍然依赖于拥有深厚技术积累的团队。同时，算力与人工成本的动态变化会持续影响企业的开发策略，逐步形成新的竞争格局。 </w:t>
      </w:r>
    </w:p>
    <w:p w14:paraId="007E52D7" w14:textId="77777777" w:rsidR="004B31FD" w:rsidRDefault="004B31FD" w:rsidP="0043286C">
      <w:pPr>
        <w:rPr>
          <w:rFonts w:ascii="KaiTi" w:eastAsia="KaiTi" w:hAnsi="KaiTi" w:cs="Heiti TC"/>
          <w:kern w:val="0"/>
          <w14:ligatures w14:val="none"/>
        </w:rPr>
      </w:pPr>
    </w:p>
    <w:p w14:paraId="34FE5284" w14:textId="630762F1" w:rsidR="0043286C" w:rsidRPr="0043286C" w:rsidRDefault="00B6030F" w:rsidP="0043286C">
      <w:pPr>
        <w:rPr>
          <w:rFonts w:ascii="KaiTi" w:eastAsia="KaiTi" w:hAnsi="KaiTi" w:cs="Heiti TC"/>
          <w:b/>
          <w:bCs/>
          <w:kern w:val="0"/>
          <w14:ligatures w14:val="none"/>
        </w:rPr>
      </w:pPr>
      <w:r>
        <w:rPr>
          <w:rFonts w:ascii="KaiTi" w:eastAsia="KaiTi" w:hAnsi="KaiTi" w:cs="Heiti TC" w:hint="eastAsia"/>
          <w:b/>
          <w:bCs/>
          <w:kern w:val="0"/>
          <w14:ligatures w14:val="none"/>
        </w:rPr>
        <w:t>4</w:t>
      </w:r>
      <w:r w:rsidR="0043286C" w:rsidRPr="0043286C">
        <w:rPr>
          <w:rFonts w:ascii="KaiTi" w:eastAsia="KaiTi" w:hAnsi="KaiTi" w:cs="Heiti TC"/>
          <w:b/>
          <w:bCs/>
          <w:kern w:val="0"/>
          <w14:ligatures w14:val="none"/>
        </w:rPr>
        <w:t>. 风险管理：</w:t>
      </w:r>
      <w:r w:rsidR="004B31FD" w:rsidRPr="0043286C">
        <w:rPr>
          <w:rFonts w:ascii="KaiTi" w:eastAsia="KaiTi" w:hAnsi="KaiTi" w:cs="Heiti TC" w:hint="eastAsia"/>
          <w:b/>
          <w:bCs/>
          <w:kern w:val="0"/>
          <w14:ligatures w14:val="none"/>
        </w:rPr>
        <w:t>衍生品是</w:t>
      </w:r>
      <w:r w:rsidR="004B31FD" w:rsidRPr="0043286C">
        <w:rPr>
          <w:rFonts w:ascii="KaiTi" w:eastAsia="KaiTi" w:hAnsi="KaiTi" w:cs="Heiti TC"/>
          <w:b/>
          <w:bCs/>
          <w:kern w:val="0"/>
          <w14:ligatures w14:val="none"/>
        </w:rPr>
        <w:t xml:space="preserve"> “</w:t>
      </w:r>
      <w:r w:rsidR="0043286C" w:rsidRPr="0043286C">
        <w:rPr>
          <w:rFonts w:ascii="KaiTi" w:eastAsia="KaiTi" w:hAnsi="KaiTi" w:cs="Heiti TC"/>
          <w:b/>
          <w:bCs/>
          <w:kern w:val="0"/>
          <w14:ligatures w14:val="none"/>
        </w:rPr>
        <w:t>护身符”还是“双刃剑”？</w:t>
      </w:r>
    </w:p>
    <w:p w14:paraId="1BB07071" w14:textId="747AD710" w:rsidR="0043286C" w:rsidRPr="0043286C" w:rsidRDefault="0043286C" w:rsidP="0043286C">
      <w:p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kern w:val="0"/>
          <w14:ligatures w14:val="none"/>
        </w:rPr>
        <w:t>近期不少客户与</w:t>
      </w:r>
      <w:r w:rsidR="004B31FD">
        <w:rPr>
          <w:rFonts w:ascii="KaiTi" w:eastAsia="KaiTi" w:hAnsi="KaiTi" w:cs="Heiti TC" w:hint="eastAsia"/>
          <w:kern w:val="0"/>
          <w14:ligatures w14:val="none"/>
        </w:rPr>
        <w:t>我们</w:t>
      </w:r>
      <w:r w:rsidRPr="0043286C">
        <w:rPr>
          <w:rFonts w:ascii="KaiTi" w:eastAsia="KaiTi" w:hAnsi="KaiTi" w:cs="Heiti TC"/>
          <w:kern w:val="0"/>
          <w14:ligatures w14:val="none"/>
        </w:rPr>
        <w:t>探讨使用衍生品（如期权、对冲工具）来保护资产头寸。作为财富管理顾问，</w:t>
      </w:r>
      <w:r w:rsidR="004B31FD">
        <w:rPr>
          <w:rFonts w:ascii="KaiTi" w:eastAsia="KaiTi" w:hAnsi="KaiTi" w:cs="Heiti TC" w:hint="eastAsia"/>
          <w:kern w:val="0"/>
          <w14:ligatures w14:val="none"/>
        </w:rPr>
        <w:t>我们</w:t>
      </w:r>
      <w:r w:rsidRPr="0043286C">
        <w:rPr>
          <w:rFonts w:ascii="KaiTi" w:eastAsia="KaiTi" w:hAnsi="KaiTi" w:cs="Heiti TC"/>
          <w:kern w:val="0"/>
          <w14:ligatures w14:val="none"/>
        </w:rPr>
        <w:t>的逻辑如下：</w:t>
      </w:r>
    </w:p>
    <w:p w14:paraId="24EB3A5C" w14:textId="77777777" w:rsidR="00B6030F" w:rsidRDefault="0043286C" w:rsidP="00B6030F">
      <w:pPr>
        <w:numPr>
          <w:ilvl w:val="0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盈亏同源：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衍生品在提供保护的同时，必然会牺牲部分向上的收益空间或产生明确的权利金成本。</w:t>
      </w:r>
    </w:p>
    <w:p w14:paraId="5A1C39BB" w14:textId="74315DDF" w:rsidR="00742007" w:rsidRPr="00B6030F" w:rsidRDefault="00742007" w:rsidP="00B6030F">
      <w:pPr>
        <w:numPr>
          <w:ilvl w:val="0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 w:hint="eastAsia"/>
          <w:kern w:val="0"/>
          <w14:ligatures w14:val="none"/>
        </w:rPr>
        <w:t>在地缘政治波动的极端行情下，普通投资者直接买入期权对冲通常是</w:t>
      </w:r>
      <w:r w:rsidRPr="00B6030F">
        <w:rPr>
          <w:rFonts w:ascii="KaiTi" w:eastAsia="KaiTi" w:hAnsi="KaiTi" w:cs="Heiti TC"/>
          <w:kern w:val="0"/>
          <w14:ligatures w14:val="none"/>
        </w:rPr>
        <w:t>“</w:t>
      </w:r>
      <w:r w:rsidRPr="00B6030F">
        <w:rPr>
          <w:rFonts w:ascii="KaiTi" w:eastAsia="KaiTi" w:hAnsi="KaiTi" w:cs="Heiti TC" w:hint="eastAsia"/>
          <w:kern w:val="0"/>
          <w14:ligatures w14:val="none"/>
        </w:rPr>
        <w:t>昂贵且低效</w:t>
      </w:r>
      <w:r w:rsidRPr="00B6030F">
        <w:rPr>
          <w:rFonts w:ascii="KaiTi" w:eastAsia="KaiTi" w:hAnsi="KaiTi" w:cs="Heiti TC"/>
          <w:kern w:val="0"/>
          <w14:ligatures w14:val="none"/>
        </w:rPr>
        <w:t>”</w:t>
      </w:r>
      <w:r w:rsidRPr="00B6030F">
        <w:rPr>
          <w:rFonts w:ascii="KaiTi" w:eastAsia="KaiTi" w:hAnsi="KaiTi" w:cs="Heiti TC" w:hint="eastAsia"/>
          <w:kern w:val="0"/>
          <w14:ligatures w14:val="none"/>
        </w:rPr>
        <w:t>的</w:t>
      </w:r>
      <w:r w:rsidRPr="00B6030F">
        <w:rPr>
          <w:rFonts w:ascii="KaiTi" w:eastAsia="KaiTi" w:hAnsi="KaiTi" w:cs="Heiti TC"/>
          <w:kern w:val="0"/>
          <w14:ligatures w14:val="none"/>
        </w:rPr>
        <w:t>。</w:t>
      </w:r>
    </w:p>
    <w:p w14:paraId="07DFA676" w14:textId="720B747F" w:rsidR="00742007" w:rsidRPr="00B6030F" w:rsidRDefault="00742007" w:rsidP="00B6030F">
      <w:pPr>
        <w:ind w:left="720"/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 w:hint="eastAsia"/>
          <w:kern w:val="0"/>
          <w14:ligatures w14:val="none"/>
        </w:rPr>
        <w:lastRenderedPageBreak/>
        <w:t>为什么现在买期权</w:t>
      </w:r>
      <w:r w:rsidRPr="00B6030F">
        <w:rPr>
          <w:rFonts w:ascii="KaiTi" w:eastAsia="KaiTi" w:hAnsi="KaiTi" w:cs="Heiti TC"/>
          <w:kern w:val="0"/>
          <w14:ligatures w14:val="none"/>
        </w:rPr>
        <w:t>“</w:t>
      </w:r>
      <w:r w:rsidRPr="00B6030F">
        <w:rPr>
          <w:rFonts w:ascii="KaiTi" w:eastAsia="KaiTi" w:hAnsi="KaiTi" w:cs="Heiti TC" w:hint="eastAsia"/>
          <w:kern w:val="0"/>
          <w14:ligatures w14:val="none"/>
        </w:rPr>
        <w:t>不划算</w:t>
      </w:r>
      <w:r w:rsidRPr="00B6030F">
        <w:rPr>
          <w:rFonts w:ascii="KaiTi" w:eastAsia="KaiTi" w:hAnsi="KaiTi" w:cs="Heiti TC"/>
          <w:kern w:val="0"/>
          <w14:ligatures w14:val="none"/>
        </w:rPr>
        <w:t>”？</w:t>
      </w:r>
    </w:p>
    <w:p w14:paraId="2A01A315" w14:textId="77777777" w:rsidR="00742007" w:rsidRPr="00B6030F" w:rsidRDefault="00742007" w:rsidP="00B6030F">
      <w:pPr>
        <w:numPr>
          <w:ilvl w:val="0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 w:hint="eastAsia"/>
          <w:kern w:val="0"/>
          <w14:ligatures w14:val="none"/>
        </w:rPr>
        <w:t>保险费太贵（波动率溢价）：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  <w:r w:rsidRPr="00B6030F">
        <w:rPr>
          <w:rFonts w:ascii="KaiTi" w:eastAsia="KaiTi" w:hAnsi="KaiTi" w:cs="Heiti TC" w:hint="eastAsia"/>
          <w:kern w:val="0"/>
          <w14:ligatures w14:val="none"/>
        </w:rPr>
        <w:t>当前市场恐慌情绪高涨，期权的</w:t>
      </w:r>
      <w:r w:rsidRPr="00B6030F">
        <w:rPr>
          <w:rFonts w:ascii="KaiTi" w:eastAsia="KaiTi" w:hAnsi="KaiTi" w:cs="Heiti TC"/>
          <w:kern w:val="0"/>
          <w14:ligatures w14:val="none"/>
        </w:rPr>
        <w:t>“</w:t>
      </w:r>
      <w:r w:rsidRPr="00B6030F">
        <w:rPr>
          <w:rFonts w:ascii="KaiTi" w:eastAsia="KaiTi" w:hAnsi="KaiTi" w:cs="Heiti TC" w:hint="eastAsia"/>
          <w:kern w:val="0"/>
          <w14:ligatures w14:val="none"/>
        </w:rPr>
        <w:t>价格</w:t>
      </w:r>
      <w:r w:rsidRPr="00B6030F">
        <w:rPr>
          <w:rFonts w:ascii="KaiTi" w:eastAsia="KaiTi" w:hAnsi="KaiTi" w:cs="Heiti TC"/>
          <w:kern w:val="0"/>
          <w14:ligatures w14:val="none"/>
        </w:rPr>
        <w:t>”</w:t>
      </w:r>
      <w:r w:rsidRPr="00B6030F">
        <w:rPr>
          <w:rFonts w:ascii="KaiTi" w:eastAsia="KaiTi" w:hAnsi="KaiTi" w:cs="Heiti TC" w:hint="eastAsia"/>
          <w:kern w:val="0"/>
          <w14:ligatures w14:val="none"/>
        </w:rPr>
        <w:t>已经包含了极高的溢价。现在买入看跌期权（</w:t>
      </w:r>
      <w:r w:rsidRPr="00B6030F">
        <w:rPr>
          <w:rFonts w:ascii="KaiTi" w:eastAsia="KaiTi" w:hAnsi="KaiTi" w:cs="Heiti TC"/>
          <w:kern w:val="0"/>
          <w14:ligatures w14:val="none"/>
        </w:rPr>
        <w:t>Put</w:t>
      </w:r>
      <w:r w:rsidRPr="00B6030F">
        <w:rPr>
          <w:rFonts w:ascii="KaiTi" w:eastAsia="KaiTi" w:hAnsi="KaiTi" w:cs="Heiti TC" w:hint="eastAsia"/>
          <w:kern w:val="0"/>
          <w14:ligatures w14:val="none"/>
        </w:rPr>
        <w:t>），相当于在火灾发生后才去买高价保险</w:t>
      </w:r>
      <w:r w:rsidRPr="00B6030F">
        <w:rPr>
          <w:rFonts w:ascii="KaiTi" w:eastAsia="KaiTi" w:hAnsi="KaiTi" w:cs="Heiti TC"/>
          <w:kern w:val="0"/>
          <w14:ligatures w14:val="none"/>
        </w:rPr>
        <w:t>。</w:t>
      </w:r>
    </w:p>
    <w:p w14:paraId="726286D2" w14:textId="35E77E19" w:rsidR="00742007" w:rsidRPr="00B6030F" w:rsidRDefault="00742007" w:rsidP="00B6030F">
      <w:pPr>
        <w:numPr>
          <w:ilvl w:val="0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 w:hint="eastAsia"/>
          <w:kern w:val="0"/>
          <w14:ligatures w14:val="none"/>
        </w:rPr>
        <w:t>时间价值损耗（</w:t>
      </w:r>
      <w:r w:rsidRPr="00B6030F">
        <w:rPr>
          <w:rFonts w:ascii="KaiTi" w:eastAsia="KaiTi" w:hAnsi="KaiTi" w:cs="Heiti TC"/>
          <w:kern w:val="0"/>
          <w14:ligatures w14:val="none"/>
        </w:rPr>
        <w:t>Theta</w:t>
      </w:r>
      <w:r w:rsidRPr="00B6030F">
        <w:rPr>
          <w:rFonts w:ascii="KaiTi" w:eastAsia="KaiTi" w:hAnsi="KaiTi" w:cs="Heiti TC" w:hint="eastAsia"/>
          <w:kern w:val="0"/>
          <w14:ligatures w14:val="none"/>
        </w:rPr>
        <w:t>）：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  <w:r w:rsidRPr="00B6030F">
        <w:rPr>
          <w:rFonts w:ascii="KaiTi" w:eastAsia="KaiTi" w:hAnsi="KaiTi" w:cs="Heiti TC" w:hint="eastAsia"/>
          <w:kern w:val="0"/>
          <w14:ligatures w14:val="none"/>
        </w:rPr>
        <w:t>期权是有期限的。如果地缘局势陷入僵局，市场即使不跌，期权价值也会随着时间推移迅速归零</w:t>
      </w:r>
      <w:r w:rsidRPr="00B6030F">
        <w:rPr>
          <w:rFonts w:ascii="KaiTi" w:eastAsia="KaiTi" w:hAnsi="KaiTi" w:cs="Heiti TC"/>
          <w:kern w:val="0"/>
          <w14:ligatures w14:val="none"/>
        </w:rPr>
        <w:t>。</w:t>
      </w:r>
    </w:p>
    <w:p w14:paraId="6B70B37B" w14:textId="3ACE51F4" w:rsidR="0043286C" w:rsidRPr="00B6030F" w:rsidRDefault="0043286C" w:rsidP="00B6030F">
      <w:pPr>
        <w:numPr>
          <w:ilvl w:val="0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实施门槛高：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衍生品的精准实施不仅需要平台支持，更需要极高的技术判断与时机把握，稍有不慎，对冲可能演变为额外的亏损来源。</w:t>
      </w:r>
      <w:r w:rsidR="00B6030F" w:rsidRPr="00B6030F">
        <w:rPr>
          <w:rFonts w:ascii="KaiTi" w:eastAsia="KaiTi" w:hAnsi="KaiTi" w:cs="Heiti TC" w:hint="eastAsia"/>
          <w:kern w:val="0"/>
          <w14:ligatures w14:val="none"/>
        </w:rPr>
        <w:t>期权是非线性工具，需要实时监控</w:t>
      </w:r>
      <w:r w:rsidR="00B6030F" w:rsidRPr="00B6030F">
        <w:rPr>
          <w:rFonts w:ascii="KaiTi" w:eastAsia="KaiTi" w:hAnsi="KaiTi" w:cs="Heiti TC"/>
          <w:kern w:val="0"/>
          <w14:ligatures w14:val="none"/>
        </w:rPr>
        <w:t xml:space="preserve"> Delta</w:t>
      </w:r>
      <w:r w:rsidR="00B6030F" w:rsidRPr="00B6030F">
        <w:rPr>
          <w:rFonts w:ascii="KaiTi" w:eastAsia="KaiTi" w:hAnsi="KaiTi" w:cs="Heiti TC" w:hint="eastAsia"/>
          <w:kern w:val="0"/>
          <w14:ligatures w14:val="none"/>
        </w:rPr>
        <w:t>（对冲效率）和</w:t>
      </w:r>
      <w:r w:rsidR="00B6030F" w:rsidRPr="00B6030F">
        <w:rPr>
          <w:rFonts w:ascii="KaiTi" w:eastAsia="KaiTi" w:hAnsi="KaiTi" w:cs="Heiti TC"/>
          <w:kern w:val="0"/>
          <w14:ligatures w14:val="none"/>
        </w:rPr>
        <w:t xml:space="preserve"> Gamma</w:t>
      </w:r>
      <w:r w:rsidR="00B6030F" w:rsidRPr="00B6030F">
        <w:rPr>
          <w:rFonts w:ascii="KaiTi" w:eastAsia="KaiTi" w:hAnsi="KaiTi" w:cs="Heiti TC" w:hint="eastAsia"/>
          <w:kern w:val="0"/>
          <w14:ligatures w14:val="none"/>
        </w:rPr>
        <w:t>（波动率风险），普通投资者很难精准把控</w:t>
      </w:r>
      <w:r w:rsidR="00B6030F" w:rsidRPr="00B6030F">
        <w:rPr>
          <w:rFonts w:ascii="KaiTi" w:eastAsia="KaiTi" w:hAnsi="KaiTi" w:cs="Heiti TC"/>
          <w:kern w:val="0"/>
          <w14:ligatures w14:val="none"/>
        </w:rPr>
        <w:t>。</w:t>
      </w:r>
    </w:p>
    <w:p w14:paraId="5DA25B23" w14:textId="77777777" w:rsidR="0043286C" w:rsidRPr="0043286C" w:rsidRDefault="0043286C" w:rsidP="0043286C">
      <w:pPr>
        <w:numPr>
          <w:ilvl w:val="0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回归大道至简：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对于绝大多数长期投资者而言，复杂的对冲往往不如简单的方案有效。</w:t>
      </w:r>
    </w:p>
    <w:p w14:paraId="388F254F" w14:textId="77777777" w:rsidR="0043286C" w:rsidRPr="0043286C" w:rsidRDefault="0043286C" w:rsidP="0043286C">
      <w:pPr>
        <w:numPr>
          <w:ilvl w:val="1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分散配置：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跨地域、跨工具的深度解耦依旧是金融学中唯一的“免费午餐”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。</w:t>
      </w:r>
    </w:p>
    <w:p w14:paraId="66970823" w14:textId="77777777" w:rsidR="0043286C" w:rsidRPr="0043286C" w:rsidRDefault="0043286C" w:rsidP="0043286C">
      <w:pPr>
        <w:numPr>
          <w:ilvl w:val="1"/>
          <w:numId w:val="20"/>
        </w:numPr>
        <w:rPr>
          <w:rFonts w:ascii="KaiTi" w:eastAsia="KaiTi" w:hAnsi="KaiTi" w:cs="Heiti TC"/>
          <w:kern w:val="0"/>
          <w14:ligatures w14:val="none"/>
        </w:rPr>
      </w:pPr>
      <w:r w:rsidRPr="0043286C">
        <w:rPr>
          <w:rFonts w:ascii="KaiTi" w:eastAsia="KaiTi" w:hAnsi="KaiTi" w:cs="Heiti TC"/>
          <w:b/>
          <w:bCs/>
          <w:kern w:val="0"/>
          <w14:ligatures w14:val="none"/>
        </w:rPr>
        <w:t>保单托底：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利用储蓄分红险保单作为底层资产，为极端尾部风险提供物理隔离和防御</w:t>
      </w:r>
      <w:r w:rsidRPr="0043286C">
        <w:rPr>
          <w:rFonts w:ascii="Calibri" w:eastAsia="KaiTi" w:hAnsi="Calibri" w:cs="Calibri"/>
          <w:kern w:val="0"/>
          <w14:ligatures w14:val="none"/>
        </w:rPr>
        <w:t> </w:t>
      </w:r>
      <w:r w:rsidRPr="0043286C">
        <w:rPr>
          <w:rFonts w:ascii="KaiTi" w:eastAsia="KaiTi" w:hAnsi="KaiTi" w:cs="Heiti TC"/>
          <w:kern w:val="0"/>
          <w14:ligatures w14:val="none"/>
        </w:rPr>
        <w:t>。</w:t>
      </w:r>
    </w:p>
    <w:p w14:paraId="1E483D22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</w:p>
    <w:p w14:paraId="013B36E2" w14:textId="77777777" w:rsidR="00B6030F" w:rsidRDefault="00B6030F" w:rsidP="004B31FD">
      <w:p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kern w:val="0"/>
          <w14:ligatures w14:val="none"/>
        </w:rPr>
        <w:t>3月的市场</w:t>
      </w:r>
      <w:r>
        <w:rPr>
          <w:rFonts w:ascii="KaiTi" w:eastAsia="KaiTi" w:hAnsi="KaiTi" w:cs="Heiti TC" w:hint="eastAsia"/>
          <w:kern w:val="0"/>
          <w14:ligatures w14:val="none"/>
        </w:rPr>
        <w:t>的大幅震荡和回撤</w:t>
      </w:r>
      <w:r w:rsidRPr="00B6030F">
        <w:rPr>
          <w:rFonts w:ascii="KaiTi" w:eastAsia="KaiTi" w:hAnsi="KaiTi" w:cs="Heiti TC" w:hint="eastAsia"/>
          <w:kern w:val="0"/>
          <w14:ligatures w14:val="none"/>
        </w:rPr>
        <w:t>，</w:t>
      </w:r>
      <w:r w:rsidRPr="00B6030F">
        <w:rPr>
          <w:rFonts w:ascii="KaiTi" w:eastAsia="KaiTi" w:hAnsi="KaiTi" w:cs="Heiti TC"/>
          <w:kern w:val="0"/>
          <w14:ligatures w14:val="none"/>
        </w:rPr>
        <w:t>再次印证了我们始终坚持的底层原则：</w:t>
      </w:r>
    </w:p>
    <w:p w14:paraId="5F9830FE" w14:textId="7E9A51A6" w:rsidR="00B6030F" w:rsidRPr="00B6030F" w:rsidRDefault="00B6030F" w:rsidP="00B6030F">
      <w:p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b/>
          <w:bCs/>
          <w:kern w:val="0"/>
          <w14:ligatures w14:val="none"/>
        </w:rPr>
        <w:t>投资并非关于精准预测，而是关于构建一个“反脆弱”的系统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  <w:r w:rsidRPr="00B6030F">
        <w:rPr>
          <w:rFonts w:ascii="KaiTi" w:eastAsia="KaiTi" w:hAnsi="KaiTi" w:cs="Heiti TC"/>
          <w:kern w:val="0"/>
          <w14:ligatures w14:val="none"/>
        </w:rPr>
        <w:t>。</w:t>
      </w:r>
    </w:p>
    <w:p w14:paraId="6C9C6F17" w14:textId="313150FD" w:rsidR="00B6030F" w:rsidRPr="00B6030F" w:rsidRDefault="00B6030F" w:rsidP="00B6030F">
      <w:p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kern w:val="0"/>
          <w14:ligatures w14:val="none"/>
        </w:rPr>
        <w:t>在这个充满噪音的周期里，我们为您总结了</w:t>
      </w:r>
      <w:r>
        <w:rPr>
          <w:rFonts w:ascii="KaiTi" w:eastAsia="KaiTi" w:hAnsi="KaiTi" w:cs="Heiti TC" w:hint="eastAsia"/>
          <w:kern w:val="0"/>
          <w14:ligatures w14:val="none"/>
        </w:rPr>
        <w:t>两</w:t>
      </w:r>
      <w:r w:rsidRPr="00B6030F">
        <w:rPr>
          <w:rFonts w:ascii="KaiTi" w:eastAsia="KaiTi" w:hAnsi="KaiTi" w:cs="Heiti TC"/>
          <w:kern w:val="0"/>
          <w14:ligatures w14:val="none"/>
        </w:rPr>
        <w:t>条核心防线：</w:t>
      </w:r>
    </w:p>
    <w:p w14:paraId="74C58807" w14:textId="46B6203C" w:rsidR="00B6030F" w:rsidRPr="00B6030F" w:rsidRDefault="00B6030F" w:rsidP="00B6030F">
      <w:pPr>
        <w:numPr>
          <w:ilvl w:val="0"/>
          <w:numId w:val="63"/>
        </w:num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b/>
          <w:bCs/>
          <w:kern w:val="0"/>
          <w14:ligatures w14:val="none"/>
        </w:rPr>
        <w:t>回归“简单”的防御力量：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  <w:r w:rsidRPr="00B6030F">
        <w:rPr>
          <w:rFonts w:ascii="KaiTi" w:eastAsia="KaiTi" w:hAnsi="KaiTi" w:cs="Heiti TC"/>
          <w:kern w:val="0"/>
          <w14:ligatures w14:val="none"/>
        </w:rPr>
        <w:t>虽然衍生品对冲看似精巧，但在复杂多变的环境下，其“盈亏同源”的本质与实施难度往往事倍功半。我们依然坚信，</w:t>
      </w:r>
      <w:r w:rsidRPr="00B6030F">
        <w:rPr>
          <w:rFonts w:ascii="KaiTi" w:eastAsia="KaiTi" w:hAnsi="KaiTi" w:cs="Heiti TC"/>
          <w:b/>
          <w:bCs/>
          <w:kern w:val="0"/>
          <w14:ligatures w14:val="none"/>
        </w:rPr>
        <w:t>跨地域、跨工具的深度分散配置</w:t>
      </w:r>
      <w:r w:rsidRPr="00B6030F">
        <w:rPr>
          <w:rFonts w:ascii="KaiTi" w:eastAsia="KaiTi" w:hAnsi="KaiTi" w:cs="Heiti TC"/>
          <w:kern w:val="0"/>
          <w14:ligatures w14:val="none"/>
        </w:rPr>
        <w:t>，以及利用</w:t>
      </w:r>
      <w:r w:rsidRPr="00B6030F">
        <w:rPr>
          <w:rFonts w:ascii="KaiTi" w:eastAsia="KaiTi" w:hAnsi="KaiTi" w:cs="Heiti TC"/>
          <w:b/>
          <w:bCs/>
          <w:kern w:val="0"/>
          <w14:ligatures w14:val="none"/>
        </w:rPr>
        <w:t>储蓄分红险保单</w:t>
      </w:r>
      <w:r w:rsidRPr="00B6030F">
        <w:rPr>
          <w:rFonts w:ascii="KaiTi" w:eastAsia="KaiTi" w:hAnsi="KaiTi" w:cs="Heiti TC"/>
          <w:kern w:val="0"/>
          <w14:ligatures w14:val="none"/>
        </w:rPr>
        <w:t>进行</w:t>
      </w:r>
      <w:r>
        <w:rPr>
          <w:rFonts w:ascii="KaiTi" w:eastAsia="KaiTi" w:hAnsi="KaiTi" w:cs="Heiti TC" w:hint="eastAsia"/>
          <w:kern w:val="0"/>
          <w14:ligatures w14:val="none"/>
        </w:rPr>
        <w:t>极限</w:t>
      </w:r>
      <w:r w:rsidRPr="00B6030F">
        <w:rPr>
          <w:rFonts w:ascii="KaiTi" w:eastAsia="KaiTi" w:hAnsi="KaiTi" w:cs="Heiti TC"/>
          <w:kern w:val="0"/>
          <w14:ligatures w14:val="none"/>
        </w:rPr>
        <w:t>托底，才是最稳健的资产“护身符”。</w:t>
      </w:r>
    </w:p>
    <w:p w14:paraId="7E471AB0" w14:textId="34992176" w:rsidR="00B6030F" w:rsidRPr="00B6030F" w:rsidRDefault="00B6030F" w:rsidP="00B6030F">
      <w:pPr>
        <w:numPr>
          <w:ilvl w:val="0"/>
          <w:numId w:val="63"/>
        </w:num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b/>
          <w:bCs/>
          <w:kern w:val="0"/>
          <w14:ligatures w14:val="none"/>
        </w:rPr>
        <w:t>现金流的终极免疫力：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  <w:r w:rsidRPr="00B6030F">
        <w:rPr>
          <w:rFonts w:ascii="KaiTi" w:eastAsia="KaiTi" w:hAnsi="KaiTi" w:cs="Heiti TC"/>
          <w:kern w:val="0"/>
          <w14:ligatures w14:val="none"/>
        </w:rPr>
        <w:t>无论纳斯达克或油价如何震荡，只要您的组合能产生</w:t>
      </w:r>
      <w:r w:rsidRPr="00B6030F">
        <w:rPr>
          <w:rFonts w:ascii="KaiTi" w:eastAsia="KaiTi" w:hAnsi="KaiTi" w:cs="Heiti TC" w:hint="eastAsia"/>
          <w:kern w:val="0"/>
          <w14:ligatures w14:val="none"/>
        </w:rPr>
        <w:t>类似如</w:t>
      </w:r>
      <w:r w:rsidRPr="00B6030F">
        <w:rPr>
          <w:rFonts w:ascii="Calibri" w:eastAsia="KaiTi" w:hAnsi="Calibri" w:cs="Calibri" w:hint="eastAsia"/>
          <w:kern w:val="0"/>
          <w14:ligatures w14:val="none"/>
        </w:rPr>
        <w:t>现金流组合中</w:t>
      </w:r>
      <w:r w:rsidRPr="00B6030F">
        <w:rPr>
          <w:rFonts w:ascii="KaiTi" w:eastAsia="KaiTi" w:hAnsi="KaiTi" w:cs="Heiti TC" w:hint="eastAsia"/>
          <w:kern w:val="0"/>
          <w14:ligatures w14:val="none"/>
        </w:rPr>
        <w:t>能够</w:t>
      </w:r>
      <w:r w:rsidRPr="00B6030F">
        <w:rPr>
          <w:rFonts w:ascii="KaiTi" w:eastAsia="KaiTi" w:hAnsi="KaiTi" w:cs="Heiti TC"/>
          <w:kern w:val="0"/>
          <w14:ligatures w14:val="none"/>
        </w:rPr>
        <w:t>稳步</w:t>
      </w:r>
      <w:r w:rsidRPr="00B6030F">
        <w:rPr>
          <w:rFonts w:ascii="KaiTi" w:eastAsia="KaiTi" w:hAnsi="KaiTi" w:cs="Heiti TC" w:hint="eastAsia"/>
          <w:kern w:val="0"/>
          <w14:ligatures w14:val="none"/>
        </w:rPr>
        <w:t>上调</w:t>
      </w:r>
      <w:r w:rsidRPr="00B6030F">
        <w:rPr>
          <w:rFonts w:ascii="KaiTi" w:eastAsia="KaiTi" w:hAnsi="KaiTi" w:cs="Heiti TC"/>
          <w:kern w:val="0"/>
          <w14:ligatures w14:val="none"/>
        </w:rPr>
        <w:t>派息</w:t>
      </w:r>
      <w:r w:rsidRPr="00B6030F">
        <w:rPr>
          <w:rFonts w:ascii="KaiTi" w:eastAsia="KaiTi" w:hAnsi="KaiTi" w:cs="Heiti TC" w:hint="eastAsia"/>
          <w:kern w:val="0"/>
          <w14:ligatures w14:val="none"/>
        </w:rPr>
        <w:t>的资产包</w:t>
      </w:r>
      <w:r w:rsidRPr="00B6030F">
        <w:rPr>
          <w:rFonts w:ascii="KaiTi" w:eastAsia="KaiTi" w:hAnsi="KaiTi" w:cs="Heiti TC"/>
          <w:kern w:val="0"/>
          <w14:ligatures w14:val="none"/>
        </w:rPr>
        <w:t>，您的财富就拥有了抵御市场情绪的“生存耐力”。</w:t>
      </w:r>
      <w:r w:rsidR="000E5B2E">
        <w:rPr>
          <w:rFonts w:ascii="KaiTi" w:eastAsia="KaiTi" w:hAnsi="KaiTi" w:cs="Heiti TC"/>
          <w:noProof/>
          <w:kern w:val="0"/>
        </w:rPr>
        <w:pict w14:anchorId="4EE5A642">
          <v:rect id="_x0000_i1025" alt="" style="width:339.75pt;height:.05pt;mso-width-percent:0;mso-height-percent:0;mso-width-percent:0;mso-height-percent:0" o:hrpct="726" o:hralign="center" o:hrstd="t" o:hr="t" fillcolor="#a0a0a0" stroked="f"/>
        </w:pict>
      </w:r>
    </w:p>
    <w:p w14:paraId="08D7DBA9" w14:textId="2AA1B09A" w:rsidR="00B6030F" w:rsidRPr="00B6030F" w:rsidRDefault="00B6030F" w:rsidP="00B6030F">
      <w:pPr>
        <w:rPr>
          <w:rFonts w:ascii="KaiTi" w:eastAsia="KaiTi" w:hAnsi="KaiTi" w:cs="Heiti TC"/>
          <w:b/>
          <w:bCs/>
          <w:color w:val="EE0000"/>
          <w:kern w:val="0"/>
          <w14:ligatures w14:val="none"/>
        </w:rPr>
      </w:pPr>
      <w:r w:rsidRPr="00B6030F">
        <w:rPr>
          <w:rFonts w:ascii="KaiTi" w:eastAsia="KaiTi" w:hAnsi="KaiTi" w:cs="Heiti TC" w:hint="eastAsia"/>
          <w:b/>
          <w:bCs/>
          <w:color w:val="EE0000"/>
          <w:kern w:val="0"/>
          <w14:ligatures w14:val="none"/>
        </w:rPr>
        <w:t xml:space="preserve">           </w:t>
      </w:r>
      <w:r w:rsidRPr="00B6030F">
        <w:rPr>
          <w:rFonts w:ascii="KaiTi" w:eastAsia="KaiTi" w:hAnsi="KaiTi" w:cs="Heiti TC"/>
          <w:b/>
          <w:bCs/>
          <w:color w:val="EE0000"/>
          <w:kern w:val="0"/>
          <w14:ligatures w14:val="none"/>
        </w:rPr>
        <w:t>“财富的积累是一场长跑，终点线不在明天的行情表上。”</w:t>
      </w:r>
      <w:r w:rsidRPr="00B6030F">
        <w:rPr>
          <w:rFonts w:ascii="Calibri" w:eastAsia="KaiTi" w:hAnsi="Calibri" w:cs="Calibri"/>
          <w:b/>
          <w:bCs/>
          <w:color w:val="EE0000"/>
          <w:kern w:val="0"/>
          <w14:ligatures w14:val="none"/>
        </w:rPr>
        <w:t> </w:t>
      </w:r>
    </w:p>
    <w:p w14:paraId="33476CA0" w14:textId="77777777" w:rsidR="004B31FD" w:rsidRDefault="004B31FD" w:rsidP="00B6030F">
      <w:pPr>
        <w:rPr>
          <w:rFonts w:ascii="KaiTi" w:eastAsia="KaiTi" w:hAnsi="KaiTi" w:cs="Heiti TC"/>
          <w:kern w:val="0"/>
          <w14:ligatures w14:val="none"/>
        </w:rPr>
      </w:pPr>
    </w:p>
    <w:p w14:paraId="17E3E9B8" w14:textId="77777777" w:rsidR="00423DC9" w:rsidRPr="00423DC9" w:rsidRDefault="00423DC9" w:rsidP="00423DC9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423DC9">
        <w:rPr>
          <w:rFonts w:ascii="KaiTi" w:eastAsia="KaiTi" w:hAnsi="KaiTi" w:cs="Heiti TC"/>
          <w:b/>
          <w:bCs/>
          <w:kern w:val="0"/>
          <w14:ligatures w14:val="none"/>
        </w:rPr>
        <w:lastRenderedPageBreak/>
        <w:t>专题研讨：穿透财报看底层——谁才是真正的“平滑之王”？</w:t>
      </w:r>
    </w:p>
    <w:p w14:paraId="1D8A052C" w14:textId="77777777" w:rsidR="00423DC9" w:rsidRPr="00423DC9" w:rsidRDefault="00423DC9" w:rsidP="00423DC9">
      <w:p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kern w:val="0"/>
          <w14:ligatures w14:val="none"/>
        </w:rPr>
        <w:t>随着各家保险巨头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2025 年度业绩报告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的正式出炉，我们得以通过 IFRS 17 这一显微镜，审视那些支撑您保单收益的底层逻辑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。在近期波动剧烈的 3 月市场中，我针对香港四大头部保险公司（友邦、宏利、保诚、安盛）的底层资产质量及“平滑价值”进行了深度研讨。</w:t>
      </w:r>
    </w:p>
    <w:p w14:paraId="52F52DD8" w14:textId="77777777" w:rsidR="00423DC9" w:rsidRPr="00423DC9" w:rsidRDefault="00423DC9" w:rsidP="00423DC9">
      <w:p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kern w:val="0"/>
          <w14:ligatures w14:val="none"/>
        </w:rPr>
        <w:t>以下为您提炼的核心发现：</w:t>
      </w:r>
    </w:p>
    <w:p w14:paraId="22EC8E8A" w14:textId="77777777" w:rsidR="00423DC9" w:rsidRPr="00423DC9" w:rsidRDefault="00423DC9" w:rsidP="00423DC9">
      <w:pPr>
        <w:numPr>
          <w:ilvl w:val="0"/>
          <w:numId w:val="64"/>
        </w:num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b/>
          <w:bCs/>
          <w:kern w:val="0"/>
          <w14:ligatures w14:val="none"/>
        </w:rPr>
        <w:t>“蓄水池”的厚度决定了抗压的底气：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在新会计准则下，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CSM（合同服务边际）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是平滑机制的“超级海绵”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友邦（AIA）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凭借高达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649 亿美元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的巨量 CSM，在面对市场暴跌时拥有最宽裕的裁量空间，能通过牺牲股东利润来硬扛客户分红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。相比之下，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保诚（Prudential）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的 CSM 厚度（约 247 亿美元）在应对极端冲击时底气相对受限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</w:t>
      </w:r>
    </w:p>
    <w:p w14:paraId="6824FA27" w14:textId="77777777" w:rsidR="00423DC9" w:rsidRPr="00423DC9" w:rsidRDefault="00423DC9" w:rsidP="00423DC9">
      <w:pPr>
        <w:numPr>
          <w:ilvl w:val="0"/>
          <w:numId w:val="64"/>
        </w:num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b/>
          <w:bCs/>
          <w:kern w:val="0"/>
          <w14:ligatures w14:val="none"/>
        </w:rPr>
        <w:t>“源头活水”是稳定派息的终极保障：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平滑机制不能只靠账面会计，更要靠真实的现金流入。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友邦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每年由历史保单自然产生的自由盈余（UFSG）高达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67.65 亿美元</w:t>
      </w:r>
      <w:r w:rsidRPr="00423DC9">
        <w:rPr>
          <w:rFonts w:ascii="KaiTi" w:eastAsia="KaiTi" w:hAnsi="KaiTi" w:cs="Heiti TC"/>
          <w:kern w:val="0"/>
          <w14:ligatures w14:val="none"/>
        </w:rPr>
        <w:t>，这种不依赖炒股、自给自足的“活钱”是派息稳定的最强后盾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。而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宏利（Manulife）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虽然通过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2,355 亿港元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的天量衍生品对冲构建了“金融防弹衣”，但其复杂的调仓成本和流动性风险在极端震荡市中是一把“双刃剑”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</w:t>
      </w:r>
    </w:p>
    <w:p w14:paraId="6D9DA8F2" w14:textId="42DBCE78" w:rsidR="00423DC9" w:rsidRPr="00423DC9" w:rsidRDefault="00423DC9" w:rsidP="00423DC9">
      <w:pPr>
        <w:numPr>
          <w:ilvl w:val="0"/>
          <w:numId w:val="64"/>
        </w:num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b/>
          <w:bCs/>
          <w:kern w:val="0"/>
          <w14:ligatures w14:val="none"/>
        </w:rPr>
        <w:t>资产配置的“平衡术”：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四大险企均采用了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哑铃型配置</w:t>
      </w:r>
      <w:r w:rsidRPr="00423DC9">
        <w:rPr>
          <w:rFonts w:ascii="KaiTi" w:eastAsia="KaiTi" w:hAnsi="KaiTi" w:cs="Heiti TC"/>
          <w:kern w:val="0"/>
          <w14:ligatures w14:val="none"/>
        </w:rPr>
        <w:t>，即政府债托底搭配全球股权博取收益</w:t>
      </w:r>
      <w:r w:rsidRPr="00423DC9">
        <w:rPr>
          <w:rFonts w:ascii="Calibri" w:eastAsia="KaiTi" w:hAnsi="Calibri" w:cs="Calibri"/>
          <w:kern w:val="0"/>
          <w14:ligatures w14:val="none"/>
        </w:rPr>
        <w:t> </w:t>
      </w:r>
      <w:r w:rsidRPr="00423DC9">
        <w:rPr>
          <w:rFonts w:ascii="KaiTi" w:eastAsia="KaiTi" w:hAnsi="KaiTi" w:cs="Heiti TC"/>
          <w:kern w:val="0"/>
          <w14:ligatures w14:val="none"/>
        </w:rPr>
        <w:t>。</w:t>
      </w:r>
    </w:p>
    <w:p w14:paraId="546732A4" w14:textId="77777777" w:rsidR="00423DC9" w:rsidRPr="00423DC9" w:rsidRDefault="00423DC9" w:rsidP="00423DC9">
      <w:p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b/>
          <w:bCs/>
          <w:kern w:val="0"/>
          <w14:ligatures w14:val="none"/>
        </w:rPr>
        <w:t>特别提示：</w:t>
      </w:r>
    </w:p>
    <w:p w14:paraId="4901B379" w14:textId="653C4640" w:rsidR="00423DC9" w:rsidRPr="00423DC9" w:rsidRDefault="00423DC9" w:rsidP="00423DC9">
      <w:pPr>
        <w:rPr>
          <w:rFonts w:ascii="KaiTi" w:eastAsia="KaiTi" w:hAnsi="KaiTi" w:cs="Heiti TC"/>
          <w:kern w:val="0"/>
          <w14:ligatures w14:val="none"/>
        </w:rPr>
      </w:pPr>
      <w:r w:rsidRPr="00423DC9">
        <w:rPr>
          <w:rFonts w:ascii="KaiTi" w:eastAsia="KaiTi" w:hAnsi="KaiTi" w:cs="Heiti TC"/>
          <w:kern w:val="0"/>
          <w14:ligatures w14:val="none"/>
        </w:rPr>
        <w:t>我已将本次关于底层投资资产、分红平滑能力及四大险企优劣势对比的详细数据，整理成一份《</w:t>
      </w:r>
      <w:r w:rsidR="00DE3377" w:rsidRPr="00DE3377">
        <w:rPr>
          <w:rFonts w:ascii="KaiTi" w:eastAsia="KaiTi" w:hAnsi="KaiTi" w:cs="Heiti TC" w:hint="eastAsia"/>
          <w:kern w:val="0"/>
          <w14:ligatures w14:val="none"/>
        </w:rPr>
        <w:t>香港头部保险公司透视 谁能在狂风巨浪中稳如泰山</w:t>
      </w:r>
      <w:r w:rsidRPr="00423DC9">
        <w:rPr>
          <w:rFonts w:ascii="KaiTi" w:eastAsia="KaiTi" w:hAnsi="KaiTi" w:cs="Heiti TC"/>
          <w:kern w:val="0"/>
          <w14:ligatures w14:val="none"/>
        </w:rPr>
        <w:t>》。</w:t>
      </w:r>
      <w:r w:rsidRPr="00423DC9">
        <w:rPr>
          <w:rFonts w:ascii="KaiTi" w:eastAsia="KaiTi" w:hAnsi="KaiTi" w:cs="Heiti TC"/>
          <w:b/>
          <w:bCs/>
          <w:kern w:val="0"/>
          <w14:ligatures w14:val="none"/>
        </w:rPr>
        <w:t>欢迎随时找我索取完整版报告。</w:t>
      </w:r>
    </w:p>
    <w:p w14:paraId="77F2F134" w14:textId="77777777" w:rsidR="00423DC9" w:rsidRDefault="00423DC9" w:rsidP="00B6030F">
      <w:pPr>
        <w:rPr>
          <w:rFonts w:ascii="KaiTi" w:eastAsia="KaiTi" w:hAnsi="KaiTi" w:cs="Heiti TC"/>
          <w:kern w:val="0"/>
          <w14:ligatures w14:val="none"/>
        </w:rPr>
      </w:pPr>
    </w:p>
    <w:p w14:paraId="5FD9C8FC" w14:textId="77777777" w:rsidR="00423DC9" w:rsidRDefault="00423DC9" w:rsidP="00B6030F">
      <w:pPr>
        <w:rPr>
          <w:rFonts w:ascii="KaiTi" w:eastAsia="KaiTi" w:hAnsi="KaiTi" w:cs="Heiti TC"/>
          <w:kern w:val="0"/>
          <w14:ligatures w14:val="none"/>
        </w:rPr>
      </w:pPr>
    </w:p>
    <w:p w14:paraId="2518400E" w14:textId="3E1C5446" w:rsidR="00B6030F" w:rsidRPr="00B6030F" w:rsidRDefault="00B6030F" w:rsidP="00B6030F">
      <w:p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kern w:val="0"/>
          <w14:ligatures w14:val="none"/>
        </w:rPr>
        <w:t>祝您与家人春晖安康，财富坚韧有序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  <w:r w:rsidRPr="00B6030F">
        <w:rPr>
          <w:rFonts w:ascii="KaiTi" w:eastAsia="KaiTi" w:hAnsi="KaiTi" w:cs="Heiti TC"/>
          <w:kern w:val="0"/>
          <w14:ligatures w14:val="none"/>
        </w:rPr>
        <w:t>。</w:t>
      </w:r>
    </w:p>
    <w:p w14:paraId="2E5E31F4" w14:textId="1A3FD3DE" w:rsidR="00B6030F" w:rsidRPr="00B6030F" w:rsidRDefault="00B6030F" w:rsidP="00B6030F">
      <w:pPr>
        <w:rPr>
          <w:rFonts w:ascii="KaiTi" w:eastAsia="KaiTi" w:hAnsi="KaiTi" w:cs="Heiti TC"/>
          <w:kern w:val="0"/>
          <w14:ligatures w14:val="none"/>
        </w:rPr>
      </w:pPr>
    </w:p>
    <w:p w14:paraId="742717C3" w14:textId="77777777" w:rsidR="00423DC9" w:rsidRDefault="00B6030F" w:rsidP="00B6030F">
      <w:pPr>
        <w:rPr>
          <w:rFonts w:ascii="Calibri" w:eastAsia="KaiTi" w:hAnsi="Calibri" w:cs="Calibri"/>
          <w:kern w:val="0"/>
          <w14:ligatures w14:val="none"/>
        </w:rPr>
      </w:pPr>
      <w:r w:rsidRPr="00B6030F">
        <w:rPr>
          <w:rFonts w:ascii="KaiTi" w:eastAsia="KaiTi" w:hAnsi="KaiTi" w:cs="Heiti TC"/>
          <w:b/>
          <w:bCs/>
          <w:kern w:val="0"/>
          <w14:ligatures w14:val="none"/>
        </w:rPr>
        <w:t>Wonder 团队</w:t>
      </w:r>
      <w:r w:rsidRPr="00B6030F">
        <w:rPr>
          <w:rFonts w:ascii="Calibri" w:eastAsia="KaiTi" w:hAnsi="Calibri" w:cs="Calibri"/>
          <w:kern w:val="0"/>
          <w14:ligatures w14:val="none"/>
        </w:rPr>
        <w:t> </w:t>
      </w:r>
    </w:p>
    <w:p w14:paraId="6EAF2173" w14:textId="1B750AAC" w:rsidR="00B6030F" w:rsidRPr="00B6030F" w:rsidRDefault="00B6030F" w:rsidP="00B6030F">
      <w:pPr>
        <w:rPr>
          <w:rFonts w:ascii="KaiTi" w:eastAsia="KaiTi" w:hAnsi="KaiTi" w:cs="Heiti TC"/>
          <w:kern w:val="0"/>
          <w14:ligatures w14:val="none"/>
        </w:rPr>
      </w:pPr>
      <w:r w:rsidRPr="00B6030F">
        <w:rPr>
          <w:rFonts w:ascii="KaiTi" w:eastAsia="KaiTi" w:hAnsi="KaiTi" w:cs="Heiti TC"/>
          <w:b/>
          <w:bCs/>
          <w:kern w:val="0"/>
          <w14:ligatures w14:val="none"/>
        </w:rPr>
        <w:t>2026 年 3 月</w:t>
      </w:r>
    </w:p>
    <w:p w14:paraId="5E456731" w14:textId="2794A077" w:rsidR="00EC7AE6" w:rsidRDefault="00EC7AE6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/>
          <w:kern w:val="0"/>
          <w14:ligatures w14:val="none"/>
        </w:rPr>
        <w:br w:type="page"/>
      </w:r>
    </w:p>
    <w:p w14:paraId="2B8BB611" w14:textId="77777777" w:rsidR="00EC7AE6" w:rsidRPr="000C1D9B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lastRenderedPageBreak/>
        <w:t>示例组合运行情况</w:t>
      </w:r>
    </w:p>
    <w:p w14:paraId="29D46525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54391468" w14:textId="77777777" w:rsidR="00EC7AE6" w:rsidRPr="000E2963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2CD0BD10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5EF1DC23" w14:textId="009BF3BE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年</w:t>
      </w:r>
      <w:r w:rsidR="006F0502">
        <w:rPr>
          <w:rFonts w:ascii="KaiTi" w:eastAsia="KaiTi" w:hAnsi="KaiTi" w:hint="eastAsia"/>
        </w:rPr>
        <w:t>3</w:t>
      </w:r>
      <w:r w:rsidRPr="000C1D9B">
        <w:rPr>
          <w:rFonts w:ascii="KaiTi" w:eastAsia="KaiTi" w:hAnsi="KaiTi" w:hint="eastAsia"/>
        </w:rPr>
        <w:t>月</w:t>
      </w:r>
      <w:r w:rsidR="00A51C67">
        <w:rPr>
          <w:rFonts w:ascii="KaiTi" w:eastAsia="KaiTi" w:hAnsi="KaiTi" w:hint="eastAsia"/>
        </w:rPr>
        <w:t>2</w:t>
      </w:r>
      <w:r w:rsidR="006F0502">
        <w:rPr>
          <w:rFonts w:ascii="KaiTi" w:eastAsia="KaiTi" w:hAnsi="KaiTi" w:hint="eastAsia"/>
        </w:rPr>
        <w:t>8</w:t>
      </w:r>
      <w:r w:rsidRPr="000C1D9B">
        <w:rPr>
          <w:rFonts w:ascii="KaiTi" w:eastAsia="KaiTi" w:hAnsi="KaiTi" w:hint="eastAsia"/>
        </w:rPr>
        <w:t>日，这个组合的运行情况如下：</w:t>
      </w:r>
    </w:p>
    <w:p w14:paraId="7FC083CF" w14:textId="14EEF569" w:rsidR="006F0502" w:rsidRDefault="006F0502" w:rsidP="00EC7AE6">
      <w:pPr>
        <w:rPr>
          <w:rFonts w:ascii="KaiTi" w:eastAsia="KaiTi" w:hAnsi="KaiTi"/>
        </w:rPr>
      </w:pPr>
      <w:r>
        <w:fldChar w:fldCharType="begin"/>
      </w:r>
      <w:r>
        <w:instrText xml:space="preserve"> INCLUDEPICTURE "/Users/derek/Library/Group Containers/UBF8T346G9.ms/WebArchiveCopyPasteTempFiles/com.microsoft.Word/389fd183-6be6-4fbd-b1fd-1dbee538a3bc"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010341" wp14:editId="0AC7254F">
            <wp:extent cx="5943600" cy="3655695"/>
            <wp:effectExtent l="0" t="0" r="0" b="1905"/>
            <wp:docPr id="6823359" name="Picture 1" descr="Selected image presented in a light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ed image presented in a lightbox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2DE6A9" w14:textId="651E6ECC" w:rsidR="00EC7AE6" w:rsidRDefault="006F0502" w:rsidP="00EC7AE6">
      <w:pPr>
        <w:rPr>
          <w:rFonts w:ascii="KaiTi" w:eastAsia="KaiTi" w:hAnsi="KaiTi"/>
        </w:rPr>
      </w:pPr>
      <w:r w:rsidRPr="006F0502">
        <w:rPr>
          <w:rFonts w:ascii="KaiTi" w:eastAsia="KaiTi" w:hAnsi="KaiTi" w:hint="eastAsia"/>
        </w:rPr>
        <w:t>截至 3 月 28 日，组合净值回落至 1,061,586.36 美元。相较于 2 月底 10.67% 的累计增长 ，目前累计收益收窄至 6.17%。当市场驱动力从“降息预期”切换为“通胀粘性与地缘溢价”时，所有风险资产的估值空间都会受到直接挤压。</w:t>
      </w:r>
    </w:p>
    <w:p w14:paraId="4466EC8D" w14:textId="3CEDC689" w:rsidR="006F0502" w:rsidRPr="006F0502" w:rsidRDefault="006F0502" w:rsidP="006F0502">
      <w:pPr>
        <w:rPr>
          <w:rFonts w:ascii="KaiTi" w:eastAsia="KaiTi" w:hAnsi="KaiTi"/>
          <w:b/>
          <w:bCs/>
        </w:rPr>
      </w:pPr>
      <w:r w:rsidRPr="006F0502">
        <w:rPr>
          <w:rFonts w:ascii="KaiTi" w:eastAsia="KaiTi" w:hAnsi="KaiTi"/>
          <w:b/>
          <w:bCs/>
        </w:rPr>
        <w:t>底层资产穿透：地缘与利率的双重打击</w:t>
      </w:r>
    </w:p>
    <w:p w14:paraId="3B8DB1AB" w14:textId="5603D8D4" w:rsidR="006F0502" w:rsidRPr="006F0502" w:rsidRDefault="006F0502" w:rsidP="006F0502">
      <w:pPr>
        <w:rPr>
          <w:rFonts w:ascii="KaiTi" w:eastAsia="KaiTi" w:hAnsi="KaiTi"/>
        </w:rPr>
      </w:pPr>
      <w:r w:rsidRPr="006F0502">
        <w:rPr>
          <w:rFonts w:ascii="KaiTi" w:eastAsia="KaiTi" w:hAnsi="KaiTi"/>
        </w:rPr>
        <w:t>通过</w:t>
      </w:r>
      <w:r>
        <w:rPr>
          <w:rFonts w:ascii="KaiTi" w:eastAsia="KaiTi" w:hAnsi="KaiTi" w:hint="eastAsia"/>
        </w:rPr>
        <w:t>审视底层资产</w:t>
      </w:r>
      <w:r w:rsidRPr="006F0502">
        <w:rPr>
          <w:rFonts w:ascii="KaiTi" w:eastAsia="KaiTi" w:hAnsi="KaiTi" w:hint="eastAsia"/>
        </w:rPr>
        <w:t>，</w:t>
      </w:r>
      <w:r w:rsidRPr="006F0502">
        <w:rPr>
          <w:rFonts w:ascii="KaiTi" w:eastAsia="KaiTi" w:hAnsi="KaiTi"/>
        </w:rPr>
        <w:t>我们可以看到波动的主要来源：</w:t>
      </w:r>
    </w:p>
    <w:p w14:paraId="45E5BBCC" w14:textId="77777777" w:rsidR="006F0502" w:rsidRPr="006F0502" w:rsidRDefault="006F0502" w:rsidP="006F0502">
      <w:pPr>
        <w:numPr>
          <w:ilvl w:val="0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环球房地产基金（反转最为剧烈）：</w:t>
      </w:r>
    </w:p>
    <w:p w14:paraId="19625050" w14:textId="3A17A559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2 月</w:t>
      </w:r>
      <w:r w:rsidR="00227B52">
        <w:rPr>
          <w:rFonts w:ascii="KaiTi" w:eastAsia="KaiTi" w:hAnsi="KaiTi" w:hint="eastAsia"/>
          <w:b/>
          <w:bCs/>
        </w:rPr>
        <w:t>累积</w:t>
      </w:r>
      <w:r w:rsidRPr="006F0502">
        <w:rPr>
          <w:rFonts w:ascii="KaiTi" w:eastAsia="KaiTi" w:hAnsi="KaiTi"/>
          <w:b/>
          <w:bCs/>
        </w:rPr>
        <w:t>表现：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+6.00%</w:t>
      </w:r>
      <w:r w:rsidRPr="006F0502">
        <w:rPr>
          <w:rFonts w:ascii="Calibri" w:eastAsia="KaiTi" w:hAnsi="Calibri" w:cs="Calibri"/>
        </w:rPr>
        <w:t> </w:t>
      </w:r>
    </w:p>
    <w:p w14:paraId="6BAFC050" w14:textId="3BC69666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lastRenderedPageBreak/>
        <w:t>3 月</w:t>
      </w:r>
      <w:r w:rsidR="00227B52">
        <w:rPr>
          <w:rFonts w:ascii="KaiTi" w:eastAsia="KaiTi" w:hAnsi="KaiTi" w:hint="eastAsia"/>
          <w:b/>
          <w:bCs/>
        </w:rPr>
        <w:t>累积</w:t>
      </w:r>
      <w:r w:rsidRPr="006F0502">
        <w:rPr>
          <w:rFonts w:ascii="KaiTi" w:eastAsia="KaiTi" w:hAnsi="KaiTi"/>
          <w:b/>
          <w:bCs/>
        </w:rPr>
        <w:t>表现：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-2.10% (PNL)</w:t>
      </w:r>
    </w:p>
    <w:p w14:paraId="5071A031" w14:textId="77777777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分析：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房地产板块对利率极度敏感。由于 3 月油价上行引发通胀担忧，美联储维持偏紧政策的预期加强，导致无风险利率上行，直接令该板块从盈利转为亏损。</w:t>
      </w:r>
    </w:p>
    <w:p w14:paraId="321B5DA1" w14:textId="77777777" w:rsidR="006F0502" w:rsidRPr="006F0502" w:rsidRDefault="006F0502" w:rsidP="006F0502">
      <w:pPr>
        <w:numPr>
          <w:ilvl w:val="0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环球优质股权基金（利润回吐）：</w:t>
      </w:r>
    </w:p>
    <w:p w14:paraId="5EE3BD8E" w14:textId="0D71963C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2 月</w:t>
      </w:r>
      <w:r w:rsidR="0043286C">
        <w:rPr>
          <w:rFonts w:ascii="KaiTi" w:eastAsia="KaiTi" w:hAnsi="KaiTi" w:hint="eastAsia"/>
          <w:b/>
          <w:bCs/>
        </w:rPr>
        <w:t>累积</w:t>
      </w:r>
      <w:r w:rsidRPr="006F0502">
        <w:rPr>
          <w:rFonts w:ascii="KaiTi" w:eastAsia="KaiTi" w:hAnsi="KaiTi"/>
          <w:b/>
          <w:bCs/>
        </w:rPr>
        <w:t>表现：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+17.17%</w:t>
      </w:r>
      <w:r w:rsidRPr="006F0502">
        <w:rPr>
          <w:rFonts w:ascii="Calibri" w:eastAsia="KaiTi" w:hAnsi="Calibri" w:cs="Calibri"/>
        </w:rPr>
        <w:t> </w:t>
      </w:r>
    </w:p>
    <w:p w14:paraId="61EBE925" w14:textId="67BE9EDD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3 月</w:t>
      </w:r>
      <w:r w:rsidR="0043286C">
        <w:rPr>
          <w:rFonts w:ascii="KaiTi" w:eastAsia="KaiTi" w:hAnsi="KaiTi" w:hint="eastAsia"/>
          <w:b/>
          <w:bCs/>
        </w:rPr>
        <w:t>累积</w:t>
      </w:r>
      <w:r w:rsidRPr="006F0502">
        <w:rPr>
          <w:rFonts w:ascii="KaiTi" w:eastAsia="KaiTi" w:hAnsi="KaiTi"/>
          <w:b/>
          <w:bCs/>
        </w:rPr>
        <w:t>表现：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+11.86% (PNL)</w:t>
      </w:r>
    </w:p>
    <w:p w14:paraId="325C143F" w14:textId="77777777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分析：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全球权益市场在 3 月显著承压。尽管该基金依然保持两位数的正收益，但单月回撤明显，反映了高估值板块在“高通胀、低增长预期”下的重新定价过程。</w:t>
      </w:r>
    </w:p>
    <w:p w14:paraId="11818CA2" w14:textId="77777777" w:rsidR="006F0502" w:rsidRPr="006F0502" w:rsidRDefault="006F0502" w:rsidP="006F0502">
      <w:pPr>
        <w:numPr>
          <w:ilvl w:val="0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中高等级债券基金（防守中坚）：</w:t>
      </w:r>
    </w:p>
    <w:p w14:paraId="31FCCADD" w14:textId="70289258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2 月</w:t>
      </w:r>
      <w:r w:rsidR="0043286C">
        <w:rPr>
          <w:rFonts w:ascii="KaiTi" w:eastAsia="KaiTi" w:hAnsi="KaiTi" w:hint="eastAsia"/>
          <w:b/>
          <w:bCs/>
        </w:rPr>
        <w:t>累积</w:t>
      </w:r>
      <w:r w:rsidRPr="006F0502">
        <w:rPr>
          <w:rFonts w:ascii="KaiTi" w:eastAsia="KaiTi" w:hAnsi="KaiTi"/>
          <w:b/>
          <w:bCs/>
        </w:rPr>
        <w:t>表现：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+7.66%</w:t>
      </w:r>
      <w:r w:rsidRPr="006F0502">
        <w:rPr>
          <w:rFonts w:ascii="Calibri" w:eastAsia="KaiTi" w:hAnsi="Calibri" w:cs="Calibri"/>
        </w:rPr>
        <w:t> </w:t>
      </w:r>
    </w:p>
    <w:p w14:paraId="49FF59F9" w14:textId="6899A4C6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3 月</w:t>
      </w:r>
      <w:r w:rsidR="0043286C">
        <w:rPr>
          <w:rFonts w:ascii="KaiTi" w:eastAsia="KaiTi" w:hAnsi="KaiTi" w:hint="eastAsia"/>
          <w:b/>
          <w:bCs/>
        </w:rPr>
        <w:t>累积</w:t>
      </w:r>
      <w:r w:rsidRPr="006F0502">
        <w:rPr>
          <w:rFonts w:ascii="KaiTi" w:eastAsia="KaiTi" w:hAnsi="KaiTi"/>
          <w:b/>
          <w:bCs/>
        </w:rPr>
        <w:t>表现：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+6.76% (PNL)</w:t>
      </w:r>
    </w:p>
    <w:p w14:paraId="642B8F8E" w14:textId="77777777" w:rsidR="006F0502" w:rsidRPr="006F0502" w:rsidRDefault="006F0502" w:rsidP="006F0502">
      <w:pPr>
        <w:numPr>
          <w:ilvl w:val="1"/>
          <w:numId w:val="16"/>
        </w:numPr>
        <w:rPr>
          <w:rFonts w:ascii="KaiTi" w:eastAsia="KaiTi" w:hAnsi="KaiTi"/>
        </w:rPr>
      </w:pPr>
      <w:r w:rsidRPr="006F0502">
        <w:rPr>
          <w:rFonts w:ascii="KaiTi" w:eastAsia="KaiTi" w:hAnsi="KaiTi"/>
          <w:b/>
          <w:bCs/>
        </w:rPr>
        <w:t>分析：</w:t>
      </w:r>
      <w:r w:rsidRPr="006F0502">
        <w:rPr>
          <w:rFonts w:ascii="Calibri" w:eastAsia="KaiTi" w:hAnsi="Calibri" w:cs="Calibri"/>
        </w:rPr>
        <w:t> </w:t>
      </w:r>
      <w:r w:rsidRPr="006F0502">
        <w:rPr>
          <w:rFonts w:ascii="KaiTi" w:eastAsia="KaiTi" w:hAnsi="KaiTi"/>
        </w:rPr>
        <w:t>虽然利率波动也对债价产生了轻微负面影响，但相较于股票和房地产，债券的表现最为稳健，起到了组合“压舱石”的作用。</w:t>
      </w:r>
    </w:p>
    <w:p w14:paraId="048DE29C" w14:textId="77777777" w:rsidR="006F0502" w:rsidRDefault="006F0502" w:rsidP="00EC7AE6">
      <w:pPr>
        <w:rPr>
          <w:rFonts w:ascii="KaiTi" w:eastAsia="KaiTi" w:hAnsi="KaiTi"/>
        </w:rPr>
      </w:pPr>
    </w:p>
    <w:p w14:paraId="064B9DC7" w14:textId="77777777" w:rsidR="00EC7AE6" w:rsidRPr="00B14E80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1DF0882D" w14:textId="77777777" w:rsidR="00EC7AE6" w:rsidRPr="000C1D9B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2FA4F89F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66E2B02B" w14:textId="6678C91F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年</w:t>
      </w:r>
      <w:r w:rsidR="006F0502">
        <w:rPr>
          <w:rFonts w:ascii="KaiTi" w:eastAsia="KaiTi" w:hAnsi="KaiTi" w:hint="eastAsia"/>
        </w:rPr>
        <w:t>3</w:t>
      </w:r>
      <w:r w:rsidRPr="000C1D9B">
        <w:rPr>
          <w:rFonts w:ascii="KaiTi" w:eastAsia="KaiTi" w:hAnsi="KaiTi" w:hint="eastAsia"/>
        </w:rPr>
        <w:t>月</w:t>
      </w:r>
      <w:r w:rsidR="00A51C67">
        <w:rPr>
          <w:rFonts w:ascii="KaiTi" w:eastAsia="KaiTi" w:hAnsi="KaiTi" w:hint="eastAsia"/>
        </w:rPr>
        <w:t>2</w:t>
      </w:r>
      <w:r w:rsidR="006F0502">
        <w:rPr>
          <w:rFonts w:ascii="KaiTi" w:eastAsia="KaiTi" w:hAnsi="KaiTi" w:hint="eastAsia"/>
        </w:rPr>
        <w:t>8</w:t>
      </w:r>
      <w:r w:rsidRPr="000C1D9B">
        <w:rPr>
          <w:rFonts w:ascii="KaiTi" w:eastAsia="KaiTi" w:hAnsi="KaiTi" w:hint="eastAsia"/>
        </w:rPr>
        <w:t>日，组合运行情况：</w:t>
      </w:r>
    </w:p>
    <w:p w14:paraId="7AE35477" w14:textId="77777777" w:rsidR="0038461C" w:rsidRDefault="0038461C" w:rsidP="00EC7AE6">
      <w:pPr>
        <w:rPr>
          <w:rFonts w:ascii="KaiTi" w:eastAsia="KaiTi" w:hAnsi="KaiTi"/>
        </w:rPr>
      </w:pPr>
    </w:p>
    <w:p w14:paraId="057B73FE" w14:textId="77777777" w:rsidR="0038461C" w:rsidRDefault="0038461C" w:rsidP="00EC7AE6">
      <w:pPr>
        <w:rPr>
          <w:rFonts w:ascii="KaiTi" w:eastAsia="KaiTi" w:hAnsi="KaiTi"/>
        </w:rPr>
      </w:pPr>
    </w:p>
    <w:p w14:paraId="4F9FBC5E" w14:textId="3FDECB00" w:rsidR="00EC7AE6" w:rsidRPr="00344E79" w:rsidRDefault="006F2D45" w:rsidP="00EC7AE6">
      <w:pPr>
        <w:rPr>
          <w:rFonts w:ascii="KaiTi" w:eastAsia="KaiTi" w:hAnsi="KaiTi"/>
          <w:sz w:val="22"/>
          <w:szCs w:val="22"/>
        </w:rPr>
      </w:pPr>
      <w:r w:rsidRPr="006F2D45">
        <w:rPr>
          <w:rFonts w:ascii="KaiTi" w:eastAsia="KaiTi" w:hAnsi="KaiTi"/>
          <w:noProof/>
          <w:sz w:val="22"/>
          <w:szCs w:val="22"/>
        </w:rPr>
        <w:lastRenderedPageBreak/>
        <w:drawing>
          <wp:inline distT="0" distB="0" distL="0" distR="0" wp14:anchorId="611E92C5" wp14:editId="4FB42CA0">
            <wp:extent cx="5943600" cy="3416935"/>
            <wp:effectExtent l="0" t="0" r="0" b="0"/>
            <wp:docPr id="165881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19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48E0" w14:textId="28CEFEFD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 w:rsidR="006F0502">
        <w:rPr>
          <w:rFonts w:ascii="KaiTi" w:eastAsia="KaiTi" w:hAnsi="KaiTi" w:hint="eastAsia"/>
        </w:rPr>
        <w:t>-1.03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 w:rsidR="006F0502">
        <w:rPr>
          <w:rFonts w:ascii="KaiTi" w:eastAsia="KaiTi" w:hAnsi="KaiTi" w:hint="eastAsia"/>
          <w:color w:val="FF0000"/>
        </w:rPr>
        <w:t>8.</w:t>
      </w:r>
      <w:r w:rsidR="006F2D45">
        <w:rPr>
          <w:rFonts w:ascii="KaiTi" w:eastAsia="KaiTi" w:hAnsi="KaiTi" w:hint="eastAsia"/>
          <w:color w:val="FF0000"/>
        </w:rPr>
        <w:t>4</w:t>
      </w:r>
      <w:r w:rsidR="006F0502">
        <w:rPr>
          <w:rFonts w:ascii="KaiTi" w:eastAsia="KaiTi" w:hAnsi="KaiTi" w:hint="eastAsia"/>
          <w:color w:val="FF0000"/>
        </w:rPr>
        <w:t>6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="006F0502">
        <w:rPr>
          <w:rFonts w:ascii="KaiTi" w:eastAsia="KaiTi" w:hAnsi="KaiTi" w:hint="eastAsia"/>
          <w:b/>
          <w:bCs/>
          <w:color w:val="FF0000"/>
        </w:rPr>
        <w:t>，</w:t>
      </w:r>
      <w:r w:rsidR="00227B52">
        <w:rPr>
          <w:rFonts w:ascii="KaiTi" w:eastAsia="KaiTi" w:hAnsi="KaiTi" w:hint="eastAsia"/>
        </w:rPr>
        <w:t>较上一个月有近2%的回撤。由于派息组合中没有房地产Reits基金的拖累，整体组合的表现更为平稳。</w:t>
      </w:r>
    </w:p>
    <w:p w14:paraId="2B9A9457" w14:textId="2F1E1EB9" w:rsidR="00EC7AE6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自2024年10月到26年</w:t>
      </w:r>
      <w:r w:rsidR="00227B52">
        <w:rPr>
          <w:rFonts w:ascii="KaiTi" w:eastAsia="KaiTi" w:hAnsi="KaiTi" w:hint="eastAsia"/>
        </w:rPr>
        <w:t>3</w:t>
      </w:r>
      <w:r>
        <w:rPr>
          <w:rFonts w:ascii="KaiTi" w:eastAsia="KaiTi" w:hAnsi="KaiTi" w:hint="eastAsia"/>
        </w:rPr>
        <w:t>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</w:t>
      </w:r>
      <w:r w:rsidR="00227B52" w:rsidRPr="00227B52">
        <w:rPr>
          <w:rFonts w:ascii="KaiTi" w:eastAsia="KaiTi" w:hAnsi="KaiTi" w:hint="eastAsia"/>
          <w:color w:val="EE0000"/>
        </w:rPr>
        <w:t>增加</w:t>
      </w:r>
      <w:r>
        <w:rPr>
          <w:rFonts w:ascii="KaiTi" w:eastAsia="KaiTi" w:hAnsi="KaiTi" w:hint="eastAsia"/>
        </w:rPr>
        <w:t>派发</w:t>
      </w:r>
      <w:r w:rsidR="006F2D45">
        <w:rPr>
          <w:rFonts w:ascii="KaiTi" w:eastAsia="KaiTi" w:hAnsi="KaiTi" w:hint="eastAsia"/>
        </w:rPr>
        <w:t>至</w:t>
      </w:r>
      <w:r w:rsidRPr="000C1D9B">
        <w:rPr>
          <w:rFonts w:ascii="KaiTi" w:eastAsia="KaiTi" w:hAnsi="KaiTi" w:hint="eastAsia"/>
        </w:rPr>
        <w:t>$0.0</w:t>
      </w:r>
      <w:r>
        <w:rPr>
          <w:rFonts w:ascii="KaiTi" w:eastAsia="KaiTi" w:hAnsi="KaiTi" w:hint="eastAsia"/>
        </w:rPr>
        <w:t>6</w:t>
      </w:r>
      <w:r w:rsidR="00227B52">
        <w:rPr>
          <w:rFonts w:ascii="KaiTi" w:eastAsia="KaiTi" w:hAnsi="KaiTi" w:hint="eastAsia"/>
        </w:rPr>
        <w:t>35</w:t>
      </w:r>
      <w:r w:rsidRPr="000C1D9B">
        <w:rPr>
          <w:rFonts w:ascii="KaiTi" w:eastAsia="KaiTi" w:hAnsi="KaiTi" w:hint="eastAsia"/>
        </w:rPr>
        <w:t>/股。</w:t>
      </w:r>
    </w:p>
    <w:p w14:paraId="3CF3F48F" w14:textId="553A082C" w:rsidR="00EC7AE6" w:rsidRPr="001E195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</w:t>
      </w:r>
      <w:r>
        <w:rPr>
          <w:rFonts w:ascii="KaiTi" w:eastAsia="KaiTi" w:hAnsi="KaiTi" w:hint="eastAsia"/>
        </w:rPr>
        <w:t>1</w:t>
      </w:r>
      <w:r w:rsidR="00227B52">
        <w:rPr>
          <w:rFonts w:ascii="KaiTi" w:eastAsia="KaiTi" w:hAnsi="KaiTi" w:hint="eastAsia"/>
        </w:rPr>
        <w:t>7</w:t>
      </w:r>
      <w:r>
        <w:rPr>
          <w:rFonts w:ascii="KaiTi" w:eastAsia="KaiTi" w:hAnsi="KaiTi" w:hint="eastAsia"/>
        </w:rPr>
        <w:t>期，合计</w:t>
      </w:r>
      <w:r w:rsidRPr="000C1D9B">
        <w:rPr>
          <w:rFonts w:ascii="KaiTi" w:eastAsia="KaiTi" w:hAnsi="KaiTi" w:hint="eastAsia"/>
        </w:rPr>
        <w:t>$</w:t>
      </w:r>
      <w:r w:rsidR="006F2D45">
        <w:rPr>
          <w:rFonts w:ascii="KaiTi" w:eastAsia="KaiTi" w:hAnsi="KaiTi" w:hint="eastAsia"/>
        </w:rPr>
        <w:t>92227</w:t>
      </w:r>
      <w:r>
        <w:rPr>
          <w:rFonts w:ascii="KaiTi" w:eastAsia="KaiTi" w:hAnsi="KaiTi" w:hint="eastAsia"/>
        </w:rPr>
        <w:t>（折合人民币</w:t>
      </w:r>
      <w:r w:rsidR="006F2D45">
        <w:rPr>
          <w:rFonts w:ascii="KaiTi" w:eastAsia="KaiTi" w:hAnsi="KaiTi" w:hint="eastAsia"/>
        </w:rPr>
        <w:t>66.4</w:t>
      </w:r>
      <w:r>
        <w:rPr>
          <w:rFonts w:ascii="KaiTi" w:eastAsia="KaiTi" w:hAnsi="KaiTi" w:hint="eastAsia"/>
        </w:rPr>
        <w:t>万元，汇率按照7.2</w:t>
      </w:r>
      <w:r w:rsidR="00A51C67">
        <w:rPr>
          <w:rStyle w:val="FootnoteReference"/>
          <w:rFonts w:ascii="KaiTi" w:eastAsia="KaiTi" w:hAnsi="KaiTi"/>
        </w:rPr>
        <w:footnoteReference w:id="1"/>
      </w:r>
      <w:r>
        <w:rPr>
          <w:rFonts w:ascii="KaiTi" w:eastAsia="KaiTi" w:hAnsi="KaiTi" w:hint="eastAsia"/>
        </w:rPr>
        <w:t>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>
        <w:rPr>
          <w:rFonts w:ascii="KaiTi" w:eastAsia="KaiTi" w:hAnsi="KaiTi" w:hint="eastAsia"/>
          <w:color w:val="FF0000"/>
        </w:rPr>
        <w:t>6.</w:t>
      </w:r>
      <w:r w:rsidR="006F2D45">
        <w:rPr>
          <w:rFonts w:ascii="KaiTi" w:eastAsia="KaiTi" w:hAnsi="KaiTi" w:hint="eastAsia"/>
          <w:color w:val="FF0000"/>
        </w:rPr>
        <w:t>51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665"/>
        <w:gridCol w:w="941"/>
        <w:gridCol w:w="941"/>
        <w:gridCol w:w="1116"/>
        <w:gridCol w:w="1009"/>
        <w:gridCol w:w="941"/>
        <w:gridCol w:w="941"/>
      </w:tblGrid>
      <w:tr w:rsidR="00EC7AE6" w:rsidRPr="00EC7AE6" w14:paraId="19B589A9" w14:textId="77777777" w:rsidTr="00227B52">
        <w:trPr>
          <w:trHeight w:val="320"/>
        </w:trPr>
        <w:tc>
          <w:tcPr>
            <w:tcW w:w="1796" w:type="dxa"/>
            <w:noWrap/>
            <w:vAlign w:val="center"/>
            <w:hideMark/>
          </w:tcPr>
          <w:p w14:paraId="75F9E6D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基金名称</w:t>
            </w:r>
          </w:p>
        </w:tc>
        <w:tc>
          <w:tcPr>
            <w:tcW w:w="1665" w:type="dxa"/>
            <w:noWrap/>
            <w:vAlign w:val="center"/>
            <w:hideMark/>
          </w:tcPr>
          <w:p w14:paraId="0F19CC6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除净日期</w:t>
            </w:r>
          </w:p>
        </w:tc>
        <w:tc>
          <w:tcPr>
            <w:tcW w:w="941" w:type="dxa"/>
            <w:noWrap/>
            <w:vAlign w:val="center"/>
            <w:hideMark/>
          </w:tcPr>
          <w:p w14:paraId="6BC26BE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每单位派发</w:t>
            </w:r>
          </w:p>
        </w:tc>
        <w:tc>
          <w:tcPr>
            <w:tcW w:w="941" w:type="dxa"/>
            <w:noWrap/>
            <w:vAlign w:val="center"/>
            <w:hideMark/>
          </w:tcPr>
          <w:p w14:paraId="1CB2150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持有份额</w:t>
            </w:r>
          </w:p>
        </w:tc>
        <w:tc>
          <w:tcPr>
            <w:tcW w:w="1116" w:type="dxa"/>
            <w:noWrap/>
            <w:vAlign w:val="center"/>
            <w:hideMark/>
          </w:tcPr>
          <w:p w14:paraId="76DE339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派发合计</w:t>
            </w:r>
          </w:p>
        </w:tc>
        <w:tc>
          <w:tcPr>
            <w:tcW w:w="1009" w:type="dxa"/>
            <w:noWrap/>
            <w:vAlign w:val="center"/>
            <w:hideMark/>
          </w:tcPr>
          <w:p w14:paraId="456D231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初始投资额</w:t>
            </w:r>
          </w:p>
        </w:tc>
        <w:tc>
          <w:tcPr>
            <w:tcW w:w="941" w:type="dxa"/>
            <w:noWrap/>
            <w:vAlign w:val="center"/>
            <w:hideMark/>
          </w:tcPr>
          <w:p w14:paraId="06E7BB9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月度派息收益率</w:t>
            </w:r>
          </w:p>
        </w:tc>
        <w:tc>
          <w:tcPr>
            <w:tcW w:w="941" w:type="dxa"/>
            <w:noWrap/>
            <w:vAlign w:val="center"/>
            <w:hideMark/>
          </w:tcPr>
          <w:p w14:paraId="0313627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年化派息收益率</w:t>
            </w:r>
          </w:p>
        </w:tc>
      </w:tr>
      <w:tr w:rsidR="00227B52" w:rsidRPr="00EC7AE6" w14:paraId="177EE3DE" w14:textId="77777777" w:rsidTr="00227B52">
        <w:trPr>
          <w:trHeight w:val="320"/>
        </w:trPr>
        <w:tc>
          <w:tcPr>
            <w:tcW w:w="1796" w:type="dxa"/>
            <w:vMerge w:val="restart"/>
            <w:noWrap/>
            <w:vAlign w:val="center"/>
            <w:hideMark/>
          </w:tcPr>
          <w:p w14:paraId="646ED9B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Z12 美国中高等级债券基金</w:t>
            </w:r>
          </w:p>
        </w:tc>
        <w:tc>
          <w:tcPr>
            <w:tcW w:w="1665" w:type="dxa"/>
            <w:noWrap/>
            <w:vAlign w:val="center"/>
            <w:hideMark/>
          </w:tcPr>
          <w:p w14:paraId="0BA3DAC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11/1/24</w:t>
            </w:r>
          </w:p>
        </w:tc>
        <w:tc>
          <w:tcPr>
            <w:tcW w:w="941" w:type="dxa"/>
            <w:noWrap/>
            <w:vAlign w:val="center"/>
            <w:hideMark/>
          </w:tcPr>
          <w:p w14:paraId="280C400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790160E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44EF4A4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2B01168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63C919B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34ED87C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4D43C819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79F877D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4C19614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12/2/24</w:t>
            </w:r>
          </w:p>
        </w:tc>
        <w:tc>
          <w:tcPr>
            <w:tcW w:w="941" w:type="dxa"/>
            <w:noWrap/>
            <w:vAlign w:val="center"/>
            <w:hideMark/>
          </w:tcPr>
          <w:p w14:paraId="04B6685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64CCBEB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1DBE7EA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300CA6C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7066F44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38B6861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0DB38369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3C603E7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534893A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12/30/24</w:t>
            </w:r>
          </w:p>
        </w:tc>
        <w:tc>
          <w:tcPr>
            <w:tcW w:w="941" w:type="dxa"/>
            <w:noWrap/>
            <w:vAlign w:val="center"/>
            <w:hideMark/>
          </w:tcPr>
          <w:p w14:paraId="22561BC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5C74898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7DCC803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295EBF9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32E85A4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16DBEA2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4FB0B77B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3AC51C6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6E04DC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41" w:type="dxa"/>
            <w:noWrap/>
            <w:vAlign w:val="center"/>
            <w:hideMark/>
          </w:tcPr>
          <w:p w14:paraId="561580E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11FEBFB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750D7FE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21EFE7F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0BA34AC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127939F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301C17DE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497BB6D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2A22F33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3/3/25</w:t>
            </w:r>
          </w:p>
        </w:tc>
        <w:tc>
          <w:tcPr>
            <w:tcW w:w="941" w:type="dxa"/>
            <w:noWrap/>
            <w:vAlign w:val="center"/>
            <w:hideMark/>
          </w:tcPr>
          <w:p w14:paraId="19D9179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3869CAF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4D9BABB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681834D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03B1263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3E14696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753FADA8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40CC60C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7BA8ECC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4/1/25</w:t>
            </w:r>
          </w:p>
        </w:tc>
        <w:tc>
          <w:tcPr>
            <w:tcW w:w="941" w:type="dxa"/>
            <w:noWrap/>
            <w:vAlign w:val="center"/>
            <w:hideMark/>
          </w:tcPr>
          <w:p w14:paraId="1A8FB91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16BCE03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66F208D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6E4A647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36FE12A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4C1FA66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06B8B659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26F609F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47E9B71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5/1/25</w:t>
            </w:r>
          </w:p>
        </w:tc>
        <w:tc>
          <w:tcPr>
            <w:tcW w:w="941" w:type="dxa"/>
            <w:noWrap/>
            <w:vAlign w:val="center"/>
            <w:hideMark/>
          </w:tcPr>
          <w:p w14:paraId="6C214C6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547C4EC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3FE7EA6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3F18931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2CD098A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597C0AD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2A9A3136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7738187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E0EBC6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6/2/25</w:t>
            </w:r>
          </w:p>
        </w:tc>
        <w:tc>
          <w:tcPr>
            <w:tcW w:w="941" w:type="dxa"/>
            <w:noWrap/>
            <w:vAlign w:val="center"/>
            <w:hideMark/>
          </w:tcPr>
          <w:p w14:paraId="565DD5E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68E360F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760B0AF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20AF900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0A35132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312D1C0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713ECA8D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785E9C3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609BBB4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7/1/25</w:t>
            </w:r>
          </w:p>
        </w:tc>
        <w:tc>
          <w:tcPr>
            <w:tcW w:w="941" w:type="dxa"/>
            <w:noWrap/>
            <w:vAlign w:val="center"/>
            <w:hideMark/>
          </w:tcPr>
          <w:p w14:paraId="516C6FC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48090F1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1E94D17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4E35134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6531827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3766790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0F08E87F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10ED737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007379D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8/1/25</w:t>
            </w:r>
          </w:p>
        </w:tc>
        <w:tc>
          <w:tcPr>
            <w:tcW w:w="941" w:type="dxa"/>
            <w:noWrap/>
            <w:vAlign w:val="center"/>
            <w:hideMark/>
          </w:tcPr>
          <w:p w14:paraId="69151BB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69D6398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5A6A4F8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3B7ACE0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713FD64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390BA6C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402FF8D7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63CC145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273472D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9/2/25</w:t>
            </w:r>
          </w:p>
        </w:tc>
        <w:tc>
          <w:tcPr>
            <w:tcW w:w="941" w:type="dxa"/>
            <w:noWrap/>
            <w:vAlign w:val="center"/>
            <w:hideMark/>
          </w:tcPr>
          <w:p w14:paraId="222789C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61DCD2E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6F93082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76ACE17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6153551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54F46E1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1DF5A7F2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0B6A287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029E7D2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10/1/25</w:t>
            </w:r>
          </w:p>
        </w:tc>
        <w:tc>
          <w:tcPr>
            <w:tcW w:w="941" w:type="dxa"/>
            <w:noWrap/>
            <w:vAlign w:val="center"/>
            <w:hideMark/>
          </w:tcPr>
          <w:p w14:paraId="1534E01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2884D94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0B902EE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3563C03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4ED1BA3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5EE1F80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4EC79295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7438C29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408EB06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11/3/25</w:t>
            </w:r>
          </w:p>
        </w:tc>
        <w:tc>
          <w:tcPr>
            <w:tcW w:w="941" w:type="dxa"/>
            <w:noWrap/>
            <w:vAlign w:val="center"/>
            <w:hideMark/>
          </w:tcPr>
          <w:p w14:paraId="3D11BE6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6CC13EB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4C90DF0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6CC81D6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541DC64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154D3A7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7AEDCF3B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594F4B4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5208956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12/1/25</w:t>
            </w:r>
          </w:p>
        </w:tc>
        <w:tc>
          <w:tcPr>
            <w:tcW w:w="941" w:type="dxa"/>
            <w:noWrap/>
            <w:vAlign w:val="center"/>
            <w:hideMark/>
          </w:tcPr>
          <w:p w14:paraId="2E584E6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0CC3E7C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529ED55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326C537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00CAA75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798192E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686A113D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103406E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6F9276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1/2/26</w:t>
            </w:r>
          </w:p>
        </w:tc>
        <w:tc>
          <w:tcPr>
            <w:tcW w:w="941" w:type="dxa"/>
            <w:noWrap/>
            <w:vAlign w:val="center"/>
            <w:hideMark/>
          </w:tcPr>
          <w:p w14:paraId="0F6A6F3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  <w:hideMark/>
          </w:tcPr>
          <w:p w14:paraId="0138888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  <w:hideMark/>
          </w:tcPr>
          <w:p w14:paraId="70DAD28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  <w:hideMark/>
          </w:tcPr>
          <w:p w14:paraId="15CB47F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  <w:hideMark/>
          </w:tcPr>
          <w:p w14:paraId="329448D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  <w:hideMark/>
          </w:tcPr>
          <w:p w14:paraId="7DBA1FF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227B52" w:rsidRPr="00EC7AE6" w14:paraId="08D78C6A" w14:textId="77777777" w:rsidTr="00227B52">
        <w:trPr>
          <w:trHeight w:val="320"/>
        </w:trPr>
        <w:tc>
          <w:tcPr>
            <w:tcW w:w="1796" w:type="dxa"/>
            <w:vMerge/>
            <w:vAlign w:val="center"/>
          </w:tcPr>
          <w:p w14:paraId="1B01A444" w14:textId="77777777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</w:tcPr>
          <w:p w14:paraId="29077AE1" w14:textId="3C88F468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2/2/26</w:t>
            </w:r>
          </w:p>
        </w:tc>
        <w:tc>
          <w:tcPr>
            <w:tcW w:w="941" w:type="dxa"/>
            <w:noWrap/>
            <w:vAlign w:val="center"/>
          </w:tcPr>
          <w:p w14:paraId="1F01C9BB" w14:textId="6D152168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41" w:type="dxa"/>
            <w:noWrap/>
            <w:vAlign w:val="center"/>
          </w:tcPr>
          <w:p w14:paraId="22A4C30F" w14:textId="5EAF74A3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76825</w:t>
            </w:r>
          </w:p>
        </w:tc>
        <w:tc>
          <w:tcPr>
            <w:tcW w:w="1116" w:type="dxa"/>
            <w:noWrap/>
            <w:vAlign w:val="center"/>
          </w:tcPr>
          <w:p w14:paraId="25DBCBCD" w14:textId="0C1A7399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3073</w:t>
            </w:r>
          </w:p>
        </w:tc>
        <w:tc>
          <w:tcPr>
            <w:tcW w:w="1009" w:type="dxa"/>
            <w:noWrap/>
            <w:vAlign w:val="center"/>
          </w:tcPr>
          <w:p w14:paraId="7C263788" w14:textId="6DD17B03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600003</w:t>
            </w:r>
          </w:p>
        </w:tc>
        <w:tc>
          <w:tcPr>
            <w:tcW w:w="941" w:type="dxa"/>
            <w:noWrap/>
            <w:vAlign w:val="center"/>
          </w:tcPr>
          <w:p w14:paraId="612D6839" w14:textId="18691868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0.51%</w:t>
            </w:r>
          </w:p>
        </w:tc>
        <w:tc>
          <w:tcPr>
            <w:tcW w:w="941" w:type="dxa"/>
            <w:noWrap/>
            <w:vAlign w:val="center"/>
          </w:tcPr>
          <w:p w14:paraId="26042A4D" w14:textId="12D9FA11" w:rsidR="00227B52" w:rsidRPr="004B4CE7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6.15%</w:t>
            </w:r>
          </w:p>
        </w:tc>
      </w:tr>
      <w:tr w:rsidR="00227B52" w:rsidRPr="00EC7AE6" w14:paraId="068DC621" w14:textId="77777777" w:rsidTr="00227B52">
        <w:trPr>
          <w:trHeight w:val="320"/>
        </w:trPr>
        <w:tc>
          <w:tcPr>
            <w:tcW w:w="1796" w:type="dxa"/>
            <w:vMerge/>
            <w:vAlign w:val="center"/>
          </w:tcPr>
          <w:p w14:paraId="00412EBD" w14:textId="77777777" w:rsidR="00227B52" w:rsidRPr="00EC7AE6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</w:tcPr>
          <w:p w14:paraId="5FAAB757" w14:textId="0AE4402C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3/2/26</w:t>
            </w:r>
          </w:p>
        </w:tc>
        <w:tc>
          <w:tcPr>
            <w:tcW w:w="941" w:type="dxa"/>
            <w:noWrap/>
            <w:vAlign w:val="center"/>
          </w:tcPr>
          <w:p w14:paraId="334864AB" w14:textId="717E8709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0.04</w:t>
            </w:r>
          </w:p>
        </w:tc>
        <w:tc>
          <w:tcPr>
            <w:tcW w:w="941" w:type="dxa"/>
            <w:noWrap/>
            <w:vAlign w:val="center"/>
          </w:tcPr>
          <w:p w14:paraId="7B4AB0BC" w14:textId="1E0F672C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76825</w:t>
            </w:r>
          </w:p>
        </w:tc>
        <w:tc>
          <w:tcPr>
            <w:tcW w:w="1116" w:type="dxa"/>
            <w:noWrap/>
            <w:vAlign w:val="center"/>
          </w:tcPr>
          <w:p w14:paraId="7B6B1A79" w14:textId="4FF5C30C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3073</w:t>
            </w:r>
          </w:p>
        </w:tc>
        <w:tc>
          <w:tcPr>
            <w:tcW w:w="1009" w:type="dxa"/>
            <w:noWrap/>
            <w:vAlign w:val="center"/>
          </w:tcPr>
          <w:p w14:paraId="56E38FAA" w14:textId="224888D0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600003</w:t>
            </w:r>
          </w:p>
        </w:tc>
        <w:tc>
          <w:tcPr>
            <w:tcW w:w="941" w:type="dxa"/>
            <w:noWrap/>
            <w:vAlign w:val="center"/>
          </w:tcPr>
          <w:p w14:paraId="730B4266" w14:textId="53B56B27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0.51%</w:t>
            </w:r>
          </w:p>
        </w:tc>
        <w:tc>
          <w:tcPr>
            <w:tcW w:w="941" w:type="dxa"/>
            <w:noWrap/>
            <w:vAlign w:val="center"/>
          </w:tcPr>
          <w:p w14:paraId="11FF3480" w14:textId="71DC9DF8" w:rsidR="00227B52" w:rsidRPr="004B4CE7" w:rsidRDefault="00227B52" w:rsidP="00227B52">
            <w:pPr>
              <w:jc w:val="center"/>
              <w:rPr>
                <w:rFonts w:ascii="KaiTi" w:eastAsia="KaiTi" w:hAnsi="KaiT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6.15%</w:t>
            </w:r>
          </w:p>
        </w:tc>
      </w:tr>
      <w:tr w:rsidR="00227B52" w:rsidRPr="00EC7AE6" w14:paraId="613A8707" w14:textId="77777777" w:rsidTr="00227B52">
        <w:trPr>
          <w:trHeight w:val="320"/>
        </w:trPr>
        <w:tc>
          <w:tcPr>
            <w:tcW w:w="1796" w:type="dxa"/>
            <w:vMerge w:val="restart"/>
            <w:noWrap/>
            <w:vAlign w:val="center"/>
            <w:hideMark/>
          </w:tcPr>
          <w:p w14:paraId="48243364" w14:textId="6DD327EC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Z17</w:t>
            </w:r>
            <w:r w:rsidRPr="00A51C67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Pr="00A51C67">
              <w:rPr>
                <w:rFonts w:ascii="KaiTi" w:eastAsia="KaiTi" w:hAnsi="KaiTi"/>
                <w:sz w:val="22"/>
                <w:szCs w:val="22"/>
              </w:rPr>
              <w:t>优质股权基金</w:t>
            </w:r>
          </w:p>
        </w:tc>
        <w:tc>
          <w:tcPr>
            <w:tcW w:w="1665" w:type="dxa"/>
            <w:noWrap/>
            <w:vAlign w:val="center"/>
            <w:hideMark/>
          </w:tcPr>
          <w:p w14:paraId="2FD4623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10/30/24</w:t>
            </w:r>
          </w:p>
        </w:tc>
        <w:tc>
          <w:tcPr>
            <w:tcW w:w="941" w:type="dxa"/>
            <w:noWrap/>
            <w:vAlign w:val="center"/>
            <w:hideMark/>
          </w:tcPr>
          <w:p w14:paraId="01C7A3A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1" w:type="dxa"/>
            <w:noWrap/>
            <w:vAlign w:val="center"/>
            <w:hideMark/>
          </w:tcPr>
          <w:p w14:paraId="62DD294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5986A30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009" w:type="dxa"/>
            <w:noWrap/>
            <w:vAlign w:val="center"/>
            <w:hideMark/>
          </w:tcPr>
          <w:p w14:paraId="1D29208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4DD1C4D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0379583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227B52" w:rsidRPr="00EC7AE6" w14:paraId="49668698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1D5B0F3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49631AC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11/28/24</w:t>
            </w:r>
          </w:p>
        </w:tc>
        <w:tc>
          <w:tcPr>
            <w:tcW w:w="941" w:type="dxa"/>
            <w:noWrap/>
            <w:vAlign w:val="center"/>
            <w:hideMark/>
          </w:tcPr>
          <w:p w14:paraId="7A080D4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1" w:type="dxa"/>
            <w:noWrap/>
            <w:vAlign w:val="center"/>
            <w:hideMark/>
          </w:tcPr>
          <w:p w14:paraId="21F3333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0A00A29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009" w:type="dxa"/>
            <w:noWrap/>
            <w:vAlign w:val="center"/>
            <w:hideMark/>
          </w:tcPr>
          <w:p w14:paraId="5569697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4800F84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68420FD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227B52" w:rsidRPr="00EC7AE6" w14:paraId="41FB4174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7D4646B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0C14B27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12/24/24</w:t>
            </w:r>
          </w:p>
        </w:tc>
        <w:tc>
          <w:tcPr>
            <w:tcW w:w="941" w:type="dxa"/>
            <w:noWrap/>
            <w:vAlign w:val="center"/>
            <w:hideMark/>
          </w:tcPr>
          <w:p w14:paraId="110FC8D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1" w:type="dxa"/>
            <w:noWrap/>
            <w:vAlign w:val="center"/>
            <w:hideMark/>
          </w:tcPr>
          <w:p w14:paraId="2599984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1072EAE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009" w:type="dxa"/>
            <w:noWrap/>
            <w:vAlign w:val="center"/>
            <w:hideMark/>
          </w:tcPr>
          <w:p w14:paraId="23A9777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375976E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7E34931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227B52" w:rsidRPr="00EC7AE6" w14:paraId="0BD01553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5F0ADB3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E8922F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41" w:type="dxa"/>
            <w:noWrap/>
            <w:vAlign w:val="center"/>
            <w:hideMark/>
          </w:tcPr>
          <w:p w14:paraId="2E0FA1A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1" w:type="dxa"/>
            <w:noWrap/>
            <w:vAlign w:val="center"/>
            <w:hideMark/>
          </w:tcPr>
          <w:p w14:paraId="28B9F69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0135ADB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1009" w:type="dxa"/>
            <w:noWrap/>
            <w:vAlign w:val="center"/>
            <w:hideMark/>
          </w:tcPr>
          <w:p w14:paraId="0355009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6F03AD6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7B1FBE2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227B52" w:rsidRPr="00EC7AE6" w14:paraId="27FFF3D1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48CEDB8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42C9BE9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2/28/25</w:t>
            </w:r>
          </w:p>
        </w:tc>
        <w:tc>
          <w:tcPr>
            <w:tcW w:w="941" w:type="dxa"/>
            <w:noWrap/>
            <w:vAlign w:val="center"/>
            <w:hideMark/>
          </w:tcPr>
          <w:p w14:paraId="50A15ED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1" w:type="dxa"/>
            <w:noWrap/>
            <w:vAlign w:val="center"/>
            <w:hideMark/>
          </w:tcPr>
          <w:p w14:paraId="59BFB8C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2B210C0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1009" w:type="dxa"/>
            <w:noWrap/>
            <w:vAlign w:val="center"/>
            <w:hideMark/>
          </w:tcPr>
          <w:p w14:paraId="2DD8336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5A39BB3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73D0B01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227B52" w:rsidRPr="00EC7AE6" w14:paraId="040933F1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213958D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012079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3/31/25</w:t>
            </w:r>
          </w:p>
        </w:tc>
        <w:tc>
          <w:tcPr>
            <w:tcW w:w="941" w:type="dxa"/>
            <w:noWrap/>
            <w:vAlign w:val="center"/>
            <w:hideMark/>
          </w:tcPr>
          <w:p w14:paraId="3EBB3E9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1" w:type="dxa"/>
            <w:noWrap/>
            <w:vAlign w:val="center"/>
            <w:hideMark/>
          </w:tcPr>
          <w:p w14:paraId="305D334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0284C70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1009" w:type="dxa"/>
            <w:noWrap/>
            <w:vAlign w:val="center"/>
            <w:hideMark/>
          </w:tcPr>
          <w:p w14:paraId="3AD4B6D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0D76C7F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20E1731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227B52" w:rsidRPr="00EC7AE6" w14:paraId="1ACC6FD9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701A5E5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EA14B5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4/30/25</w:t>
            </w:r>
          </w:p>
        </w:tc>
        <w:tc>
          <w:tcPr>
            <w:tcW w:w="941" w:type="dxa"/>
            <w:noWrap/>
            <w:vAlign w:val="center"/>
            <w:hideMark/>
          </w:tcPr>
          <w:p w14:paraId="4CD4942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1" w:type="dxa"/>
            <w:noWrap/>
            <w:vAlign w:val="center"/>
            <w:hideMark/>
          </w:tcPr>
          <w:p w14:paraId="1245BCC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1867A86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1009" w:type="dxa"/>
            <w:noWrap/>
            <w:vAlign w:val="center"/>
            <w:hideMark/>
          </w:tcPr>
          <w:p w14:paraId="5BB48BA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385D5DE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1" w:type="dxa"/>
            <w:noWrap/>
            <w:vAlign w:val="center"/>
            <w:hideMark/>
          </w:tcPr>
          <w:p w14:paraId="70E84C8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227B52" w:rsidRPr="00EC7AE6" w14:paraId="2DCEBF14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2FEB901B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7B041F1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5/30/25</w:t>
            </w:r>
          </w:p>
        </w:tc>
        <w:tc>
          <w:tcPr>
            <w:tcW w:w="941" w:type="dxa"/>
            <w:noWrap/>
            <w:vAlign w:val="center"/>
            <w:hideMark/>
          </w:tcPr>
          <w:p w14:paraId="6829B9E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1" w:type="dxa"/>
            <w:noWrap/>
            <w:vAlign w:val="center"/>
            <w:hideMark/>
          </w:tcPr>
          <w:p w14:paraId="23CDB93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26468AA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1009" w:type="dxa"/>
            <w:noWrap/>
            <w:vAlign w:val="center"/>
            <w:hideMark/>
          </w:tcPr>
          <w:p w14:paraId="7B43150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578B2D0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1" w:type="dxa"/>
            <w:noWrap/>
            <w:vAlign w:val="center"/>
            <w:hideMark/>
          </w:tcPr>
          <w:p w14:paraId="114C0E5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227B52" w:rsidRPr="00EC7AE6" w14:paraId="01D89B00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6F8520D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6149588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6/30/25</w:t>
            </w:r>
          </w:p>
        </w:tc>
        <w:tc>
          <w:tcPr>
            <w:tcW w:w="941" w:type="dxa"/>
            <w:noWrap/>
            <w:vAlign w:val="center"/>
            <w:hideMark/>
          </w:tcPr>
          <w:p w14:paraId="55D71CD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1" w:type="dxa"/>
            <w:noWrap/>
            <w:vAlign w:val="center"/>
            <w:hideMark/>
          </w:tcPr>
          <w:p w14:paraId="387B765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7377036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1009" w:type="dxa"/>
            <w:noWrap/>
            <w:vAlign w:val="center"/>
            <w:hideMark/>
          </w:tcPr>
          <w:p w14:paraId="37CB4C0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0D319EA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1" w:type="dxa"/>
            <w:noWrap/>
            <w:vAlign w:val="center"/>
            <w:hideMark/>
          </w:tcPr>
          <w:p w14:paraId="43A0909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227B52" w:rsidRPr="00EC7AE6" w14:paraId="12BEE6A7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6DBEF8C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525C04A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7/31/25</w:t>
            </w:r>
          </w:p>
        </w:tc>
        <w:tc>
          <w:tcPr>
            <w:tcW w:w="941" w:type="dxa"/>
            <w:noWrap/>
            <w:vAlign w:val="center"/>
            <w:hideMark/>
          </w:tcPr>
          <w:p w14:paraId="2F2C4BC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1" w:type="dxa"/>
            <w:noWrap/>
            <w:vAlign w:val="center"/>
            <w:hideMark/>
          </w:tcPr>
          <w:p w14:paraId="5163A61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76E8E02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1009" w:type="dxa"/>
            <w:noWrap/>
            <w:vAlign w:val="center"/>
            <w:hideMark/>
          </w:tcPr>
          <w:p w14:paraId="5EEB4F4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044CD88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1" w:type="dxa"/>
            <w:noWrap/>
            <w:vAlign w:val="center"/>
            <w:hideMark/>
          </w:tcPr>
          <w:p w14:paraId="131B209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227B52" w:rsidRPr="00EC7AE6" w14:paraId="374B9D8C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40A35050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544CD70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8/29/25</w:t>
            </w:r>
          </w:p>
        </w:tc>
        <w:tc>
          <w:tcPr>
            <w:tcW w:w="941" w:type="dxa"/>
            <w:noWrap/>
            <w:vAlign w:val="center"/>
            <w:hideMark/>
          </w:tcPr>
          <w:p w14:paraId="22E1990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1" w:type="dxa"/>
            <w:noWrap/>
            <w:vAlign w:val="center"/>
            <w:hideMark/>
          </w:tcPr>
          <w:p w14:paraId="43B7B26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7944CB1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1009" w:type="dxa"/>
            <w:noWrap/>
            <w:vAlign w:val="center"/>
            <w:hideMark/>
          </w:tcPr>
          <w:p w14:paraId="5F31680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0571F4C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1" w:type="dxa"/>
            <w:noWrap/>
            <w:vAlign w:val="center"/>
            <w:hideMark/>
          </w:tcPr>
          <w:p w14:paraId="7FC803E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227B52" w:rsidRPr="00EC7AE6" w14:paraId="296CBD56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6AE7E6D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5D8F9DEC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9/30/25</w:t>
            </w:r>
          </w:p>
        </w:tc>
        <w:tc>
          <w:tcPr>
            <w:tcW w:w="941" w:type="dxa"/>
            <w:noWrap/>
            <w:vAlign w:val="center"/>
            <w:hideMark/>
          </w:tcPr>
          <w:p w14:paraId="69AA3C1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1" w:type="dxa"/>
            <w:noWrap/>
            <w:vAlign w:val="center"/>
            <w:hideMark/>
          </w:tcPr>
          <w:p w14:paraId="42CFA0D5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3259F5DA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1009" w:type="dxa"/>
            <w:noWrap/>
            <w:vAlign w:val="center"/>
            <w:hideMark/>
          </w:tcPr>
          <w:p w14:paraId="40398A4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7A7BB19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1" w:type="dxa"/>
            <w:noWrap/>
            <w:vAlign w:val="center"/>
            <w:hideMark/>
          </w:tcPr>
          <w:p w14:paraId="765802B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227B52" w:rsidRPr="00EC7AE6" w14:paraId="02570180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4BA84F27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12F16CE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10/31/25</w:t>
            </w:r>
          </w:p>
        </w:tc>
        <w:tc>
          <w:tcPr>
            <w:tcW w:w="941" w:type="dxa"/>
            <w:noWrap/>
            <w:vAlign w:val="center"/>
            <w:hideMark/>
          </w:tcPr>
          <w:p w14:paraId="52EAA1D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1" w:type="dxa"/>
            <w:noWrap/>
            <w:vAlign w:val="center"/>
            <w:hideMark/>
          </w:tcPr>
          <w:p w14:paraId="0E4EC3F8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7EC0A9E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1009" w:type="dxa"/>
            <w:noWrap/>
            <w:vAlign w:val="center"/>
            <w:hideMark/>
          </w:tcPr>
          <w:p w14:paraId="4043E913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0851610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1" w:type="dxa"/>
            <w:noWrap/>
            <w:vAlign w:val="center"/>
            <w:hideMark/>
          </w:tcPr>
          <w:p w14:paraId="350455A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227B52" w:rsidRPr="00EC7AE6" w14:paraId="6576D4ED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5EE13B7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01B2B49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11/28/25</w:t>
            </w:r>
          </w:p>
        </w:tc>
        <w:tc>
          <w:tcPr>
            <w:tcW w:w="941" w:type="dxa"/>
            <w:noWrap/>
            <w:vAlign w:val="center"/>
            <w:hideMark/>
          </w:tcPr>
          <w:p w14:paraId="3FC6374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1" w:type="dxa"/>
            <w:noWrap/>
            <w:vAlign w:val="center"/>
            <w:hideMark/>
          </w:tcPr>
          <w:p w14:paraId="32448541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09B8D7E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1009" w:type="dxa"/>
            <w:noWrap/>
            <w:vAlign w:val="center"/>
            <w:hideMark/>
          </w:tcPr>
          <w:p w14:paraId="133F386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7B634A1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1" w:type="dxa"/>
            <w:noWrap/>
            <w:vAlign w:val="center"/>
            <w:hideMark/>
          </w:tcPr>
          <w:p w14:paraId="2B1F290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227B52" w:rsidRPr="004B4CE7" w14:paraId="2CF18862" w14:textId="77777777" w:rsidTr="00227B52">
        <w:trPr>
          <w:trHeight w:val="320"/>
        </w:trPr>
        <w:tc>
          <w:tcPr>
            <w:tcW w:w="1796" w:type="dxa"/>
            <w:vMerge/>
            <w:vAlign w:val="center"/>
            <w:hideMark/>
          </w:tcPr>
          <w:p w14:paraId="1AD375F2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  <w:hideMark/>
          </w:tcPr>
          <w:p w14:paraId="3D608354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12/31/25</w:t>
            </w:r>
          </w:p>
        </w:tc>
        <w:tc>
          <w:tcPr>
            <w:tcW w:w="941" w:type="dxa"/>
            <w:noWrap/>
            <w:vAlign w:val="center"/>
            <w:hideMark/>
          </w:tcPr>
          <w:p w14:paraId="3A9B131E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1" w:type="dxa"/>
            <w:noWrap/>
            <w:vAlign w:val="center"/>
            <w:hideMark/>
          </w:tcPr>
          <w:p w14:paraId="6A394B6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  <w:hideMark/>
          </w:tcPr>
          <w:p w14:paraId="330F7329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1009" w:type="dxa"/>
            <w:noWrap/>
            <w:vAlign w:val="center"/>
            <w:hideMark/>
          </w:tcPr>
          <w:p w14:paraId="72C1A836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  <w:hideMark/>
          </w:tcPr>
          <w:p w14:paraId="0A5F01ED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1" w:type="dxa"/>
            <w:noWrap/>
            <w:vAlign w:val="center"/>
            <w:hideMark/>
          </w:tcPr>
          <w:p w14:paraId="79D9A08F" w14:textId="77777777" w:rsidR="00227B52" w:rsidRPr="00EC7AE6" w:rsidRDefault="00227B52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227B52" w:rsidRPr="004B4CE7" w14:paraId="2FB14EB9" w14:textId="77777777" w:rsidTr="00227B52">
        <w:trPr>
          <w:trHeight w:val="320"/>
        </w:trPr>
        <w:tc>
          <w:tcPr>
            <w:tcW w:w="1796" w:type="dxa"/>
            <w:vMerge/>
            <w:vAlign w:val="center"/>
          </w:tcPr>
          <w:p w14:paraId="5D0A565A" w14:textId="77777777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</w:tcPr>
          <w:p w14:paraId="709F9761" w14:textId="1C4164FB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1/30/26</w:t>
            </w:r>
          </w:p>
        </w:tc>
        <w:tc>
          <w:tcPr>
            <w:tcW w:w="941" w:type="dxa"/>
            <w:noWrap/>
          </w:tcPr>
          <w:p w14:paraId="357F5887" w14:textId="08616316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1" w:type="dxa"/>
            <w:noWrap/>
          </w:tcPr>
          <w:p w14:paraId="71740948" w14:textId="25C3BD60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</w:tcPr>
          <w:p w14:paraId="0B9511FC" w14:textId="2595EF8F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1009" w:type="dxa"/>
            <w:noWrap/>
          </w:tcPr>
          <w:p w14:paraId="70DFA991" w14:textId="0F5DAB33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</w:tcPr>
          <w:p w14:paraId="4F790248" w14:textId="454ADC04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1" w:type="dxa"/>
            <w:noWrap/>
          </w:tcPr>
          <w:p w14:paraId="70595F7E" w14:textId="3D7C1AB6" w:rsidR="00227B52" w:rsidRPr="00EC7AE6" w:rsidRDefault="00227B52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227B52" w:rsidRPr="004B4CE7" w14:paraId="2B44BADA" w14:textId="77777777" w:rsidTr="00227B52">
        <w:trPr>
          <w:trHeight w:val="320"/>
        </w:trPr>
        <w:tc>
          <w:tcPr>
            <w:tcW w:w="1796" w:type="dxa"/>
            <w:vMerge/>
            <w:vAlign w:val="center"/>
          </w:tcPr>
          <w:p w14:paraId="6DEE3752" w14:textId="77777777" w:rsidR="00227B52" w:rsidRPr="00EC7AE6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65" w:type="dxa"/>
            <w:noWrap/>
            <w:vAlign w:val="center"/>
          </w:tcPr>
          <w:p w14:paraId="66CD2F1C" w14:textId="733B2BF2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2/27/26</w:t>
            </w:r>
          </w:p>
        </w:tc>
        <w:tc>
          <w:tcPr>
            <w:tcW w:w="941" w:type="dxa"/>
            <w:noWrap/>
            <w:vAlign w:val="center"/>
          </w:tcPr>
          <w:p w14:paraId="68953BC8" w14:textId="4011E571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0.0635</w:t>
            </w:r>
          </w:p>
        </w:tc>
        <w:tc>
          <w:tcPr>
            <w:tcW w:w="941" w:type="dxa"/>
            <w:noWrap/>
            <w:vAlign w:val="center"/>
          </w:tcPr>
          <w:p w14:paraId="4023561A" w14:textId="099BE391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6" w:type="dxa"/>
            <w:noWrap/>
            <w:vAlign w:val="center"/>
          </w:tcPr>
          <w:p w14:paraId="26AAF33F" w14:textId="3C75D80A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2816</w:t>
            </w:r>
          </w:p>
        </w:tc>
        <w:tc>
          <w:tcPr>
            <w:tcW w:w="1009" w:type="dxa"/>
            <w:noWrap/>
            <w:vAlign w:val="center"/>
          </w:tcPr>
          <w:p w14:paraId="07427C86" w14:textId="0FEDD17A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1" w:type="dxa"/>
            <w:noWrap/>
            <w:vAlign w:val="center"/>
          </w:tcPr>
          <w:p w14:paraId="1CAFE2D8" w14:textId="3189E0A1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0.70%</w:t>
            </w:r>
          </w:p>
        </w:tc>
        <w:tc>
          <w:tcPr>
            <w:tcW w:w="941" w:type="dxa"/>
            <w:noWrap/>
            <w:vAlign w:val="center"/>
          </w:tcPr>
          <w:p w14:paraId="229E3ADB" w14:textId="117B59E2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8.45%</w:t>
            </w:r>
          </w:p>
        </w:tc>
      </w:tr>
      <w:tr w:rsidR="00227B52" w:rsidRPr="00EC7AE6" w14:paraId="3BEECE29" w14:textId="77777777" w:rsidTr="00227B52">
        <w:trPr>
          <w:trHeight w:val="320"/>
        </w:trPr>
        <w:tc>
          <w:tcPr>
            <w:tcW w:w="5343" w:type="dxa"/>
            <w:gridSpan w:val="4"/>
            <w:noWrap/>
            <w:vAlign w:val="center"/>
            <w:hideMark/>
          </w:tcPr>
          <w:p w14:paraId="4909E9CC" w14:textId="77777777" w:rsidR="00227B52" w:rsidRPr="00EC7AE6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116" w:type="dxa"/>
            <w:noWrap/>
            <w:vAlign w:val="center"/>
            <w:hideMark/>
          </w:tcPr>
          <w:p w14:paraId="1C5B1AEB" w14:textId="4BF1C674" w:rsidR="00227B52" w:rsidRPr="004B4CE7" w:rsidRDefault="006F2D45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>
              <w:rPr>
                <w:rFonts w:ascii="KaiTi" w:eastAsia="KaiTi" w:hAnsi="KaiTi" w:hint="eastAsia"/>
                <w:sz w:val="22"/>
                <w:szCs w:val="22"/>
              </w:rPr>
              <w:t>92</w:t>
            </w:r>
            <w:r>
              <w:rPr>
                <w:rFonts w:ascii="KaiTi" w:eastAsia="KaiTi" w:hAnsi="KaiTi"/>
                <w:sz w:val="22"/>
                <w:szCs w:val="22"/>
              </w:rPr>
              <w:t>,</w:t>
            </w:r>
            <w:r>
              <w:rPr>
                <w:rFonts w:ascii="KaiTi" w:eastAsia="KaiTi" w:hAnsi="KaiTi" w:hint="eastAsia"/>
                <w:sz w:val="22"/>
                <w:szCs w:val="22"/>
              </w:rPr>
              <w:t>227</w:t>
            </w:r>
          </w:p>
        </w:tc>
        <w:tc>
          <w:tcPr>
            <w:tcW w:w="1009" w:type="dxa"/>
            <w:noWrap/>
            <w:vAlign w:val="center"/>
            <w:hideMark/>
          </w:tcPr>
          <w:p w14:paraId="6E245ABF" w14:textId="299FA886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999,995</w:t>
            </w:r>
          </w:p>
        </w:tc>
        <w:tc>
          <w:tcPr>
            <w:tcW w:w="941" w:type="dxa"/>
            <w:noWrap/>
            <w:vAlign w:val="center"/>
            <w:hideMark/>
          </w:tcPr>
          <w:p w14:paraId="03BA4621" w14:textId="1FEEF788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0.56%</w:t>
            </w:r>
          </w:p>
        </w:tc>
        <w:tc>
          <w:tcPr>
            <w:tcW w:w="941" w:type="dxa"/>
            <w:noWrap/>
            <w:vAlign w:val="center"/>
            <w:hideMark/>
          </w:tcPr>
          <w:p w14:paraId="1C211351" w14:textId="27E67A1C" w:rsidR="00227B52" w:rsidRPr="004B4CE7" w:rsidRDefault="00227B52" w:rsidP="00227B52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6F2D45">
              <w:rPr>
                <w:rFonts w:ascii="KaiTi" w:eastAsia="KaiTi" w:hAnsi="KaiTi"/>
                <w:sz w:val="22"/>
                <w:szCs w:val="22"/>
              </w:rPr>
              <w:t>6.73%</w:t>
            </w:r>
          </w:p>
        </w:tc>
      </w:tr>
    </w:tbl>
    <w:p w14:paraId="055CD7E7" w14:textId="77777777" w:rsidR="00742007" w:rsidRDefault="00742007" w:rsidP="00EC7AE6">
      <w:pPr>
        <w:rPr>
          <w:rFonts w:ascii="KaiTi" w:eastAsia="KaiTi" w:hAnsi="KaiTi"/>
        </w:rPr>
      </w:pPr>
      <w:r>
        <w:rPr>
          <w:rFonts w:ascii="KaiTi" w:eastAsia="KaiTi" w:hAnsi="KaiTi"/>
        </w:rPr>
        <w:t xml:space="preserve"> </w:t>
      </w:r>
    </w:p>
    <w:p w14:paraId="0BDCAAA8" w14:textId="21DF0F96" w:rsidR="00EC7AE6" w:rsidRPr="001E195B" w:rsidRDefault="00EC7AE6" w:rsidP="00EC7AE6">
      <w:pPr>
        <w:rPr>
          <w:rFonts w:ascii="KaiTi" w:eastAsia="KaiTi" w:hAnsi="KaiTi"/>
        </w:rPr>
      </w:pPr>
    </w:p>
    <w:sectPr w:rsidR="00EC7AE6" w:rsidRPr="001E195B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5C68" w14:textId="77777777" w:rsidR="000E5B2E" w:rsidRDefault="000E5B2E" w:rsidP="00EC7AE6">
      <w:pPr>
        <w:spacing w:after="0" w:line="240" w:lineRule="auto"/>
      </w:pPr>
      <w:r>
        <w:separator/>
      </w:r>
    </w:p>
  </w:endnote>
  <w:endnote w:type="continuationSeparator" w:id="0">
    <w:p w14:paraId="6C79D946" w14:textId="77777777" w:rsidR="000E5B2E" w:rsidRDefault="000E5B2E" w:rsidP="00EC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altName w:val="Microsoft JhengHei"/>
    <w:panose1 w:val="020B0400000000000000"/>
    <w:charset w:val="88"/>
    <w:family w:val="swiss"/>
    <w:pitch w:val="variable"/>
    <w:sig w:usb0="A0002AFF" w:usb1="7ACFFDFB" w:usb2="00000017" w:usb3="00000000" w:csb0="001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DB47" w14:textId="7CAFDD6C" w:rsidR="00EC7AE6" w:rsidRDefault="00EC7AE6">
    <w:pPr>
      <w:pStyle w:val="Footer"/>
    </w:pPr>
  </w:p>
  <w:p w14:paraId="62A544A7" w14:textId="77777777" w:rsidR="00EC7AE6" w:rsidRDefault="00EC7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721F" w14:textId="77777777" w:rsidR="000E5B2E" w:rsidRDefault="000E5B2E" w:rsidP="00EC7AE6">
      <w:pPr>
        <w:spacing w:after="0" w:line="240" w:lineRule="auto"/>
      </w:pPr>
      <w:r>
        <w:separator/>
      </w:r>
    </w:p>
  </w:footnote>
  <w:footnote w:type="continuationSeparator" w:id="0">
    <w:p w14:paraId="35AA9B66" w14:textId="77777777" w:rsidR="000E5B2E" w:rsidRDefault="000E5B2E" w:rsidP="00EC7AE6">
      <w:pPr>
        <w:spacing w:after="0" w:line="240" w:lineRule="auto"/>
      </w:pPr>
      <w:r>
        <w:continuationSeparator/>
      </w:r>
    </w:p>
  </w:footnote>
  <w:footnote w:id="1">
    <w:p w14:paraId="6E62D877" w14:textId="698239CE" w:rsidR="00A51C67" w:rsidRPr="00A51C67" w:rsidRDefault="00A51C67">
      <w:pPr>
        <w:pStyle w:val="FootnoteText"/>
        <w:rPr>
          <w:rFonts w:ascii="KaiTi" w:eastAsia="KaiTi" w:hAnsi="KaiTi"/>
        </w:rPr>
      </w:pPr>
      <w:r w:rsidRPr="00A51C67">
        <w:rPr>
          <w:rStyle w:val="FootnoteReference"/>
          <w:rFonts w:ascii="KaiTi" w:eastAsia="KaiTi" w:hAnsi="KaiTi"/>
        </w:rPr>
        <w:footnoteRef/>
      </w:r>
      <w:r w:rsidRPr="00A51C67">
        <w:rPr>
          <w:rFonts w:ascii="KaiTi" w:eastAsia="KaiTi" w:hAnsi="KaiTi"/>
        </w:rPr>
        <w:t xml:space="preserve"> </w:t>
      </w:r>
      <w:r w:rsidRPr="00A51C67">
        <w:rPr>
          <w:rFonts w:ascii="KaiTi" w:eastAsia="KaiTi" w:hAnsi="KaiTi" w:hint="eastAsia"/>
        </w:rPr>
        <w:t>近期人民币升值明显，汇率由7.2上升至6.9，为便于</w:t>
      </w:r>
      <w:r w:rsidR="004E1DA9">
        <w:rPr>
          <w:rFonts w:ascii="KaiTi" w:eastAsia="KaiTi" w:hAnsi="KaiTi" w:hint="eastAsia"/>
        </w:rPr>
        <w:t>展示</w:t>
      </w:r>
      <w:r w:rsidRPr="00A51C67">
        <w:rPr>
          <w:rFonts w:ascii="KaiTi" w:eastAsia="KaiTi" w:hAnsi="KaiTi" w:hint="eastAsia"/>
        </w:rPr>
        <w:t>，仍然采用汇率7.2。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30A"/>
    <w:multiLevelType w:val="multilevel"/>
    <w:tmpl w:val="E3C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D6E"/>
    <w:multiLevelType w:val="multilevel"/>
    <w:tmpl w:val="B39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324E"/>
    <w:multiLevelType w:val="multilevel"/>
    <w:tmpl w:val="155A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11BA"/>
    <w:multiLevelType w:val="multilevel"/>
    <w:tmpl w:val="7BC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F333D"/>
    <w:multiLevelType w:val="multilevel"/>
    <w:tmpl w:val="EC0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93D66"/>
    <w:multiLevelType w:val="multilevel"/>
    <w:tmpl w:val="81E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513B"/>
    <w:multiLevelType w:val="multilevel"/>
    <w:tmpl w:val="0E2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3797C"/>
    <w:multiLevelType w:val="multilevel"/>
    <w:tmpl w:val="AA6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94EE2"/>
    <w:multiLevelType w:val="multilevel"/>
    <w:tmpl w:val="F71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7044"/>
    <w:multiLevelType w:val="multilevel"/>
    <w:tmpl w:val="407E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33BA7"/>
    <w:multiLevelType w:val="multilevel"/>
    <w:tmpl w:val="8EC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94739"/>
    <w:multiLevelType w:val="multilevel"/>
    <w:tmpl w:val="14B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A2E7D"/>
    <w:multiLevelType w:val="multilevel"/>
    <w:tmpl w:val="455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911DD"/>
    <w:multiLevelType w:val="multilevel"/>
    <w:tmpl w:val="E2A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D0B74"/>
    <w:multiLevelType w:val="multilevel"/>
    <w:tmpl w:val="007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50231"/>
    <w:multiLevelType w:val="multilevel"/>
    <w:tmpl w:val="73D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47508"/>
    <w:multiLevelType w:val="multilevel"/>
    <w:tmpl w:val="236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5758F"/>
    <w:multiLevelType w:val="multilevel"/>
    <w:tmpl w:val="5F2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56D02"/>
    <w:multiLevelType w:val="multilevel"/>
    <w:tmpl w:val="8F6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E1485"/>
    <w:multiLevelType w:val="multilevel"/>
    <w:tmpl w:val="CBE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756CC"/>
    <w:multiLevelType w:val="multilevel"/>
    <w:tmpl w:val="178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B6BA9"/>
    <w:multiLevelType w:val="multilevel"/>
    <w:tmpl w:val="14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76C87"/>
    <w:multiLevelType w:val="multilevel"/>
    <w:tmpl w:val="AA94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E5F9E"/>
    <w:multiLevelType w:val="multilevel"/>
    <w:tmpl w:val="0E1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D335E"/>
    <w:multiLevelType w:val="multilevel"/>
    <w:tmpl w:val="AC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B5C06"/>
    <w:multiLevelType w:val="multilevel"/>
    <w:tmpl w:val="401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93586"/>
    <w:multiLevelType w:val="multilevel"/>
    <w:tmpl w:val="1E6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F1D07"/>
    <w:multiLevelType w:val="multilevel"/>
    <w:tmpl w:val="845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82667"/>
    <w:multiLevelType w:val="multilevel"/>
    <w:tmpl w:val="E95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CE7CB9"/>
    <w:multiLevelType w:val="multilevel"/>
    <w:tmpl w:val="563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41C9F"/>
    <w:multiLevelType w:val="multilevel"/>
    <w:tmpl w:val="6E6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2214B"/>
    <w:multiLevelType w:val="multilevel"/>
    <w:tmpl w:val="DF0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7357E"/>
    <w:multiLevelType w:val="multilevel"/>
    <w:tmpl w:val="C6D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E0A7B"/>
    <w:multiLevelType w:val="multilevel"/>
    <w:tmpl w:val="5E7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15844"/>
    <w:multiLevelType w:val="multilevel"/>
    <w:tmpl w:val="07B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3D5814"/>
    <w:multiLevelType w:val="multilevel"/>
    <w:tmpl w:val="8E2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52AAB"/>
    <w:multiLevelType w:val="multilevel"/>
    <w:tmpl w:val="3A4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3036B"/>
    <w:multiLevelType w:val="multilevel"/>
    <w:tmpl w:val="7A6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730EB"/>
    <w:multiLevelType w:val="multilevel"/>
    <w:tmpl w:val="DF4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96898"/>
    <w:multiLevelType w:val="multilevel"/>
    <w:tmpl w:val="B70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E718C5"/>
    <w:multiLevelType w:val="multilevel"/>
    <w:tmpl w:val="FD9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91176"/>
    <w:multiLevelType w:val="multilevel"/>
    <w:tmpl w:val="1422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0764D"/>
    <w:multiLevelType w:val="multilevel"/>
    <w:tmpl w:val="7A5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92884"/>
    <w:multiLevelType w:val="multilevel"/>
    <w:tmpl w:val="FF62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0340B"/>
    <w:multiLevelType w:val="multilevel"/>
    <w:tmpl w:val="A4B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A65667"/>
    <w:multiLevelType w:val="multilevel"/>
    <w:tmpl w:val="007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E11DC"/>
    <w:multiLevelType w:val="multilevel"/>
    <w:tmpl w:val="B13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DE1A4B"/>
    <w:multiLevelType w:val="multilevel"/>
    <w:tmpl w:val="CC1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463FA"/>
    <w:multiLevelType w:val="multilevel"/>
    <w:tmpl w:val="726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7047C"/>
    <w:multiLevelType w:val="multilevel"/>
    <w:tmpl w:val="733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5A4C52"/>
    <w:multiLevelType w:val="multilevel"/>
    <w:tmpl w:val="4BB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BE637B"/>
    <w:multiLevelType w:val="multilevel"/>
    <w:tmpl w:val="3E2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CE5D4A"/>
    <w:multiLevelType w:val="multilevel"/>
    <w:tmpl w:val="7A5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F5632"/>
    <w:multiLevelType w:val="multilevel"/>
    <w:tmpl w:val="063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02336"/>
    <w:multiLevelType w:val="multilevel"/>
    <w:tmpl w:val="04D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257537"/>
    <w:multiLevelType w:val="multilevel"/>
    <w:tmpl w:val="419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F2D46"/>
    <w:multiLevelType w:val="multilevel"/>
    <w:tmpl w:val="346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10397"/>
    <w:multiLevelType w:val="multilevel"/>
    <w:tmpl w:val="B7B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E50EB"/>
    <w:multiLevelType w:val="multilevel"/>
    <w:tmpl w:val="326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515AC6"/>
    <w:multiLevelType w:val="multilevel"/>
    <w:tmpl w:val="2F3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9605F1"/>
    <w:multiLevelType w:val="multilevel"/>
    <w:tmpl w:val="5A6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16E3B"/>
    <w:multiLevelType w:val="multilevel"/>
    <w:tmpl w:val="28B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1E2E5F"/>
    <w:multiLevelType w:val="multilevel"/>
    <w:tmpl w:val="665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8709C6"/>
    <w:multiLevelType w:val="multilevel"/>
    <w:tmpl w:val="594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143680">
    <w:abstractNumId w:val="0"/>
  </w:num>
  <w:num w:numId="2" w16cid:durableId="1161775489">
    <w:abstractNumId w:val="49"/>
  </w:num>
  <w:num w:numId="3" w16cid:durableId="1773091614">
    <w:abstractNumId w:val="3"/>
  </w:num>
  <w:num w:numId="4" w16cid:durableId="764301634">
    <w:abstractNumId w:val="10"/>
  </w:num>
  <w:num w:numId="5" w16cid:durableId="1614241814">
    <w:abstractNumId w:val="28"/>
  </w:num>
  <w:num w:numId="6" w16cid:durableId="510989577">
    <w:abstractNumId w:val="2"/>
  </w:num>
  <w:num w:numId="7" w16cid:durableId="1462310605">
    <w:abstractNumId w:val="63"/>
  </w:num>
  <w:num w:numId="8" w16cid:durableId="1319111985">
    <w:abstractNumId w:val="53"/>
  </w:num>
  <w:num w:numId="9" w16cid:durableId="720131891">
    <w:abstractNumId w:val="36"/>
  </w:num>
  <w:num w:numId="10" w16cid:durableId="537199792">
    <w:abstractNumId w:val="25"/>
  </w:num>
  <w:num w:numId="11" w16cid:durableId="864949470">
    <w:abstractNumId w:val="6"/>
  </w:num>
  <w:num w:numId="12" w16cid:durableId="854611205">
    <w:abstractNumId w:val="24"/>
  </w:num>
  <w:num w:numId="13" w16cid:durableId="425728792">
    <w:abstractNumId w:val="45"/>
  </w:num>
  <w:num w:numId="14" w16cid:durableId="1357002310">
    <w:abstractNumId w:val="21"/>
  </w:num>
  <w:num w:numId="15" w16cid:durableId="666634428">
    <w:abstractNumId w:val="51"/>
  </w:num>
  <w:num w:numId="16" w16cid:durableId="1551260617">
    <w:abstractNumId w:val="54"/>
  </w:num>
  <w:num w:numId="17" w16cid:durableId="1174371059">
    <w:abstractNumId w:val="46"/>
  </w:num>
  <w:num w:numId="18" w16cid:durableId="1249193515">
    <w:abstractNumId w:val="7"/>
  </w:num>
  <w:num w:numId="19" w16cid:durableId="1011420683">
    <w:abstractNumId w:val="44"/>
  </w:num>
  <w:num w:numId="20" w16cid:durableId="2029987868">
    <w:abstractNumId w:val="62"/>
  </w:num>
  <w:num w:numId="21" w16cid:durableId="2008366750">
    <w:abstractNumId w:val="17"/>
  </w:num>
  <w:num w:numId="22" w16cid:durableId="1582832290">
    <w:abstractNumId w:val="56"/>
  </w:num>
  <w:num w:numId="23" w16cid:durableId="366492023">
    <w:abstractNumId w:val="5"/>
  </w:num>
  <w:num w:numId="24" w16cid:durableId="1625623899">
    <w:abstractNumId w:val="40"/>
  </w:num>
  <w:num w:numId="25" w16cid:durableId="103158472">
    <w:abstractNumId w:val="12"/>
  </w:num>
  <w:num w:numId="26" w16cid:durableId="277833153">
    <w:abstractNumId w:val="39"/>
  </w:num>
  <w:num w:numId="27" w16cid:durableId="1623875741">
    <w:abstractNumId w:val="30"/>
  </w:num>
  <w:num w:numId="28" w16cid:durableId="751700887">
    <w:abstractNumId w:val="22"/>
  </w:num>
  <w:num w:numId="29" w16cid:durableId="1724061841">
    <w:abstractNumId w:val="23"/>
  </w:num>
  <w:num w:numId="30" w16cid:durableId="1958021142">
    <w:abstractNumId w:val="58"/>
  </w:num>
  <w:num w:numId="31" w16cid:durableId="1087581993">
    <w:abstractNumId w:val="52"/>
  </w:num>
  <w:num w:numId="32" w16cid:durableId="180045754">
    <w:abstractNumId w:val="13"/>
  </w:num>
  <w:num w:numId="33" w16cid:durableId="205265352">
    <w:abstractNumId w:val="18"/>
  </w:num>
  <w:num w:numId="34" w16cid:durableId="625742336">
    <w:abstractNumId w:val="41"/>
  </w:num>
  <w:num w:numId="35" w16cid:durableId="904799628">
    <w:abstractNumId w:val="61"/>
  </w:num>
  <w:num w:numId="36" w16cid:durableId="676423777">
    <w:abstractNumId w:val="27"/>
  </w:num>
  <w:num w:numId="37" w16cid:durableId="613096860">
    <w:abstractNumId w:val="16"/>
  </w:num>
  <w:num w:numId="38" w16cid:durableId="1697736017">
    <w:abstractNumId w:val="50"/>
  </w:num>
  <w:num w:numId="39" w16cid:durableId="1924221451">
    <w:abstractNumId w:val="31"/>
  </w:num>
  <w:num w:numId="40" w16cid:durableId="2112386698">
    <w:abstractNumId w:val="55"/>
  </w:num>
  <w:num w:numId="41" w16cid:durableId="135535303">
    <w:abstractNumId w:val="48"/>
  </w:num>
  <w:num w:numId="42" w16cid:durableId="433477895">
    <w:abstractNumId w:val="11"/>
  </w:num>
  <w:num w:numId="43" w16cid:durableId="467405992">
    <w:abstractNumId w:val="4"/>
  </w:num>
  <w:num w:numId="44" w16cid:durableId="1682663722">
    <w:abstractNumId w:val="19"/>
  </w:num>
  <w:num w:numId="45" w16cid:durableId="1647081720">
    <w:abstractNumId w:val="8"/>
  </w:num>
  <w:num w:numId="46" w16cid:durableId="1614052552">
    <w:abstractNumId w:val="29"/>
  </w:num>
  <w:num w:numId="47" w16cid:durableId="1452043836">
    <w:abstractNumId w:val="38"/>
  </w:num>
  <w:num w:numId="48" w16cid:durableId="557787277">
    <w:abstractNumId w:val="33"/>
  </w:num>
  <w:num w:numId="49" w16cid:durableId="1405374024">
    <w:abstractNumId w:val="32"/>
  </w:num>
  <w:num w:numId="50" w16cid:durableId="1189106508">
    <w:abstractNumId w:val="9"/>
  </w:num>
  <w:num w:numId="51" w16cid:durableId="1138184237">
    <w:abstractNumId w:val="60"/>
  </w:num>
  <w:num w:numId="52" w16cid:durableId="236014760">
    <w:abstractNumId w:val="37"/>
  </w:num>
  <w:num w:numId="53" w16cid:durableId="1334333356">
    <w:abstractNumId w:val="42"/>
  </w:num>
  <w:num w:numId="54" w16cid:durableId="958024406">
    <w:abstractNumId w:val="15"/>
  </w:num>
  <w:num w:numId="55" w16cid:durableId="1658606191">
    <w:abstractNumId w:val="59"/>
  </w:num>
  <w:num w:numId="56" w16cid:durableId="503008357">
    <w:abstractNumId w:val="26"/>
  </w:num>
  <w:num w:numId="57" w16cid:durableId="1098912839">
    <w:abstractNumId w:val="34"/>
  </w:num>
  <w:num w:numId="58" w16cid:durableId="2075658365">
    <w:abstractNumId w:val="14"/>
  </w:num>
  <w:num w:numId="59" w16cid:durableId="1040975320">
    <w:abstractNumId w:val="35"/>
  </w:num>
  <w:num w:numId="60" w16cid:durableId="1908296799">
    <w:abstractNumId w:val="57"/>
  </w:num>
  <w:num w:numId="61" w16cid:durableId="1734235120">
    <w:abstractNumId w:val="47"/>
  </w:num>
  <w:num w:numId="62" w16cid:durableId="2018380284">
    <w:abstractNumId w:val="43"/>
  </w:num>
  <w:num w:numId="63" w16cid:durableId="533422721">
    <w:abstractNumId w:val="20"/>
  </w:num>
  <w:num w:numId="64" w16cid:durableId="112669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75"/>
    <w:rsid w:val="000E5B2E"/>
    <w:rsid w:val="00137817"/>
    <w:rsid w:val="00147451"/>
    <w:rsid w:val="00192496"/>
    <w:rsid w:val="001E195B"/>
    <w:rsid w:val="00227B52"/>
    <w:rsid w:val="002706A9"/>
    <w:rsid w:val="0038461C"/>
    <w:rsid w:val="00392CCD"/>
    <w:rsid w:val="003F569D"/>
    <w:rsid w:val="00423DC9"/>
    <w:rsid w:val="0043286C"/>
    <w:rsid w:val="00497011"/>
    <w:rsid w:val="004B2948"/>
    <w:rsid w:val="004B31FD"/>
    <w:rsid w:val="004B4CE7"/>
    <w:rsid w:val="004E1DA9"/>
    <w:rsid w:val="005B31CE"/>
    <w:rsid w:val="006F0502"/>
    <w:rsid w:val="006F2D45"/>
    <w:rsid w:val="00706A02"/>
    <w:rsid w:val="00742007"/>
    <w:rsid w:val="007F22B7"/>
    <w:rsid w:val="00842F7A"/>
    <w:rsid w:val="008541D9"/>
    <w:rsid w:val="00957B84"/>
    <w:rsid w:val="00A51C67"/>
    <w:rsid w:val="00A9489B"/>
    <w:rsid w:val="00AA40F5"/>
    <w:rsid w:val="00B470CE"/>
    <w:rsid w:val="00B6030F"/>
    <w:rsid w:val="00C26CE7"/>
    <w:rsid w:val="00C46870"/>
    <w:rsid w:val="00CF5C82"/>
    <w:rsid w:val="00D17075"/>
    <w:rsid w:val="00D73485"/>
    <w:rsid w:val="00D90DAE"/>
    <w:rsid w:val="00DE3377"/>
    <w:rsid w:val="00DF7139"/>
    <w:rsid w:val="00E26F5C"/>
    <w:rsid w:val="00EC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A6E7"/>
  <w15:chartTrackingRefBased/>
  <w15:docId w15:val="{1D16F770-913E-9446-96F7-EB3892F5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F5"/>
  </w:style>
  <w:style w:type="paragraph" w:styleId="Heading1">
    <w:name w:val="heading 1"/>
    <w:basedOn w:val="Normal"/>
    <w:next w:val="Normal"/>
    <w:link w:val="Heading1Char"/>
    <w:uiPriority w:val="9"/>
    <w:qFormat/>
    <w:rsid w:val="00D1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17075"/>
  </w:style>
  <w:style w:type="paragraph" w:customStyle="1" w:styleId="p3">
    <w:name w:val="p3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7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AE6"/>
  </w:style>
  <w:style w:type="paragraph" w:styleId="Footer">
    <w:name w:val="footer"/>
    <w:basedOn w:val="Normal"/>
    <w:link w:val="FooterChar"/>
    <w:uiPriority w:val="99"/>
    <w:unhideWhenUsed/>
    <w:rsid w:val="00EC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AE6"/>
  </w:style>
  <w:style w:type="paragraph" w:styleId="FootnoteText">
    <w:name w:val="footnote text"/>
    <w:basedOn w:val="Normal"/>
    <w:link w:val="FootnoteTextChar"/>
    <w:uiPriority w:val="99"/>
    <w:semiHidden/>
    <w:unhideWhenUsed/>
    <w:rsid w:val="00EC7A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7A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7AE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A4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0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2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92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889C2B-8600-5D4C-BDFC-60C005D7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2522</Words>
  <Characters>3407</Characters>
  <Application>Microsoft Office Word</Application>
  <DocSecurity>0</DocSecurity>
  <Lines>309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7</cp:revision>
  <dcterms:created xsi:type="dcterms:W3CDTF">2026-03-28T02:14:00Z</dcterms:created>
  <dcterms:modified xsi:type="dcterms:W3CDTF">2026-03-28T12:56:00Z</dcterms:modified>
</cp:coreProperties>
</file>