
<file path=[Content_Types].xml><?xml version="1.0" encoding="utf-8"?>
<Types xmlns="http://schemas.openxmlformats.org/package/2006/content-types">
  <Default Extension="emf" ContentType="image/x-emf"/>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345F" w14:textId="77777777" w:rsidR="009C5CB2" w:rsidRDefault="009C5CB2"/>
    <w:p w14:paraId="4FCA1140" w14:textId="6612F1D7" w:rsidR="00A07C6F" w:rsidRPr="00A07C6F" w:rsidRDefault="00A07C6F" w:rsidP="00A07C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7C6F">
        <w:rPr>
          <w:rFonts w:ascii="Times New Roman" w:eastAsia="Times New Roman" w:hAnsi="Times New Roman" w:cs="Times New Roman"/>
          <w:b/>
          <w:bCs/>
          <w:kern w:val="0"/>
          <w:sz w:val="36"/>
          <w:szCs w:val="36"/>
          <w14:ligatures w14:val="none"/>
        </w:rPr>
        <w:t xml:space="preserve"> </w:t>
      </w:r>
      <w:r w:rsidRPr="00A07C6F">
        <w:rPr>
          <w:rFonts w:ascii="PingFang TC" w:eastAsia="PingFang TC" w:hAnsi="PingFang TC" w:cs="PingFang TC" w:hint="eastAsia"/>
          <w:b/>
          <w:bCs/>
          <w:kern w:val="0"/>
          <w:sz w:val="36"/>
          <w:szCs w:val="36"/>
          <w14:ligatures w14:val="none"/>
        </w:rPr>
        <w:t>旺达财智客户月报（</w:t>
      </w:r>
      <w:r w:rsidRPr="00A07C6F">
        <w:rPr>
          <w:rFonts w:ascii="Times New Roman" w:eastAsia="Times New Roman" w:hAnsi="Times New Roman" w:cs="Times New Roman"/>
          <w:b/>
          <w:bCs/>
          <w:kern w:val="0"/>
          <w:sz w:val="36"/>
          <w:szCs w:val="36"/>
          <w14:ligatures w14:val="none"/>
        </w:rPr>
        <w:t>2025</w:t>
      </w:r>
      <w:r w:rsidRPr="00A07C6F">
        <w:rPr>
          <w:rFonts w:ascii="PingFang TC" w:eastAsia="PingFang TC" w:hAnsi="PingFang TC" w:cs="PingFang TC" w:hint="eastAsia"/>
          <w:b/>
          <w:bCs/>
          <w:kern w:val="0"/>
          <w:sz w:val="36"/>
          <w:szCs w:val="36"/>
          <w14:ligatures w14:val="none"/>
        </w:rPr>
        <w:t>年</w:t>
      </w:r>
      <w:r w:rsidR="00A73FEB">
        <w:rPr>
          <w:rFonts w:ascii="Times New Roman" w:eastAsia="Times New Roman" w:hAnsi="Times New Roman" w:cs="Times New Roman" w:hint="eastAsia"/>
          <w:b/>
          <w:bCs/>
          <w:kern w:val="0"/>
          <w:sz w:val="36"/>
          <w:szCs w:val="36"/>
          <w14:ligatures w14:val="none"/>
        </w:rPr>
        <w:t>5</w:t>
      </w:r>
      <w:r w:rsidRPr="00A07C6F">
        <w:rPr>
          <w:rFonts w:ascii="PingFang TC" w:eastAsia="PingFang TC" w:hAnsi="PingFang TC" w:cs="PingFang TC" w:hint="eastAsia"/>
          <w:b/>
          <w:bCs/>
          <w:kern w:val="0"/>
          <w:sz w:val="36"/>
          <w:szCs w:val="36"/>
          <w14:ligatures w14:val="none"/>
        </w:rPr>
        <w:t>月</w:t>
      </w:r>
      <w:r w:rsidRPr="00A07C6F">
        <w:rPr>
          <w:rFonts w:ascii="PingFang TC" w:eastAsia="PingFang TC" w:hAnsi="PingFang TC" w:cs="PingFang TC"/>
          <w:b/>
          <w:bCs/>
          <w:kern w:val="0"/>
          <w:sz w:val="36"/>
          <w:szCs w:val="36"/>
          <w14:ligatures w14:val="none"/>
        </w:rPr>
        <w:t>）</w:t>
      </w:r>
    </w:p>
    <w:p w14:paraId="16049B9F"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09F4CC53" w14:textId="3A4FFFF3"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亲爱的客户朋友</w:t>
      </w:r>
      <w:r w:rsidRPr="00D96041">
        <w:rPr>
          <w:rFonts w:ascii="KaiTi" w:eastAsia="KaiTi" w:hAnsi="KaiTi" w:cs="PingFang TC"/>
          <w:kern w:val="0"/>
          <w14:ligatures w14:val="none"/>
        </w:rPr>
        <w:t>：</w:t>
      </w:r>
    </w:p>
    <w:p w14:paraId="1A2818B7" w14:textId="61B762E2" w:rsidR="00EB08D8" w:rsidRDefault="00EB08D8" w:rsidP="00EB08D8">
      <w:pPr>
        <w:spacing w:after="0" w:line="240" w:lineRule="auto"/>
        <w:rPr>
          <w:rFonts w:ascii="KaiTi" w:eastAsia="KaiTi" w:hAnsi="KaiTi" w:cs="PingFang TC"/>
          <w:kern w:val="0"/>
          <w14:ligatures w14:val="none"/>
        </w:rPr>
      </w:pPr>
      <w:r w:rsidRPr="00EB08D8">
        <w:rPr>
          <w:rFonts w:ascii="KaiTi" w:eastAsia="KaiTi" w:hAnsi="KaiTi" w:cs="PingFang TC" w:hint="eastAsia"/>
          <w:kern w:val="0"/>
          <w14:ligatures w14:val="none"/>
        </w:rPr>
        <w:t>在4月份的过山车行情之后，5月份得到了些许慰藉。在美元、美股和美债“三杀”的背景声中，5月份标普500指数反弹4.2%，纳斯达克指数上涨7.4%</w:t>
      </w:r>
      <w:r>
        <w:rPr>
          <w:rFonts w:ascii="KaiTi" w:eastAsia="KaiTi" w:hAnsi="KaiTi" w:cs="PingFang TC" w:hint="eastAsia"/>
          <w:kern w:val="0"/>
          <w14:ligatures w14:val="none"/>
        </w:rPr>
        <w:t>。</w:t>
      </w:r>
    </w:p>
    <w:p w14:paraId="115D68CF" w14:textId="77777777" w:rsidR="00EB08D8" w:rsidRDefault="00EB08D8" w:rsidP="00EB08D8">
      <w:pPr>
        <w:spacing w:after="0" w:line="240" w:lineRule="auto"/>
        <w:rPr>
          <w:rFonts w:ascii="KaiTi" w:eastAsia="KaiTi" w:hAnsi="KaiTi" w:cs="PingFang TC"/>
          <w:kern w:val="0"/>
          <w14:ligatures w14:val="none"/>
        </w:rPr>
      </w:pPr>
    </w:p>
    <w:p w14:paraId="2B319396" w14:textId="57D752EC" w:rsidR="00EB08D8" w:rsidRDefault="00EB08D8" w:rsidP="00EB08D8">
      <w:pPr>
        <w:spacing w:after="0" w:line="240" w:lineRule="auto"/>
        <w:rPr>
          <w:rFonts w:ascii="KaiTi" w:eastAsia="KaiTi" w:hAnsi="KaiTi" w:cs="PingFang TC"/>
          <w:kern w:val="0"/>
          <w14:ligatures w14:val="none"/>
        </w:rPr>
      </w:pPr>
      <w:r>
        <w:rPr>
          <w:rFonts w:ascii="KaiTi" w:eastAsia="KaiTi" w:hAnsi="KaiTi" w:cs="PingFang TC" w:hint="eastAsia"/>
          <w:kern w:val="0"/>
          <w14:ligatures w14:val="none"/>
        </w:rPr>
        <w:t>中美关税战缓和，美国核心CPI数据符合预期，标普500指数中超过四分之三的公司一季度盈利超预期。</w:t>
      </w:r>
    </w:p>
    <w:p w14:paraId="444A14F8" w14:textId="77777777" w:rsidR="00EB08D8" w:rsidRDefault="00EB08D8" w:rsidP="00EB08D8">
      <w:pPr>
        <w:spacing w:after="0" w:line="240" w:lineRule="auto"/>
        <w:rPr>
          <w:rFonts w:ascii="KaiTi" w:eastAsia="KaiTi" w:hAnsi="KaiTi" w:cs="PingFang TC"/>
          <w:kern w:val="0"/>
          <w14:ligatures w14:val="none"/>
        </w:rPr>
      </w:pPr>
    </w:p>
    <w:p w14:paraId="20CA4F62" w14:textId="3DDFE99F" w:rsidR="00EB08D8" w:rsidRDefault="00EB08D8" w:rsidP="00EB08D8">
      <w:pPr>
        <w:spacing w:after="0" w:line="240" w:lineRule="auto"/>
        <w:rPr>
          <w:rFonts w:ascii="KaiTi" w:eastAsia="KaiTi" w:hAnsi="KaiTi" w:cs="PingFang TC"/>
          <w:kern w:val="0"/>
          <w14:ligatures w14:val="none"/>
        </w:rPr>
      </w:pPr>
      <w:r>
        <w:rPr>
          <w:rFonts w:ascii="KaiTi" w:eastAsia="KaiTi" w:hAnsi="KaiTi" w:cs="PingFang TC" w:hint="eastAsia"/>
          <w:kern w:val="0"/>
          <w14:ligatures w14:val="none"/>
        </w:rPr>
        <w:t>香港证券市场又出现了难得的IPO热潮，宁德时代、恒瑞医药等A股公司二次上市掀起打新热潮。</w:t>
      </w:r>
    </w:p>
    <w:p w14:paraId="25593FB6" w14:textId="77777777" w:rsidR="001D4EDF" w:rsidRDefault="001D4EDF" w:rsidP="00EB08D8">
      <w:pPr>
        <w:spacing w:after="0" w:line="240" w:lineRule="auto"/>
        <w:rPr>
          <w:rFonts w:ascii="KaiTi" w:eastAsia="KaiTi" w:hAnsi="KaiTi" w:cs="PingFang TC"/>
          <w:kern w:val="0"/>
          <w14:ligatures w14:val="none"/>
        </w:rPr>
      </w:pPr>
    </w:p>
    <w:p w14:paraId="6AE7F279" w14:textId="032D16D2" w:rsidR="001D4EDF" w:rsidRPr="001D4EDF" w:rsidRDefault="001D4EDF" w:rsidP="001D4EDF">
      <w:pPr>
        <w:spacing w:after="0" w:line="240" w:lineRule="auto"/>
        <w:rPr>
          <w:rFonts w:ascii="KaiTi" w:eastAsia="KaiTi" w:hAnsi="KaiTi" w:cs="PingFang TC"/>
          <w:kern w:val="0"/>
          <w14:ligatures w14:val="none"/>
        </w:rPr>
      </w:pPr>
      <w:r>
        <w:rPr>
          <w:rFonts w:ascii="KaiTi" w:eastAsia="KaiTi" w:hAnsi="KaiTi" w:cs="PingFang TC" w:hint="eastAsia"/>
          <w:kern w:val="0"/>
          <w14:ligatures w14:val="none"/>
        </w:rPr>
        <w:t>四</w:t>
      </w:r>
      <w:r w:rsidRPr="001D4EDF">
        <w:rPr>
          <w:rFonts w:ascii="KaiTi" w:eastAsia="KaiTi" w:hAnsi="KaiTi" w:cs="PingFang TC" w:hint="eastAsia"/>
          <w:kern w:val="0"/>
          <w14:ligatures w14:val="none"/>
        </w:rPr>
        <w:t>月</w:t>
      </w:r>
      <w:r w:rsidRPr="001D4EDF">
        <w:rPr>
          <w:rFonts w:ascii="KaiTi" w:eastAsia="KaiTi" w:hAnsi="KaiTi" w:cs="PingFang TC"/>
          <w:kern w:val="0"/>
          <w14:ligatures w14:val="none"/>
        </w:rPr>
        <w:t>末，我带着孩子</w:t>
      </w:r>
      <w:r>
        <w:rPr>
          <w:rFonts w:ascii="KaiTi" w:eastAsia="KaiTi" w:hAnsi="KaiTi" w:cs="PingFang TC" w:hint="eastAsia"/>
          <w:kern w:val="0"/>
          <w14:ligatures w14:val="none"/>
        </w:rPr>
        <w:t>去美国</w:t>
      </w:r>
      <w:r w:rsidRPr="001D4EDF">
        <w:rPr>
          <w:rFonts w:ascii="KaiTi" w:eastAsia="KaiTi" w:hAnsi="KaiTi" w:cs="PingFang TC"/>
          <w:kern w:val="0"/>
          <w14:ligatures w14:val="none"/>
        </w:rPr>
        <w:t>宾夕法尼亚</w:t>
      </w:r>
      <w:r>
        <w:rPr>
          <w:rFonts w:ascii="KaiTi" w:eastAsia="KaiTi" w:hAnsi="KaiTi" w:cs="PingFang TC" w:hint="eastAsia"/>
          <w:kern w:val="0"/>
          <w14:ligatures w14:val="none"/>
        </w:rPr>
        <w:t>洲的</w:t>
      </w:r>
      <w:r w:rsidR="004517D6">
        <w:rPr>
          <w:rFonts w:ascii="KaiTi" w:eastAsia="KaiTi" w:hAnsi="KaiTi" w:cs="PingFang TC" w:hint="eastAsia"/>
          <w:kern w:val="0"/>
          <w14:ligatures w14:val="none"/>
        </w:rPr>
        <w:t>Mercersburg Academy</w:t>
      </w:r>
      <w:r w:rsidRPr="001D4EDF">
        <w:rPr>
          <w:rFonts w:ascii="KaiTi" w:eastAsia="KaiTi" w:hAnsi="KaiTi" w:cs="PingFang TC" w:hint="eastAsia"/>
          <w:kern w:val="0"/>
          <w14:ligatures w14:val="none"/>
        </w:rPr>
        <w:t>参</w:t>
      </w:r>
      <w:r w:rsidRPr="001D4EDF">
        <w:rPr>
          <w:rFonts w:ascii="KaiTi" w:eastAsia="KaiTi" w:hAnsi="KaiTi" w:cs="PingFang TC"/>
          <w:kern w:val="0"/>
          <w14:ligatures w14:val="none"/>
        </w:rPr>
        <w:t>加比赛，一路奔波，也是一趟收获颇多的旅行。</w:t>
      </w:r>
    </w:p>
    <w:p w14:paraId="5F4DFD52" w14:textId="77777777" w:rsidR="001D4EDF" w:rsidRPr="001D4EDF" w:rsidRDefault="001D4EDF" w:rsidP="001D4EDF">
      <w:pPr>
        <w:spacing w:after="0" w:line="240" w:lineRule="auto"/>
        <w:rPr>
          <w:rFonts w:ascii="KaiTi" w:eastAsia="KaiTi" w:hAnsi="KaiTi" w:cs="PingFang TC"/>
          <w:kern w:val="0"/>
          <w14:ligatures w14:val="none"/>
        </w:rPr>
      </w:pPr>
    </w:p>
    <w:p w14:paraId="4DFC2C3F" w14:textId="77777777" w:rsidR="001D4EDF" w:rsidRDefault="001D4EDF" w:rsidP="001D4EDF">
      <w:pPr>
        <w:spacing w:after="0" w:line="240" w:lineRule="auto"/>
        <w:rPr>
          <w:rFonts w:ascii="KaiTi" w:eastAsia="KaiTi" w:hAnsi="KaiTi" w:cs="PingFang TC"/>
          <w:kern w:val="0"/>
          <w14:ligatures w14:val="none"/>
        </w:rPr>
      </w:pPr>
      <w:r w:rsidRPr="001D4EDF">
        <w:rPr>
          <w:rFonts w:ascii="KaiTi" w:eastAsia="KaiTi" w:hAnsi="KaiTi" w:cs="PingFang TC"/>
          <w:kern w:val="0"/>
          <w14:ligatures w14:val="none"/>
        </w:rPr>
        <w:t>在乡间小镇，四月天的风和日丽让人心情平静。</w:t>
      </w:r>
    </w:p>
    <w:p w14:paraId="7F3EE224" w14:textId="77777777" w:rsidR="001D4EDF" w:rsidRPr="001D4EDF" w:rsidRDefault="001D4EDF" w:rsidP="001D4EDF">
      <w:pPr>
        <w:spacing w:after="0" w:line="240" w:lineRule="auto"/>
        <w:rPr>
          <w:rFonts w:ascii="KaiTi" w:eastAsia="KaiTi" w:hAnsi="KaiTi" w:cs="PingFang TC"/>
          <w:kern w:val="0"/>
          <w14:ligatures w14:val="none"/>
        </w:rPr>
      </w:pPr>
    </w:p>
    <w:p w14:paraId="2A767850" w14:textId="77777777" w:rsidR="001D4EDF" w:rsidRDefault="001D4EDF" w:rsidP="001D4EDF">
      <w:pPr>
        <w:spacing w:after="0" w:line="240" w:lineRule="auto"/>
        <w:rPr>
          <w:rFonts w:ascii="KaiTi" w:eastAsia="KaiTi" w:hAnsi="KaiTi" w:cs="PingFang TC"/>
          <w:kern w:val="0"/>
          <w14:ligatures w14:val="none"/>
        </w:rPr>
      </w:pPr>
      <w:r w:rsidRPr="001D4EDF">
        <w:rPr>
          <w:rFonts w:ascii="KaiTi" w:eastAsia="KaiTi" w:hAnsi="KaiTi" w:cs="PingFang TC"/>
          <w:kern w:val="0"/>
          <w14:ligatures w14:val="none"/>
        </w:rPr>
        <w:t>纽约仍旧热闹，</w:t>
      </w:r>
      <w:r w:rsidRPr="001D4EDF">
        <w:rPr>
          <w:rFonts w:ascii="KaiTi" w:eastAsia="KaiTi" w:hAnsi="KaiTi" w:cs="PingFang TC"/>
          <w:b/>
          <w:bCs/>
          <w:kern w:val="0"/>
          <w14:ligatures w14:val="none"/>
        </w:rPr>
        <w:t>各色人种交汇，街头的活力扑面而来</w:t>
      </w:r>
      <w:r w:rsidRPr="001D4EDF">
        <w:rPr>
          <w:rFonts w:ascii="KaiTi" w:eastAsia="KaiTi" w:hAnsi="KaiTi" w:cs="PingFang TC"/>
          <w:kern w:val="0"/>
          <w14:ligatures w14:val="none"/>
        </w:rPr>
        <w:t>。地铁和城际铁路虽设施老旧，却运作有序、高效——地铁进出迅捷，火车上只需简易验票，反倒比我们熟悉的北京、上海更省心些。只是整体人流量相比亚洲大城，少了几分喧嚣，多了几分松弛。</w:t>
      </w:r>
    </w:p>
    <w:p w14:paraId="68A19B55" w14:textId="77777777" w:rsidR="001D4EDF" w:rsidRDefault="001D4EDF" w:rsidP="001D4EDF">
      <w:pPr>
        <w:spacing w:after="0" w:line="240" w:lineRule="auto"/>
        <w:rPr>
          <w:rFonts w:ascii="KaiTi" w:eastAsia="KaiTi" w:hAnsi="KaiTi" w:cs="PingFang TC"/>
          <w:kern w:val="0"/>
          <w14:ligatures w14:val="none"/>
        </w:rPr>
      </w:pPr>
    </w:p>
    <w:p w14:paraId="77624373" w14:textId="09F3F508" w:rsidR="001D4EDF" w:rsidRDefault="001D4EDF" w:rsidP="001D4EDF">
      <w:pPr>
        <w:spacing w:after="0" w:line="240" w:lineRule="auto"/>
        <w:rPr>
          <w:rFonts w:ascii="KaiTi" w:eastAsia="KaiTi" w:hAnsi="KaiTi" w:cs="PingFang TC"/>
          <w:kern w:val="0"/>
          <w14:ligatures w14:val="none"/>
        </w:rPr>
      </w:pPr>
      <w:r w:rsidRPr="001D4EDF">
        <w:rPr>
          <w:rFonts w:ascii="KaiTi" w:eastAsia="KaiTi" w:hAnsi="KaiTi" w:cs="PingFang TC"/>
          <w:kern w:val="0"/>
          <w14:ligatures w14:val="none"/>
        </w:rPr>
        <w:t>但一走进</w:t>
      </w:r>
      <w:r>
        <w:rPr>
          <w:rFonts w:ascii="KaiTi" w:eastAsia="KaiTi" w:hAnsi="KaiTi" w:cs="PingFang TC" w:hint="eastAsia"/>
          <w:kern w:val="0"/>
          <w14:ligatures w14:val="none"/>
        </w:rPr>
        <w:t>消费</w:t>
      </w:r>
      <w:r w:rsidRPr="001D4EDF">
        <w:rPr>
          <w:rFonts w:ascii="KaiTi" w:eastAsia="KaiTi" w:hAnsi="KaiTi" w:cs="PingFang TC"/>
          <w:kern w:val="0"/>
          <w14:ligatures w14:val="none"/>
        </w:rPr>
        <w:t>场景，</w:t>
      </w:r>
      <w:r>
        <w:rPr>
          <w:rFonts w:ascii="KaiTi" w:eastAsia="KaiTi" w:hAnsi="KaiTi" w:cs="PingFang TC" w:hint="eastAsia"/>
          <w:kern w:val="0"/>
          <w14:ligatures w14:val="none"/>
        </w:rPr>
        <w:t>特别是餐厅，你</w:t>
      </w:r>
      <w:r w:rsidRPr="001D4EDF">
        <w:rPr>
          <w:rFonts w:ascii="KaiTi" w:eastAsia="KaiTi" w:hAnsi="KaiTi" w:cs="PingFang TC"/>
          <w:kern w:val="0"/>
          <w14:ligatures w14:val="none"/>
        </w:rPr>
        <w:t>就会发现：</w:t>
      </w:r>
      <w:r w:rsidRPr="001D4EDF">
        <w:rPr>
          <w:rFonts w:ascii="KaiTi" w:eastAsia="KaiTi" w:hAnsi="KaiTi" w:cs="PingFang TC"/>
          <w:b/>
          <w:bCs/>
          <w:kern w:val="0"/>
          <w14:ligatures w14:val="none"/>
        </w:rPr>
        <w:t>物价确实不便宜，尤其算上小费后，整体支出比香港高出五成以上</w:t>
      </w:r>
      <w:r w:rsidRPr="001D4EDF">
        <w:rPr>
          <w:rFonts w:ascii="KaiTi" w:eastAsia="KaiTi" w:hAnsi="KaiTi" w:cs="PingFang TC"/>
          <w:kern w:val="0"/>
          <w14:ligatures w14:val="none"/>
        </w:rPr>
        <w:t>。通胀的压力是真实的，也难怪美联储对于</w:t>
      </w:r>
      <w:r>
        <w:rPr>
          <w:rFonts w:ascii="KaiTi" w:eastAsia="KaiTi" w:hAnsi="KaiTi" w:cs="PingFang TC" w:hint="eastAsia"/>
          <w:kern w:val="0"/>
          <w14:ligatures w14:val="none"/>
        </w:rPr>
        <w:t>后续</w:t>
      </w:r>
      <w:r w:rsidRPr="001D4EDF">
        <w:rPr>
          <w:rFonts w:ascii="KaiTi" w:eastAsia="KaiTi" w:hAnsi="KaiTi" w:cs="PingFang TC"/>
          <w:kern w:val="0"/>
          <w14:ligatures w14:val="none"/>
        </w:rPr>
        <w:t>降息</w:t>
      </w:r>
      <w:r>
        <w:rPr>
          <w:rFonts w:ascii="KaiTi" w:eastAsia="KaiTi" w:hAnsi="KaiTi" w:cs="PingFang TC" w:hint="eastAsia"/>
          <w:kern w:val="0"/>
          <w14:ligatures w14:val="none"/>
        </w:rPr>
        <w:t>的态度</w:t>
      </w:r>
      <w:r w:rsidRPr="001D4EDF">
        <w:rPr>
          <w:rFonts w:ascii="KaiTi" w:eastAsia="KaiTi" w:hAnsi="KaiTi" w:cs="PingFang TC"/>
          <w:kern w:val="0"/>
          <w14:ligatures w14:val="none"/>
        </w:rPr>
        <w:t>依然</w:t>
      </w:r>
      <w:r>
        <w:rPr>
          <w:rFonts w:ascii="KaiTi" w:eastAsia="KaiTi" w:hAnsi="KaiTi" w:cs="PingFang TC" w:hint="eastAsia"/>
          <w:kern w:val="0"/>
          <w14:ligatures w14:val="none"/>
        </w:rPr>
        <w:t>是非常的</w:t>
      </w:r>
      <w:r w:rsidRPr="001D4EDF">
        <w:rPr>
          <w:rFonts w:ascii="KaiTi" w:eastAsia="KaiTi" w:hAnsi="KaiTi" w:cs="PingFang TC"/>
          <w:kern w:val="0"/>
          <w14:ligatures w14:val="none"/>
        </w:rPr>
        <w:t>谨慎。</w:t>
      </w:r>
    </w:p>
    <w:p w14:paraId="41FF2397" w14:textId="77777777" w:rsidR="00300E28" w:rsidRDefault="00300E28" w:rsidP="001D4EDF">
      <w:pPr>
        <w:spacing w:after="0" w:line="240" w:lineRule="auto"/>
        <w:rPr>
          <w:rFonts w:ascii="KaiTi" w:eastAsia="KaiTi" w:hAnsi="KaiTi" w:cs="PingFang TC"/>
          <w:kern w:val="0"/>
          <w14:ligatures w14:val="none"/>
        </w:rPr>
      </w:pPr>
    </w:p>
    <w:p w14:paraId="5AE1A062" w14:textId="77777777" w:rsidR="00300E28" w:rsidRDefault="00300E28" w:rsidP="001D4EDF">
      <w:pPr>
        <w:spacing w:after="0" w:line="240" w:lineRule="auto"/>
        <w:rPr>
          <w:rFonts w:ascii="KaiTi" w:eastAsia="KaiTi" w:hAnsi="KaiTi" w:cs="PingFang TC"/>
          <w:kern w:val="0"/>
          <w14:ligatures w14:val="none"/>
        </w:rPr>
      </w:pPr>
    </w:p>
    <w:p w14:paraId="7D33E9F5" w14:textId="5EC22950" w:rsidR="00300E28" w:rsidRPr="00300E28" w:rsidRDefault="00300E28" w:rsidP="00300E28">
      <w:pPr>
        <w:spacing w:after="0" w:line="240" w:lineRule="auto"/>
        <w:rPr>
          <w:rFonts w:ascii="KaiTi" w:eastAsia="KaiTi" w:hAnsi="KaiTi" w:cs="PingFang TC"/>
          <w:b/>
          <w:bCs/>
          <w:kern w:val="0"/>
          <w14:ligatures w14:val="none"/>
        </w:rPr>
      </w:pPr>
      <w:r w:rsidRPr="00300E28">
        <w:rPr>
          <w:rFonts w:ascii="KaiTi" w:eastAsia="KaiTi" w:hAnsi="KaiTi" w:cs="PingFang TC"/>
          <w:b/>
          <w:bCs/>
          <w:kern w:val="0"/>
          <w14:ligatures w14:val="none"/>
        </w:rPr>
        <w:t>穿越波动，走向新高：请继续相信时间的力量</w:t>
      </w:r>
    </w:p>
    <w:p w14:paraId="4BA3444E" w14:textId="77777777" w:rsidR="00300E28" w:rsidRPr="00300E28" w:rsidRDefault="00300E28" w:rsidP="00300E28">
      <w:pPr>
        <w:spacing w:after="0" w:line="240" w:lineRule="auto"/>
        <w:rPr>
          <w:rFonts w:ascii="KaiTi" w:eastAsia="KaiTi" w:hAnsi="KaiTi" w:cs="PingFang TC"/>
          <w:kern w:val="0"/>
          <w14:ligatures w14:val="none"/>
        </w:rPr>
      </w:pPr>
    </w:p>
    <w:p w14:paraId="5180382E" w14:textId="3C48209D" w:rsidR="00300E28" w:rsidRDefault="00300E28" w:rsidP="00300E28">
      <w:pPr>
        <w:spacing w:after="0" w:line="240" w:lineRule="auto"/>
        <w:rPr>
          <w:rFonts w:ascii="KaiTi" w:eastAsia="KaiTi" w:hAnsi="KaiTi" w:cs="PingFang TC"/>
          <w:kern w:val="0"/>
          <w14:ligatures w14:val="none"/>
        </w:rPr>
      </w:pPr>
      <w:r>
        <w:rPr>
          <w:rFonts w:ascii="KaiTi" w:eastAsia="KaiTi" w:hAnsi="KaiTi" w:cs="PingFang TC" w:hint="eastAsia"/>
          <w:kern w:val="0"/>
          <w14:ligatures w14:val="none"/>
        </w:rPr>
        <w:t>本月各种耸人听闻的市场新闻依然不绝于耳，</w:t>
      </w:r>
      <w:r w:rsidRPr="00300E28">
        <w:rPr>
          <w:rFonts w:ascii="KaiTi" w:eastAsia="KaiTi" w:hAnsi="KaiTi" w:cs="PingFang TC"/>
          <w:kern w:val="0"/>
          <w14:ligatures w14:val="none"/>
        </w:rPr>
        <w:t>我们总是身处“当下的混乱”中，新闻看起来永远在警告我们“这一次不一样”。</w:t>
      </w:r>
    </w:p>
    <w:p w14:paraId="50FAADA7" w14:textId="77777777" w:rsidR="00300E28" w:rsidRPr="00300E28" w:rsidRDefault="00300E28" w:rsidP="00300E28">
      <w:pPr>
        <w:spacing w:after="0" w:line="240" w:lineRule="auto"/>
        <w:rPr>
          <w:rFonts w:ascii="KaiTi" w:eastAsia="KaiTi" w:hAnsi="KaiTi" w:cs="PingFang TC"/>
          <w:kern w:val="0"/>
          <w14:ligatures w14:val="none"/>
        </w:rPr>
      </w:pPr>
    </w:p>
    <w:p w14:paraId="3EF8205E" w14:textId="77777777" w:rsidR="00300E28" w:rsidRPr="00300E28" w:rsidRDefault="00300E28" w:rsidP="00300E28">
      <w:pPr>
        <w:spacing w:after="0" w:line="240" w:lineRule="auto"/>
        <w:rPr>
          <w:rFonts w:ascii="KaiTi" w:eastAsia="KaiTi" w:hAnsi="KaiTi" w:cs="PingFang TC"/>
          <w:kern w:val="0"/>
          <w14:ligatures w14:val="none"/>
        </w:rPr>
      </w:pPr>
      <w:r w:rsidRPr="00300E28">
        <w:rPr>
          <w:rFonts w:ascii="KaiTi" w:eastAsia="KaiTi" w:hAnsi="KaiTi" w:cs="PingFang TC"/>
          <w:kern w:val="0"/>
          <w14:ligatures w14:val="none"/>
        </w:rPr>
        <w:t>但回望历史，每一次重大危机——战争、通胀、瘟疫、政策冲击——都被文明社会以某种方式所穿越。</w:t>
      </w:r>
    </w:p>
    <w:p w14:paraId="4FFE7FF4" w14:textId="77777777" w:rsidR="00300E28" w:rsidRPr="00300E28" w:rsidRDefault="00300E28" w:rsidP="00300E28">
      <w:pPr>
        <w:spacing w:after="0" w:line="240" w:lineRule="auto"/>
        <w:rPr>
          <w:rFonts w:ascii="KaiTi" w:eastAsia="KaiTi" w:hAnsi="KaiTi" w:cs="PingFang TC"/>
          <w:kern w:val="0"/>
          <w14:ligatures w14:val="none"/>
        </w:rPr>
      </w:pPr>
    </w:p>
    <w:p w14:paraId="7F63C13E" w14:textId="77777777" w:rsidR="00300E28" w:rsidRDefault="00300E28" w:rsidP="00300E28">
      <w:pPr>
        <w:spacing w:after="0" w:line="240" w:lineRule="auto"/>
        <w:rPr>
          <w:rFonts w:ascii="KaiTi" w:eastAsia="KaiTi" w:hAnsi="KaiTi" w:cs="PingFang TC"/>
          <w:kern w:val="0"/>
          <w14:ligatures w14:val="none"/>
        </w:rPr>
      </w:pPr>
      <w:r w:rsidRPr="00300E28">
        <w:rPr>
          <w:rFonts w:ascii="KaiTi" w:eastAsia="KaiTi" w:hAnsi="KaiTi" w:cs="PingFang TC"/>
          <w:noProof/>
          <w:kern w:val="0"/>
          <w14:ligatures w14:val="none"/>
        </w:rPr>
        <w:lastRenderedPageBreak/>
        <w:drawing>
          <wp:inline distT="0" distB="0" distL="0" distR="0" wp14:anchorId="1164EF6A" wp14:editId="0FABE3B7">
            <wp:extent cx="5943600" cy="4900295"/>
            <wp:effectExtent l="0" t="0" r="0" b="1905"/>
            <wp:docPr id="3" name="Picture 2" descr="A graph showing the price of the stock market&#10;&#10;Description automatically generated">
              <a:extLst xmlns:a="http://schemas.openxmlformats.org/drawingml/2006/main">
                <a:ext uri="{FF2B5EF4-FFF2-40B4-BE49-F238E27FC236}">
                  <a16:creationId xmlns:a16="http://schemas.microsoft.com/office/drawing/2014/main" id="{5A63FCFE-8D3E-C423-BB02-026B5E1E66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showing the price of the stock market&#10;&#10;Description automatically generated">
                      <a:extLst>
                        <a:ext uri="{FF2B5EF4-FFF2-40B4-BE49-F238E27FC236}">
                          <a16:creationId xmlns:a16="http://schemas.microsoft.com/office/drawing/2014/main" id="{5A63FCFE-8D3E-C423-BB02-026B5E1E6693}"/>
                        </a:ext>
                      </a:extLst>
                    </pic:cNvPr>
                    <pic:cNvPicPr>
                      <a:picLocks noChangeAspect="1"/>
                    </pic:cNvPicPr>
                  </pic:nvPicPr>
                  <pic:blipFill>
                    <a:blip r:embed="rId5"/>
                    <a:stretch>
                      <a:fillRect/>
                    </a:stretch>
                  </pic:blipFill>
                  <pic:spPr>
                    <a:xfrm>
                      <a:off x="0" y="0"/>
                      <a:ext cx="5943600" cy="4900295"/>
                    </a:xfrm>
                    <a:prstGeom prst="rect">
                      <a:avLst/>
                    </a:prstGeom>
                  </pic:spPr>
                </pic:pic>
              </a:graphicData>
            </a:graphic>
          </wp:inline>
        </w:drawing>
      </w:r>
    </w:p>
    <w:p w14:paraId="680ABEF9" w14:textId="77777777" w:rsidR="00300E28" w:rsidRDefault="00300E28" w:rsidP="00300E28">
      <w:pPr>
        <w:spacing w:after="0" w:line="240" w:lineRule="auto"/>
        <w:rPr>
          <w:rFonts w:ascii="KaiTi" w:eastAsia="KaiTi" w:hAnsi="KaiTi" w:cs="PingFang TC"/>
          <w:kern w:val="0"/>
          <w14:ligatures w14:val="none"/>
        </w:rPr>
      </w:pPr>
    </w:p>
    <w:p w14:paraId="717F8A41" w14:textId="689060E0" w:rsidR="00300E28" w:rsidRPr="00300E28" w:rsidRDefault="00300E28" w:rsidP="00300E28">
      <w:pPr>
        <w:spacing w:after="0" w:line="240" w:lineRule="auto"/>
        <w:rPr>
          <w:rFonts w:ascii="KaiTi" w:eastAsia="KaiTi" w:hAnsi="KaiTi" w:cs="PingFang TC"/>
          <w:kern w:val="0"/>
          <w14:ligatures w14:val="none"/>
        </w:rPr>
      </w:pPr>
      <w:r w:rsidRPr="00300E28">
        <w:rPr>
          <w:rFonts w:ascii="KaiTi" w:eastAsia="KaiTi" w:hAnsi="KaiTi" w:cs="PingFang TC"/>
          <w:kern w:val="0"/>
          <w14:ligatures w14:val="none"/>
        </w:rPr>
        <w:t>上图所示，是1870年以来美国股票市场在扣除通胀后的实际回报曲线。每一次下跌都曾让人悲观，但市场总能在调整后再创新高。</w:t>
      </w:r>
    </w:p>
    <w:p w14:paraId="44E7DEEB" w14:textId="77777777" w:rsidR="00300E28" w:rsidRPr="00300E28" w:rsidRDefault="00300E28" w:rsidP="00300E28">
      <w:pPr>
        <w:spacing w:after="0" w:line="240" w:lineRule="auto"/>
        <w:rPr>
          <w:rFonts w:ascii="KaiTi" w:eastAsia="KaiTi" w:hAnsi="KaiTi" w:cs="PingFang TC"/>
          <w:kern w:val="0"/>
          <w14:ligatures w14:val="none"/>
        </w:rPr>
      </w:pPr>
    </w:p>
    <w:p w14:paraId="0E5FA83A" w14:textId="05E15ED9" w:rsidR="00300E28" w:rsidRPr="00300E28" w:rsidRDefault="00300E28" w:rsidP="00300E28">
      <w:pPr>
        <w:spacing w:after="0" w:line="240" w:lineRule="auto"/>
        <w:rPr>
          <w:rFonts w:ascii="KaiTi" w:eastAsia="KaiTi" w:hAnsi="KaiTi" w:cs="PingFang TC"/>
          <w:kern w:val="0"/>
          <w14:ligatures w14:val="none"/>
        </w:rPr>
      </w:pPr>
      <w:r w:rsidRPr="00300E28">
        <w:rPr>
          <w:rFonts w:ascii="KaiTi" w:eastAsia="KaiTi" w:hAnsi="KaiTi" w:cs="PingFang TC"/>
          <w:kern w:val="0"/>
          <w14:ligatures w14:val="none"/>
        </w:rPr>
        <w:t>我们理解您对市场的担忧，但我们更希望您拥有判断波动背后机会的眼光</w:t>
      </w:r>
      <w:r w:rsidR="00FE5B92">
        <w:rPr>
          <w:rFonts w:ascii="KaiTi" w:eastAsia="KaiTi" w:hAnsi="KaiTi" w:cs="PingFang TC" w:hint="eastAsia"/>
          <w:kern w:val="0"/>
          <w14:ligatures w14:val="none"/>
        </w:rPr>
        <w:t>、</w:t>
      </w:r>
      <w:r w:rsidRPr="00300E28">
        <w:rPr>
          <w:rFonts w:ascii="KaiTi" w:eastAsia="KaiTi" w:hAnsi="KaiTi" w:cs="PingFang TC"/>
          <w:kern w:val="0"/>
          <w14:ligatures w14:val="none"/>
        </w:rPr>
        <w:t>坚持资产配置原则的</w:t>
      </w:r>
      <w:r w:rsidR="00FE5B92" w:rsidRPr="00FE5B92">
        <w:rPr>
          <w:rFonts w:ascii="KaiTi" w:eastAsia="KaiTi" w:hAnsi="KaiTi" w:cs="PingFang TC" w:hint="eastAsia"/>
          <w:kern w:val="0"/>
          <w14:ligatures w14:val="none"/>
        </w:rPr>
        <w:t>底气以及</w:t>
      </w:r>
      <w:r w:rsidR="00FE5B92" w:rsidRPr="00300E28">
        <w:rPr>
          <w:rFonts w:ascii="KaiTi" w:eastAsia="KaiTi" w:hAnsi="KaiTi" w:cs="PingFang TC"/>
          <w:kern w:val="0"/>
          <w14:ligatures w14:val="none"/>
        </w:rPr>
        <w:t>与不确定性共处的勇气</w:t>
      </w:r>
      <w:r w:rsidR="00FE5B92" w:rsidRPr="00FE5B92">
        <w:rPr>
          <w:rFonts w:ascii="KaiTi" w:eastAsia="KaiTi" w:hAnsi="KaiTi" w:cs="PingFang TC" w:hint="eastAsia"/>
          <w:kern w:val="0"/>
          <w14:ligatures w14:val="none"/>
        </w:rPr>
        <w:t>。</w:t>
      </w:r>
    </w:p>
    <w:p w14:paraId="06C57E28" w14:textId="77777777" w:rsidR="00300E28" w:rsidRPr="00300E28" w:rsidRDefault="00300E28" w:rsidP="00300E28">
      <w:pPr>
        <w:spacing w:after="0" w:line="240" w:lineRule="auto"/>
        <w:rPr>
          <w:rFonts w:ascii="KaiTi" w:eastAsia="KaiTi" w:hAnsi="KaiTi" w:cs="PingFang TC"/>
          <w:kern w:val="0"/>
          <w14:ligatures w14:val="none"/>
        </w:rPr>
      </w:pPr>
    </w:p>
    <w:p w14:paraId="61858A23" w14:textId="68C5C0CC" w:rsidR="00300E28" w:rsidRPr="00300E28" w:rsidRDefault="00300E28" w:rsidP="00300E28">
      <w:pPr>
        <w:spacing w:after="0" w:line="240" w:lineRule="auto"/>
        <w:rPr>
          <w:rFonts w:ascii="KaiTi" w:eastAsia="KaiTi" w:hAnsi="KaiTi" w:cs="PingFang TC"/>
          <w:kern w:val="0"/>
          <w14:ligatures w14:val="none"/>
        </w:rPr>
      </w:pPr>
      <w:r w:rsidRPr="00300E28">
        <w:rPr>
          <w:rFonts w:ascii="Apple Color Emoji" w:eastAsia="KaiTi" w:hAnsi="Apple Color Emoji" w:cs="Apple Color Emoji"/>
          <w:kern w:val="0"/>
          <w14:ligatures w14:val="none"/>
        </w:rPr>
        <w:t>📌</w:t>
      </w:r>
      <w:r w:rsidRPr="00300E28">
        <w:rPr>
          <w:rFonts w:ascii="KaiTi" w:eastAsia="KaiTi" w:hAnsi="KaiTi" w:cs="PingFang TC"/>
          <w:kern w:val="0"/>
          <w14:ligatures w14:val="none"/>
        </w:rPr>
        <w:t xml:space="preserve"> </w:t>
      </w:r>
      <w:r w:rsidRPr="00300E28">
        <w:rPr>
          <w:rFonts w:ascii="KaiTi" w:eastAsia="KaiTi" w:hAnsi="KaiTi" w:cs="PingFang TC"/>
          <w:b/>
          <w:bCs/>
          <w:kern w:val="0"/>
          <w14:ligatures w14:val="none"/>
        </w:rPr>
        <w:t>在高通胀与政策调整并行的时代，更需要稳健的资产作为底层结构。</w:t>
      </w:r>
    </w:p>
    <w:p w14:paraId="5B11571A" w14:textId="77777777" w:rsidR="00300E28" w:rsidRPr="00300E28" w:rsidRDefault="00300E28" w:rsidP="00300E28">
      <w:pPr>
        <w:spacing w:after="0" w:line="240" w:lineRule="auto"/>
        <w:rPr>
          <w:rFonts w:ascii="KaiTi" w:eastAsia="KaiTi" w:hAnsi="KaiTi" w:cs="PingFang TC"/>
          <w:kern w:val="0"/>
          <w14:ligatures w14:val="none"/>
        </w:rPr>
      </w:pPr>
      <w:r w:rsidRPr="00300E28">
        <w:rPr>
          <w:rFonts w:ascii="Apple Color Emoji" w:eastAsia="KaiTi" w:hAnsi="Apple Color Emoji" w:cs="Apple Color Emoji"/>
          <w:kern w:val="0"/>
          <w14:ligatures w14:val="none"/>
        </w:rPr>
        <w:t>📌</w:t>
      </w:r>
      <w:r w:rsidRPr="00300E28">
        <w:rPr>
          <w:rFonts w:ascii="KaiTi" w:eastAsia="KaiTi" w:hAnsi="KaiTi" w:cs="PingFang TC"/>
          <w:kern w:val="0"/>
          <w14:ligatures w14:val="none"/>
        </w:rPr>
        <w:t xml:space="preserve"> </w:t>
      </w:r>
      <w:r w:rsidRPr="00300E28">
        <w:rPr>
          <w:rFonts w:ascii="KaiTi" w:eastAsia="KaiTi" w:hAnsi="KaiTi" w:cs="PingFang TC"/>
          <w:b/>
          <w:bCs/>
          <w:kern w:val="0"/>
          <w14:ligatures w14:val="none"/>
        </w:rPr>
        <w:t>在周期震荡中，理性、耐心与长期主义，仍是家庭财富最可靠的守护者。</w:t>
      </w:r>
    </w:p>
    <w:p w14:paraId="434759FC" w14:textId="77777777" w:rsidR="00300E28" w:rsidRPr="00300E28" w:rsidRDefault="00300E28" w:rsidP="00300E28">
      <w:pPr>
        <w:spacing w:after="0" w:line="240" w:lineRule="auto"/>
        <w:rPr>
          <w:rFonts w:ascii="KaiTi" w:eastAsia="KaiTi" w:hAnsi="KaiTi" w:cs="PingFang TC"/>
          <w:kern w:val="0"/>
          <w14:ligatures w14:val="none"/>
        </w:rPr>
      </w:pPr>
    </w:p>
    <w:p w14:paraId="2353F4B6" w14:textId="77777777" w:rsidR="00300E28" w:rsidRPr="00300E28" w:rsidRDefault="00300E28" w:rsidP="00300E28">
      <w:pPr>
        <w:spacing w:after="0" w:line="240" w:lineRule="auto"/>
        <w:rPr>
          <w:rFonts w:ascii="KaiTi" w:eastAsia="KaiTi" w:hAnsi="KaiTi" w:cs="PingFang TC"/>
          <w:kern w:val="0"/>
          <w14:ligatures w14:val="none"/>
        </w:rPr>
      </w:pPr>
      <w:r w:rsidRPr="00300E28">
        <w:rPr>
          <w:rFonts w:ascii="KaiTi" w:eastAsia="KaiTi" w:hAnsi="KaiTi" w:cs="PingFang TC"/>
          <w:kern w:val="0"/>
          <w14:ligatures w14:val="none"/>
        </w:rPr>
        <w:t>请让我们继续陪您一起走在这条充满挑战，但始终向上的旅途上。</w:t>
      </w:r>
    </w:p>
    <w:p w14:paraId="6A1EABED" w14:textId="77777777" w:rsidR="00300E28" w:rsidRDefault="00300E28" w:rsidP="001D4EDF">
      <w:pPr>
        <w:spacing w:after="0" w:line="240" w:lineRule="auto"/>
        <w:rPr>
          <w:rFonts w:ascii="KaiTi" w:eastAsia="KaiTi" w:hAnsi="KaiTi" w:cs="PingFang TC"/>
          <w:kern w:val="0"/>
          <w14:ligatures w14:val="none"/>
        </w:rPr>
      </w:pPr>
    </w:p>
    <w:p w14:paraId="13CFB641" w14:textId="77777777" w:rsidR="00300E28" w:rsidRDefault="00300E28" w:rsidP="001D4EDF">
      <w:pPr>
        <w:spacing w:after="0" w:line="240" w:lineRule="auto"/>
        <w:rPr>
          <w:rFonts w:ascii="KaiTi" w:eastAsia="KaiTi" w:hAnsi="KaiTi" w:cs="PingFang TC"/>
          <w:kern w:val="0"/>
          <w14:ligatures w14:val="none"/>
        </w:rPr>
      </w:pPr>
    </w:p>
    <w:p w14:paraId="7AFDB9AB" w14:textId="77777777" w:rsidR="00300E28" w:rsidRDefault="00300E28" w:rsidP="001D4EDF">
      <w:pPr>
        <w:spacing w:after="0" w:line="240" w:lineRule="auto"/>
        <w:rPr>
          <w:rFonts w:ascii="KaiTi" w:eastAsia="KaiTi" w:hAnsi="KaiTi" w:cs="PingFang TC"/>
          <w:kern w:val="0"/>
          <w14:ligatures w14:val="none"/>
        </w:rPr>
      </w:pPr>
    </w:p>
    <w:p w14:paraId="1B651D14" w14:textId="34D1F0A5" w:rsidR="00300E28" w:rsidRPr="001D4EDF" w:rsidRDefault="00300E28" w:rsidP="001D4EDF">
      <w:pPr>
        <w:spacing w:after="0" w:line="240" w:lineRule="auto"/>
        <w:rPr>
          <w:rFonts w:ascii="KaiTi" w:eastAsia="KaiTi" w:hAnsi="KaiTi" w:cs="PingFang TC"/>
          <w:kern w:val="0"/>
          <w14:ligatures w14:val="none"/>
        </w:rPr>
      </w:pPr>
    </w:p>
    <w:p w14:paraId="5BE9CB6D" w14:textId="77777777" w:rsidR="001D4EDF" w:rsidRPr="001D4EDF" w:rsidRDefault="001D4EDF" w:rsidP="001D4EDF">
      <w:pPr>
        <w:spacing w:after="0" w:line="240" w:lineRule="auto"/>
        <w:rPr>
          <w:rFonts w:ascii="KaiTi" w:eastAsia="KaiTi" w:hAnsi="KaiTi" w:cs="PingFang TC"/>
          <w:kern w:val="0"/>
          <w14:ligatures w14:val="none"/>
        </w:rPr>
      </w:pPr>
    </w:p>
    <w:p w14:paraId="0F4672F7" w14:textId="77777777" w:rsidR="00EE3204" w:rsidRPr="000C1D9B" w:rsidRDefault="00EE3204" w:rsidP="00EE3204">
      <w:pPr>
        <w:rPr>
          <w:rFonts w:ascii="KaiTi" w:eastAsia="KaiTi" w:hAnsi="KaiTi"/>
          <w:b/>
          <w:bCs/>
        </w:rPr>
      </w:pPr>
      <w:r w:rsidRPr="000C1D9B">
        <w:rPr>
          <w:rFonts w:ascii="KaiTi" w:eastAsia="KaiTi" w:hAnsi="KaiTi" w:hint="eastAsia"/>
          <w:b/>
          <w:bCs/>
        </w:rPr>
        <w:lastRenderedPageBreak/>
        <w:t>示例组合运行情况</w:t>
      </w:r>
    </w:p>
    <w:p w14:paraId="1CB53224" w14:textId="77777777" w:rsidR="00EE3204" w:rsidRPr="000C1D9B" w:rsidRDefault="00EE3204" w:rsidP="00EE3204">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为了能够更好地帮助大家理解和熟悉我们的长期配置思路，我们通过公司投连险平台管理了两个典型组合。两个组合都以100万美金的初始投入为例，并于10月24日完成建仓买入。</w:t>
      </w:r>
    </w:p>
    <w:p w14:paraId="39FB19F8" w14:textId="77777777" w:rsidR="00BD235C" w:rsidRPr="000E2963" w:rsidRDefault="00BD235C" w:rsidP="00BD235C">
      <w:pPr>
        <w:rPr>
          <w:rFonts w:ascii="KaiTi" w:eastAsia="KaiTi" w:hAnsi="KaiTi"/>
          <w:b/>
          <w:bCs/>
        </w:rPr>
      </w:pPr>
      <w:r w:rsidRPr="000C1D9B">
        <w:rPr>
          <w:rFonts w:ascii="KaiTi" w:eastAsia="KaiTi" w:hAnsi="KaiTi" w:hint="eastAsia"/>
          <w:b/>
          <w:bCs/>
        </w:rPr>
        <w:t>组合1: 长线增长 ILI Long Term Accumulation</w:t>
      </w:r>
    </w:p>
    <w:p w14:paraId="71200A52" w14:textId="77777777" w:rsidR="00BD235C" w:rsidRPr="000C1D9B" w:rsidRDefault="00BD235C" w:rsidP="00BD235C">
      <w:pPr>
        <w:rPr>
          <w:rFonts w:ascii="KaiTi" w:eastAsia="KaiTi" w:hAnsi="KaiTi"/>
        </w:rPr>
      </w:pPr>
      <w:r w:rsidRPr="000C1D9B">
        <w:rPr>
          <w:rFonts w:ascii="KaiTi" w:eastAsia="KaiTi" w:hAnsi="KaiTi" w:hint="eastAsia"/>
        </w:rPr>
        <w:t>其中第一个组合更关注长期的增长，通过固定收益、房地产</w:t>
      </w:r>
      <w:r>
        <w:rPr>
          <w:rFonts w:ascii="KaiTi" w:eastAsia="KaiTi" w:hAnsi="KaiTi" w:hint="eastAsia"/>
        </w:rPr>
        <w:t>信托基金</w:t>
      </w:r>
      <w:r w:rsidRPr="000C1D9B">
        <w:rPr>
          <w:rFonts w:ascii="KaiTi" w:eastAsia="KaiTi" w:hAnsi="KaiTi" w:hint="eastAsia"/>
        </w:rPr>
        <w:t>和优质股票的组合来实现，他们的配置比例为40%：25%：35%。</w:t>
      </w:r>
    </w:p>
    <w:p w14:paraId="7538D3B6" w14:textId="5CCDC8FB" w:rsidR="00BD235C" w:rsidRPr="000C1D9B" w:rsidRDefault="00BD235C" w:rsidP="00BD235C">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A73FEB">
        <w:rPr>
          <w:rFonts w:ascii="KaiTi" w:eastAsia="KaiTi" w:hAnsi="KaiTi"/>
        </w:rPr>
        <w:t>5</w:t>
      </w:r>
      <w:r w:rsidRPr="000C1D9B">
        <w:rPr>
          <w:rFonts w:ascii="KaiTi" w:eastAsia="KaiTi" w:hAnsi="KaiTi" w:hint="eastAsia"/>
        </w:rPr>
        <w:t>月</w:t>
      </w:r>
      <w:r w:rsidR="00A73FEB">
        <w:rPr>
          <w:rFonts w:ascii="KaiTi" w:eastAsia="KaiTi" w:hAnsi="KaiTi"/>
        </w:rPr>
        <w:t>2</w:t>
      </w:r>
      <w:r w:rsidR="004517D6">
        <w:rPr>
          <w:rFonts w:ascii="KaiTi" w:eastAsia="KaiTi" w:hAnsi="KaiTi"/>
        </w:rPr>
        <w:t>7</w:t>
      </w:r>
      <w:r w:rsidRPr="000C1D9B">
        <w:rPr>
          <w:rFonts w:ascii="KaiTi" w:eastAsia="KaiTi" w:hAnsi="KaiTi" w:hint="eastAsia"/>
        </w:rPr>
        <w:t>日，这个组合的运行情况如下：</w:t>
      </w:r>
    </w:p>
    <w:p w14:paraId="0976B928" w14:textId="2908B823" w:rsidR="00460A14" w:rsidRDefault="004517D6" w:rsidP="00BD235C">
      <w:pPr>
        <w:rPr>
          <w:rFonts w:ascii="KaiTi" w:eastAsia="KaiTi" w:hAnsi="KaiTi"/>
        </w:rPr>
      </w:pPr>
      <w:r w:rsidRPr="004517D6">
        <w:rPr>
          <w:rFonts w:ascii="KaiTi" w:eastAsia="KaiTi" w:hAnsi="KaiTi"/>
        </w:rPr>
        <w:drawing>
          <wp:inline distT="0" distB="0" distL="0" distR="0" wp14:anchorId="4E8CE324" wp14:editId="1F00A166">
            <wp:extent cx="5943600" cy="1888490"/>
            <wp:effectExtent l="0" t="0" r="0" b="3810"/>
            <wp:docPr id="7594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6267" name=""/>
                    <pic:cNvPicPr/>
                  </pic:nvPicPr>
                  <pic:blipFill>
                    <a:blip r:embed="rId6"/>
                    <a:stretch>
                      <a:fillRect/>
                    </a:stretch>
                  </pic:blipFill>
                  <pic:spPr>
                    <a:xfrm>
                      <a:off x="0" y="0"/>
                      <a:ext cx="5943600" cy="1888490"/>
                    </a:xfrm>
                    <a:prstGeom prst="rect">
                      <a:avLst/>
                    </a:prstGeom>
                  </pic:spPr>
                </pic:pic>
              </a:graphicData>
            </a:graphic>
          </wp:inline>
        </w:drawing>
      </w:r>
    </w:p>
    <w:p w14:paraId="4CA54988" w14:textId="58DC8330" w:rsidR="00EE3204" w:rsidRDefault="00460A14" w:rsidP="00EE3204">
      <w:pPr>
        <w:rPr>
          <w:rFonts w:ascii="KaiTi" w:eastAsia="KaiTi" w:hAnsi="KaiTi"/>
        </w:rPr>
      </w:pPr>
      <w:r>
        <w:rPr>
          <w:rFonts w:ascii="KaiTi" w:eastAsia="KaiTi" w:hAnsi="KaiTi" w:hint="eastAsia"/>
        </w:rPr>
        <w:t>市场在4月解放日的大幅下跌后反弹，中美重启关税谈判。我们的组合账面业绩从-2.62%反弹至1.</w:t>
      </w:r>
      <w:r w:rsidR="004517D6">
        <w:rPr>
          <w:rFonts w:ascii="KaiTi" w:eastAsia="KaiTi" w:hAnsi="KaiTi"/>
        </w:rPr>
        <w:t>25</w:t>
      </w:r>
      <w:r>
        <w:rPr>
          <w:rFonts w:ascii="KaiTi" w:eastAsia="KaiTi" w:hAnsi="KaiTi" w:hint="eastAsia"/>
        </w:rPr>
        <w:t>%，一个月振幅高达3.</w:t>
      </w:r>
      <w:r w:rsidR="004517D6">
        <w:rPr>
          <w:rFonts w:ascii="KaiTi" w:eastAsia="KaiTi" w:hAnsi="KaiTi"/>
        </w:rPr>
        <w:t>87</w:t>
      </w:r>
      <w:r>
        <w:rPr>
          <w:rFonts w:ascii="KaiTi" w:eastAsia="KaiTi" w:hAnsi="KaiTi" w:hint="eastAsia"/>
        </w:rPr>
        <w:t>%。</w:t>
      </w:r>
    </w:p>
    <w:p w14:paraId="4BD8ACF0" w14:textId="77777777" w:rsidR="00300E28" w:rsidRPr="00300E28" w:rsidRDefault="00300E28" w:rsidP="00EE3204">
      <w:pPr>
        <w:rPr>
          <w:rFonts w:ascii="KaiTi" w:eastAsia="KaiTi" w:hAnsi="KaiTi"/>
        </w:rPr>
      </w:pPr>
    </w:p>
    <w:p w14:paraId="7C02C1BE" w14:textId="77777777" w:rsidR="00EE3204" w:rsidRPr="00B14E80" w:rsidRDefault="00EE3204" w:rsidP="00EE3204">
      <w:pPr>
        <w:rPr>
          <w:rFonts w:ascii="KaiTi" w:eastAsia="KaiTi" w:hAnsi="KaiTi"/>
          <w:b/>
          <w:bCs/>
        </w:rPr>
      </w:pPr>
      <w:r w:rsidRPr="000C1D9B">
        <w:rPr>
          <w:rFonts w:ascii="KaiTi" w:eastAsia="KaiTi" w:hAnsi="KaiTi" w:hint="eastAsia"/>
          <w:b/>
          <w:bCs/>
        </w:rPr>
        <w:t>组合2: 收息现金流 ILI CASH GENERATOR</w:t>
      </w:r>
    </w:p>
    <w:p w14:paraId="10CF7FFA" w14:textId="06D1E6F6" w:rsidR="00EE3204" w:rsidRPr="000C1D9B" w:rsidRDefault="00300E28" w:rsidP="00EE3204">
      <w:pPr>
        <w:rPr>
          <w:rFonts w:ascii="KaiTi" w:eastAsia="KaiTi" w:hAnsi="KaiTi"/>
        </w:rPr>
      </w:pPr>
      <w:r>
        <w:rPr>
          <w:rFonts w:ascii="KaiTi" w:eastAsia="KaiTi" w:hAnsi="KaiTi" w:hint="eastAsia"/>
        </w:rPr>
        <w:t>该组合</w:t>
      </w:r>
      <w:r w:rsidR="00EE3204" w:rsidRPr="000C1D9B">
        <w:rPr>
          <w:rFonts w:ascii="KaiTi" w:eastAsia="KaiTi" w:hAnsi="KaiTi" w:hint="eastAsia"/>
        </w:rPr>
        <w:t>选择派息型的基金，可以在投入后第一个月就开始收取分红，在储蓄分红险之外打造一个即时产生的被动现金流工具</w:t>
      </w:r>
      <w:r w:rsidR="00EE3204">
        <w:rPr>
          <w:rFonts w:ascii="KaiTi" w:eastAsia="KaiTi" w:hAnsi="KaiTi" w:hint="eastAsia"/>
        </w:rPr>
        <w:t>。该组合</w:t>
      </w:r>
      <w:r w:rsidR="00EE3204" w:rsidRPr="000C1D9B">
        <w:rPr>
          <w:rFonts w:ascii="KaiTi" w:eastAsia="KaiTi" w:hAnsi="KaiTi" w:hint="eastAsia"/>
        </w:rPr>
        <w:t>通过固定收益和</w:t>
      </w:r>
      <w:r w:rsidR="00EE3204">
        <w:rPr>
          <w:rFonts w:ascii="KaiTi" w:eastAsia="KaiTi" w:hAnsi="KaiTi" w:hint="eastAsia"/>
        </w:rPr>
        <w:t>美国</w:t>
      </w:r>
      <w:r w:rsidR="00EE3204" w:rsidRPr="000C1D9B">
        <w:rPr>
          <w:rFonts w:ascii="KaiTi" w:eastAsia="KaiTi" w:hAnsi="KaiTi" w:hint="eastAsia"/>
        </w:rPr>
        <w:t>优质股票的组合来实现，他们的配置比例为40%：</w:t>
      </w:r>
      <w:r w:rsidR="00EE3204">
        <w:rPr>
          <w:rFonts w:ascii="KaiTi" w:eastAsia="KaiTi" w:hAnsi="KaiTi" w:hint="eastAsia"/>
        </w:rPr>
        <w:t>60</w:t>
      </w:r>
      <w:r w:rsidR="00EE3204" w:rsidRPr="000C1D9B">
        <w:rPr>
          <w:rFonts w:ascii="KaiTi" w:eastAsia="KaiTi" w:hAnsi="KaiTi" w:hint="eastAsia"/>
        </w:rPr>
        <w:t>%。</w:t>
      </w:r>
    </w:p>
    <w:p w14:paraId="036D4728" w14:textId="77777777" w:rsidR="00EE3204" w:rsidRPr="000C1D9B" w:rsidRDefault="00EE3204" w:rsidP="00EE3204">
      <w:pPr>
        <w:rPr>
          <w:rFonts w:ascii="KaiTi" w:eastAsia="KaiTi" w:hAnsi="KaiTi"/>
        </w:rPr>
      </w:pPr>
      <w:r w:rsidRPr="000C1D9B">
        <w:rPr>
          <w:rFonts w:ascii="KaiTi" w:eastAsia="KaiTi" w:hAnsi="KaiTi" w:hint="eastAsia"/>
        </w:rPr>
        <w:t>初始投入约100万美金</w:t>
      </w:r>
      <w:r>
        <w:rPr>
          <w:rFonts w:ascii="KaiTi" w:eastAsia="KaiTi" w:hAnsi="KaiTi" w:hint="eastAsia"/>
        </w:rPr>
        <w:t>。</w:t>
      </w:r>
      <w:r w:rsidRPr="000C1D9B">
        <w:rPr>
          <w:rFonts w:ascii="KaiTi" w:eastAsia="KaiTi" w:hAnsi="KaiTi" w:hint="eastAsia"/>
        </w:rPr>
        <w:t>按照买入价格，大约可以产生年化6.5%的分红收益，并按月派发。</w:t>
      </w:r>
    </w:p>
    <w:p w14:paraId="124F78E4" w14:textId="39D6F30A" w:rsidR="00EE3204" w:rsidRDefault="00EE3204" w:rsidP="00EE3204">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460A14">
        <w:rPr>
          <w:rFonts w:ascii="KaiTi" w:eastAsia="KaiTi" w:hAnsi="KaiTi" w:hint="eastAsia"/>
        </w:rPr>
        <w:t>5</w:t>
      </w:r>
      <w:r w:rsidRPr="000C1D9B">
        <w:rPr>
          <w:rFonts w:ascii="KaiTi" w:eastAsia="KaiTi" w:hAnsi="KaiTi" w:hint="eastAsia"/>
        </w:rPr>
        <w:t>月</w:t>
      </w:r>
      <w:r w:rsidR="00460A14">
        <w:rPr>
          <w:rFonts w:ascii="KaiTi" w:eastAsia="KaiTi" w:hAnsi="KaiTi" w:hint="eastAsia"/>
        </w:rPr>
        <w:t>2</w:t>
      </w:r>
      <w:r w:rsidR="004517D6">
        <w:rPr>
          <w:rFonts w:ascii="KaiTi" w:eastAsia="KaiTi" w:hAnsi="KaiTi"/>
        </w:rPr>
        <w:t>7</w:t>
      </w:r>
      <w:r w:rsidRPr="000C1D9B">
        <w:rPr>
          <w:rFonts w:ascii="KaiTi" w:eastAsia="KaiTi" w:hAnsi="KaiTi" w:hint="eastAsia"/>
        </w:rPr>
        <w:t>日，组合运行情况：</w:t>
      </w:r>
    </w:p>
    <w:p w14:paraId="0DDD6E84" w14:textId="2326CD13" w:rsidR="00EE3204" w:rsidRPr="000C1D9B" w:rsidRDefault="004517D6" w:rsidP="00EE3204">
      <w:pPr>
        <w:rPr>
          <w:rFonts w:ascii="KaiTi" w:eastAsia="KaiTi" w:hAnsi="KaiTi"/>
        </w:rPr>
      </w:pPr>
      <w:r w:rsidRPr="004517D6">
        <w:rPr>
          <w:rFonts w:ascii="KaiTi" w:eastAsia="KaiTi" w:hAnsi="KaiTi"/>
        </w:rPr>
        <w:lastRenderedPageBreak/>
        <w:drawing>
          <wp:inline distT="0" distB="0" distL="0" distR="0" wp14:anchorId="2296150A" wp14:editId="01D19FC8">
            <wp:extent cx="5943600" cy="1888490"/>
            <wp:effectExtent l="0" t="0" r="0" b="3810"/>
            <wp:docPr id="12042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4035" name=""/>
                    <pic:cNvPicPr/>
                  </pic:nvPicPr>
                  <pic:blipFill>
                    <a:blip r:embed="rId7"/>
                    <a:stretch>
                      <a:fillRect/>
                    </a:stretch>
                  </pic:blipFill>
                  <pic:spPr>
                    <a:xfrm>
                      <a:off x="0" y="0"/>
                      <a:ext cx="5943600" cy="1888490"/>
                    </a:xfrm>
                    <a:prstGeom prst="rect">
                      <a:avLst/>
                    </a:prstGeom>
                  </pic:spPr>
                </pic:pic>
              </a:graphicData>
            </a:graphic>
          </wp:inline>
        </w:drawing>
      </w:r>
    </w:p>
    <w:p w14:paraId="02E56D76" w14:textId="0F6B922A" w:rsidR="00EE3204" w:rsidRDefault="00EE3204" w:rsidP="00EE3204">
      <w:pPr>
        <w:rPr>
          <w:rFonts w:ascii="KaiTi" w:eastAsia="KaiTi" w:hAnsi="KaiTi"/>
        </w:rPr>
      </w:pPr>
      <w:r w:rsidRPr="000C1D9B">
        <w:rPr>
          <w:rFonts w:ascii="KaiTi" w:eastAsia="KaiTi" w:hAnsi="KaiTi" w:hint="eastAsia"/>
        </w:rPr>
        <w:t>从账面价格来看，本组合</w:t>
      </w:r>
      <w:r>
        <w:rPr>
          <w:rFonts w:ascii="KaiTi" w:eastAsia="KaiTi" w:hAnsi="KaiTi" w:hint="eastAsia"/>
        </w:rPr>
        <w:t>累计</w:t>
      </w:r>
      <w:r w:rsidRPr="000C1D9B">
        <w:rPr>
          <w:rFonts w:ascii="KaiTi" w:eastAsia="KaiTi" w:hAnsi="KaiTi" w:hint="eastAsia"/>
        </w:rPr>
        <w:t>表现为</w:t>
      </w:r>
      <w:r w:rsidR="004517D6">
        <w:rPr>
          <w:rFonts w:ascii="KaiTi" w:eastAsia="KaiTi" w:hAnsi="KaiTi"/>
        </w:rPr>
        <w:t>1.25</w:t>
      </w:r>
      <w:r w:rsidRPr="000C1D9B">
        <w:rPr>
          <w:rFonts w:ascii="KaiTi" w:eastAsia="KaiTi" w:hAnsi="KaiTi" w:hint="eastAsia"/>
        </w:rPr>
        <w:t>%，但如果加上本组合</w:t>
      </w:r>
      <w:r>
        <w:rPr>
          <w:rFonts w:ascii="KaiTi" w:eastAsia="KaiTi" w:hAnsi="KaiTi" w:hint="eastAsia"/>
        </w:rPr>
        <w:t>累计</w:t>
      </w:r>
      <w:r w:rsidRPr="000C1D9B">
        <w:rPr>
          <w:rFonts w:ascii="KaiTi" w:eastAsia="KaiTi" w:hAnsi="KaiTi" w:hint="eastAsia"/>
        </w:rPr>
        <w:t>发放</w:t>
      </w:r>
      <w:r>
        <w:rPr>
          <w:rFonts w:ascii="KaiTi" w:eastAsia="KaiTi" w:hAnsi="KaiTi" w:hint="eastAsia"/>
        </w:rPr>
        <w:t>的</w:t>
      </w:r>
      <w:r w:rsidRPr="000C1D9B">
        <w:rPr>
          <w:rFonts w:ascii="KaiTi" w:eastAsia="KaiTi" w:hAnsi="KaiTi" w:hint="eastAsia"/>
        </w:rPr>
        <w:t>分红，整体</w:t>
      </w:r>
      <w:r>
        <w:rPr>
          <w:rFonts w:ascii="KaiTi" w:eastAsia="KaiTi" w:hAnsi="KaiTi" w:hint="eastAsia"/>
        </w:rPr>
        <w:t>累积收益为</w:t>
      </w:r>
      <w:r w:rsidR="004517D6" w:rsidRPr="004517D6">
        <w:rPr>
          <w:rFonts w:ascii="KaiTi" w:eastAsia="KaiTi" w:hAnsi="KaiTi"/>
          <w:b/>
          <w:bCs/>
          <w:color w:val="E97132" w:themeColor="accent2"/>
        </w:rPr>
        <w:t>5.09</w:t>
      </w:r>
      <w:r w:rsidRPr="004517D6">
        <w:rPr>
          <w:rFonts w:ascii="KaiTi" w:eastAsia="KaiTi" w:hAnsi="KaiTi" w:hint="eastAsia"/>
          <w:b/>
          <w:bCs/>
          <w:color w:val="E97132" w:themeColor="accent2"/>
        </w:rPr>
        <w:t>%</w:t>
      </w:r>
      <w:r w:rsidRPr="000C1D9B">
        <w:rPr>
          <w:rFonts w:ascii="KaiTi" w:eastAsia="KaiTi" w:hAnsi="KaiTi" w:hint="eastAsia"/>
        </w:rPr>
        <w:t>。</w:t>
      </w:r>
    </w:p>
    <w:p w14:paraId="55219365" w14:textId="6E2F1A85" w:rsidR="00BD235C" w:rsidRDefault="00EE3204" w:rsidP="00EE3204">
      <w:pPr>
        <w:rPr>
          <w:rFonts w:ascii="KaiTi" w:eastAsia="KaiTi" w:hAnsi="KaiTi"/>
        </w:rPr>
      </w:pPr>
      <w:r>
        <w:rPr>
          <w:rFonts w:ascii="KaiTi" w:eastAsia="KaiTi" w:hAnsi="KaiTi" w:hint="eastAsia"/>
        </w:rPr>
        <w:t>自2024年10月到25年</w:t>
      </w:r>
      <w:r w:rsidR="00460A14">
        <w:rPr>
          <w:rFonts w:ascii="KaiTi" w:eastAsia="KaiTi" w:hAnsi="KaiTi" w:hint="eastAsia"/>
        </w:rPr>
        <w:t>5</w:t>
      </w:r>
      <w:r>
        <w:rPr>
          <w:rFonts w:ascii="KaiTi" w:eastAsia="KaiTi" w:hAnsi="KaiTi" w:hint="eastAsia"/>
        </w:rPr>
        <w:t>月，</w:t>
      </w:r>
      <w:r w:rsidRPr="000C1D9B">
        <w:rPr>
          <w:rFonts w:ascii="KaiTi" w:eastAsia="KaiTi" w:hAnsi="KaiTi" w:hint="eastAsia"/>
        </w:rPr>
        <w:t>Z12美国中高等级债券基金</w:t>
      </w:r>
      <w:r>
        <w:rPr>
          <w:rFonts w:ascii="KaiTi" w:eastAsia="KaiTi" w:hAnsi="KaiTi" w:hint="eastAsia"/>
        </w:rPr>
        <w:t>每月</w:t>
      </w:r>
      <w:r w:rsidRPr="000C1D9B">
        <w:rPr>
          <w:rFonts w:ascii="KaiTi" w:eastAsia="KaiTi" w:hAnsi="KaiTi" w:hint="eastAsia"/>
        </w:rPr>
        <w:t>派发</w:t>
      </w:r>
      <w:r>
        <w:rPr>
          <w:rFonts w:ascii="KaiTi" w:eastAsia="KaiTi" w:hAnsi="KaiTi" w:hint="eastAsia"/>
        </w:rPr>
        <w:t>分红</w:t>
      </w:r>
      <w:r w:rsidRPr="000C1D9B">
        <w:rPr>
          <w:rFonts w:ascii="KaiTi" w:eastAsia="KaiTi" w:hAnsi="KaiTi" w:hint="eastAsia"/>
        </w:rPr>
        <w:t>$0.04/股</w:t>
      </w:r>
      <w:r>
        <w:rPr>
          <w:rFonts w:ascii="KaiTi" w:eastAsia="KaiTi" w:hAnsi="KaiTi" w:hint="eastAsia"/>
        </w:rPr>
        <w:t>。</w:t>
      </w:r>
      <w:r w:rsidRPr="000C1D9B">
        <w:rPr>
          <w:rFonts w:ascii="KaiTi" w:eastAsia="KaiTi" w:hAnsi="KaiTi" w:hint="eastAsia"/>
        </w:rPr>
        <w:t>Z17美国优质股权基金</w:t>
      </w:r>
      <w:r>
        <w:rPr>
          <w:rFonts w:ascii="KaiTi" w:eastAsia="KaiTi" w:hAnsi="KaiTi" w:hint="eastAsia"/>
        </w:rPr>
        <w:t>现时月度分红派发</w:t>
      </w:r>
      <w:r w:rsidRPr="000C1D9B">
        <w:rPr>
          <w:rFonts w:ascii="KaiTi" w:eastAsia="KaiTi" w:hAnsi="KaiTi" w:hint="eastAsia"/>
        </w:rPr>
        <w:t>$0.054</w:t>
      </w:r>
      <w:r>
        <w:rPr>
          <w:rFonts w:ascii="KaiTi" w:eastAsia="KaiTi" w:hAnsi="KaiTi"/>
        </w:rPr>
        <w:t>5</w:t>
      </w:r>
      <w:r w:rsidRPr="000C1D9B">
        <w:rPr>
          <w:rFonts w:ascii="KaiTi" w:eastAsia="KaiTi" w:hAnsi="KaiTi" w:hint="eastAsia"/>
        </w:rPr>
        <w:t>/股。</w:t>
      </w:r>
    </w:p>
    <w:p w14:paraId="0FF1A690" w14:textId="0C7828C9" w:rsidR="00BD235C" w:rsidRDefault="00EE3204" w:rsidP="00EE3204">
      <w:pPr>
        <w:rPr>
          <w:rFonts w:ascii="KaiTi" w:eastAsia="KaiTi" w:hAnsi="KaiTi"/>
        </w:rPr>
      </w:pPr>
      <w:r w:rsidRPr="000C1D9B">
        <w:rPr>
          <w:rFonts w:ascii="KaiTi" w:eastAsia="KaiTi" w:hAnsi="KaiTi" w:hint="eastAsia"/>
        </w:rPr>
        <w:t>合计投资者</w:t>
      </w:r>
      <w:r>
        <w:rPr>
          <w:rFonts w:ascii="KaiTi" w:eastAsia="KaiTi" w:hAnsi="KaiTi" w:hint="eastAsia"/>
        </w:rPr>
        <w:t>已累计</w:t>
      </w:r>
      <w:r w:rsidRPr="000C1D9B">
        <w:rPr>
          <w:rFonts w:ascii="KaiTi" w:eastAsia="KaiTi" w:hAnsi="KaiTi" w:hint="eastAsia"/>
        </w:rPr>
        <w:t>获得$</w:t>
      </w:r>
      <w:r w:rsidR="00460A14">
        <w:rPr>
          <w:rFonts w:ascii="KaiTi" w:eastAsia="KaiTi" w:hAnsi="KaiTi" w:hint="eastAsia"/>
        </w:rPr>
        <w:t>38340</w:t>
      </w:r>
      <w:r>
        <w:rPr>
          <w:rFonts w:ascii="KaiTi" w:eastAsia="KaiTi" w:hAnsi="KaiTi" w:hint="eastAsia"/>
        </w:rPr>
        <w:t>（折合人民币</w:t>
      </w:r>
      <w:r w:rsidR="00460A14">
        <w:rPr>
          <w:rFonts w:ascii="KaiTi" w:eastAsia="KaiTi" w:hAnsi="KaiTi" w:hint="eastAsia"/>
        </w:rPr>
        <w:t>276048</w:t>
      </w:r>
      <w:r>
        <w:rPr>
          <w:rFonts w:ascii="KaiTi" w:eastAsia="KaiTi" w:hAnsi="KaiTi" w:hint="eastAsia"/>
        </w:rPr>
        <w:t>元，汇率按照7.2计算）</w:t>
      </w:r>
      <w:r w:rsidRPr="000C1D9B">
        <w:rPr>
          <w:rFonts w:ascii="KaiTi" w:eastAsia="KaiTi" w:hAnsi="KaiTi" w:hint="eastAsia"/>
        </w:rPr>
        <w:t>的现金流收入，年化派息收益率为</w:t>
      </w:r>
      <w:r w:rsidRPr="004517D6">
        <w:rPr>
          <w:rFonts w:ascii="KaiTi" w:eastAsia="KaiTi" w:hAnsi="KaiTi" w:hint="eastAsia"/>
          <w:color w:val="E97132" w:themeColor="accent2"/>
        </w:rPr>
        <w:t>6.57%</w:t>
      </w:r>
      <w:r w:rsidRPr="000C1D9B">
        <w:rPr>
          <w:rFonts w:ascii="KaiTi" w:eastAsia="KaiTi" w:hAnsi="KaiTi" w:hint="eastAsia"/>
        </w:rPr>
        <w:t>。</w:t>
      </w:r>
    </w:p>
    <w:tbl>
      <w:tblPr>
        <w:tblStyle w:val="TableGrid"/>
        <w:tblW w:w="0" w:type="auto"/>
        <w:tblLook w:val="04A0" w:firstRow="1" w:lastRow="0" w:firstColumn="1" w:lastColumn="0" w:noHBand="0" w:noVBand="1"/>
      </w:tblPr>
      <w:tblGrid>
        <w:gridCol w:w="2589"/>
        <w:gridCol w:w="958"/>
        <w:gridCol w:w="958"/>
        <w:gridCol w:w="958"/>
        <w:gridCol w:w="1013"/>
        <w:gridCol w:w="958"/>
        <w:gridCol w:w="958"/>
        <w:gridCol w:w="958"/>
      </w:tblGrid>
      <w:tr w:rsidR="00A73FEB" w:rsidRPr="00A73FEB" w14:paraId="25E620D3" w14:textId="77777777" w:rsidTr="00A73FEB">
        <w:trPr>
          <w:trHeight w:val="320"/>
        </w:trPr>
        <w:tc>
          <w:tcPr>
            <w:tcW w:w="3680" w:type="dxa"/>
            <w:noWrap/>
            <w:hideMark/>
          </w:tcPr>
          <w:p w14:paraId="4A524612"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基金名称</w:t>
            </w:r>
          </w:p>
        </w:tc>
        <w:tc>
          <w:tcPr>
            <w:tcW w:w="1300" w:type="dxa"/>
            <w:noWrap/>
            <w:hideMark/>
          </w:tcPr>
          <w:p w14:paraId="5156F31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除净日期</w:t>
            </w:r>
          </w:p>
        </w:tc>
        <w:tc>
          <w:tcPr>
            <w:tcW w:w="1300" w:type="dxa"/>
            <w:noWrap/>
            <w:hideMark/>
          </w:tcPr>
          <w:p w14:paraId="0FB95975"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每单位派发</w:t>
            </w:r>
          </w:p>
        </w:tc>
        <w:tc>
          <w:tcPr>
            <w:tcW w:w="1300" w:type="dxa"/>
            <w:noWrap/>
            <w:hideMark/>
          </w:tcPr>
          <w:p w14:paraId="54A9A0A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持有份额</w:t>
            </w:r>
          </w:p>
        </w:tc>
        <w:tc>
          <w:tcPr>
            <w:tcW w:w="1380" w:type="dxa"/>
            <w:noWrap/>
            <w:hideMark/>
          </w:tcPr>
          <w:p w14:paraId="0A8483D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派发合计</w:t>
            </w:r>
          </w:p>
        </w:tc>
        <w:tc>
          <w:tcPr>
            <w:tcW w:w="1300" w:type="dxa"/>
            <w:noWrap/>
            <w:hideMark/>
          </w:tcPr>
          <w:p w14:paraId="18C2241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初始投资额</w:t>
            </w:r>
          </w:p>
        </w:tc>
        <w:tc>
          <w:tcPr>
            <w:tcW w:w="1300" w:type="dxa"/>
            <w:noWrap/>
            <w:hideMark/>
          </w:tcPr>
          <w:p w14:paraId="6AEFA2E1"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月度派息收益率</w:t>
            </w:r>
          </w:p>
        </w:tc>
        <w:tc>
          <w:tcPr>
            <w:tcW w:w="1300" w:type="dxa"/>
            <w:noWrap/>
            <w:hideMark/>
          </w:tcPr>
          <w:p w14:paraId="06487CB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年化派息收益率</w:t>
            </w:r>
          </w:p>
        </w:tc>
      </w:tr>
      <w:tr w:rsidR="00A73FEB" w:rsidRPr="00A73FEB" w14:paraId="71E45C50" w14:textId="77777777" w:rsidTr="00460A14">
        <w:trPr>
          <w:trHeight w:val="320"/>
        </w:trPr>
        <w:tc>
          <w:tcPr>
            <w:tcW w:w="3680" w:type="dxa"/>
            <w:vMerge w:val="restart"/>
            <w:noWrap/>
            <w:vAlign w:val="center"/>
            <w:hideMark/>
          </w:tcPr>
          <w:p w14:paraId="0886010B"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 xml:space="preserve">Z12 </w:t>
            </w:r>
            <w:r w:rsidRPr="00A73FEB">
              <w:rPr>
                <w:rFonts w:ascii="PingFang TC" w:eastAsia="PingFang TC" w:hAnsi="PingFang TC" w:cs="PingFang TC" w:hint="eastAsia"/>
                <w:kern w:val="0"/>
                <w:sz w:val="18"/>
                <w:szCs w:val="18"/>
                <w14:ligatures w14:val="none"/>
              </w:rPr>
              <w:t>美国中高等级债券基金</w:t>
            </w:r>
          </w:p>
        </w:tc>
        <w:tc>
          <w:tcPr>
            <w:tcW w:w="1300" w:type="dxa"/>
            <w:noWrap/>
            <w:hideMark/>
          </w:tcPr>
          <w:p w14:paraId="17E2B3E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11/1/24</w:t>
            </w:r>
          </w:p>
        </w:tc>
        <w:tc>
          <w:tcPr>
            <w:tcW w:w="1300" w:type="dxa"/>
            <w:noWrap/>
            <w:hideMark/>
          </w:tcPr>
          <w:p w14:paraId="6F1D560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0.04</w:t>
            </w:r>
          </w:p>
        </w:tc>
        <w:tc>
          <w:tcPr>
            <w:tcW w:w="1300" w:type="dxa"/>
            <w:noWrap/>
            <w:hideMark/>
          </w:tcPr>
          <w:p w14:paraId="537A1698"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76825</w:t>
            </w:r>
          </w:p>
        </w:tc>
        <w:tc>
          <w:tcPr>
            <w:tcW w:w="1380" w:type="dxa"/>
            <w:noWrap/>
            <w:hideMark/>
          </w:tcPr>
          <w:p w14:paraId="0DC1AD2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3073</w:t>
            </w:r>
          </w:p>
        </w:tc>
        <w:tc>
          <w:tcPr>
            <w:tcW w:w="1300" w:type="dxa"/>
            <w:noWrap/>
            <w:hideMark/>
          </w:tcPr>
          <w:p w14:paraId="5A1C3BCE"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600003</w:t>
            </w:r>
          </w:p>
        </w:tc>
        <w:tc>
          <w:tcPr>
            <w:tcW w:w="1300" w:type="dxa"/>
            <w:noWrap/>
            <w:hideMark/>
          </w:tcPr>
          <w:p w14:paraId="082F461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0.51%</w:t>
            </w:r>
          </w:p>
        </w:tc>
        <w:tc>
          <w:tcPr>
            <w:tcW w:w="1300" w:type="dxa"/>
            <w:noWrap/>
            <w:hideMark/>
          </w:tcPr>
          <w:p w14:paraId="18A0F50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6.15%</w:t>
            </w:r>
          </w:p>
        </w:tc>
      </w:tr>
      <w:tr w:rsidR="00A73FEB" w:rsidRPr="00A73FEB" w14:paraId="07710D2B" w14:textId="77777777" w:rsidTr="00460A14">
        <w:trPr>
          <w:trHeight w:val="320"/>
        </w:trPr>
        <w:tc>
          <w:tcPr>
            <w:tcW w:w="3680" w:type="dxa"/>
            <w:vMerge/>
            <w:vAlign w:val="center"/>
            <w:hideMark/>
          </w:tcPr>
          <w:p w14:paraId="60B65C4D"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p>
        </w:tc>
        <w:tc>
          <w:tcPr>
            <w:tcW w:w="1300" w:type="dxa"/>
            <w:noWrap/>
            <w:hideMark/>
          </w:tcPr>
          <w:p w14:paraId="4EFFDDBF"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12/2/24</w:t>
            </w:r>
          </w:p>
        </w:tc>
        <w:tc>
          <w:tcPr>
            <w:tcW w:w="1300" w:type="dxa"/>
            <w:noWrap/>
            <w:hideMark/>
          </w:tcPr>
          <w:p w14:paraId="48EAD82E"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0.04</w:t>
            </w:r>
          </w:p>
        </w:tc>
        <w:tc>
          <w:tcPr>
            <w:tcW w:w="1300" w:type="dxa"/>
            <w:noWrap/>
            <w:hideMark/>
          </w:tcPr>
          <w:p w14:paraId="747436D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76825</w:t>
            </w:r>
          </w:p>
        </w:tc>
        <w:tc>
          <w:tcPr>
            <w:tcW w:w="1380" w:type="dxa"/>
            <w:noWrap/>
            <w:hideMark/>
          </w:tcPr>
          <w:p w14:paraId="29691061"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3073</w:t>
            </w:r>
          </w:p>
        </w:tc>
        <w:tc>
          <w:tcPr>
            <w:tcW w:w="1300" w:type="dxa"/>
            <w:noWrap/>
            <w:hideMark/>
          </w:tcPr>
          <w:p w14:paraId="3EA62225"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600003</w:t>
            </w:r>
          </w:p>
        </w:tc>
        <w:tc>
          <w:tcPr>
            <w:tcW w:w="1300" w:type="dxa"/>
            <w:noWrap/>
            <w:hideMark/>
          </w:tcPr>
          <w:p w14:paraId="0678B52B"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0.51%</w:t>
            </w:r>
          </w:p>
        </w:tc>
        <w:tc>
          <w:tcPr>
            <w:tcW w:w="1300" w:type="dxa"/>
            <w:noWrap/>
            <w:hideMark/>
          </w:tcPr>
          <w:p w14:paraId="5FCAF04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6.15%</w:t>
            </w:r>
          </w:p>
        </w:tc>
      </w:tr>
      <w:tr w:rsidR="00A73FEB" w:rsidRPr="00A73FEB" w14:paraId="1064AEEE" w14:textId="77777777" w:rsidTr="00460A14">
        <w:trPr>
          <w:trHeight w:val="320"/>
        </w:trPr>
        <w:tc>
          <w:tcPr>
            <w:tcW w:w="3680" w:type="dxa"/>
            <w:vMerge/>
            <w:vAlign w:val="center"/>
            <w:hideMark/>
          </w:tcPr>
          <w:p w14:paraId="1712ECA3"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p>
        </w:tc>
        <w:tc>
          <w:tcPr>
            <w:tcW w:w="1300" w:type="dxa"/>
            <w:noWrap/>
            <w:hideMark/>
          </w:tcPr>
          <w:p w14:paraId="4C0CDDAA"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12/30/24</w:t>
            </w:r>
          </w:p>
        </w:tc>
        <w:tc>
          <w:tcPr>
            <w:tcW w:w="1300" w:type="dxa"/>
            <w:noWrap/>
            <w:hideMark/>
          </w:tcPr>
          <w:p w14:paraId="24A0A24B"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0.04</w:t>
            </w:r>
          </w:p>
        </w:tc>
        <w:tc>
          <w:tcPr>
            <w:tcW w:w="1300" w:type="dxa"/>
            <w:noWrap/>
            <w:hideMark/>
          </w:tcPr>
          <w:p w14:paraId="417EE16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76825</w:t>
            </w:r>
          </w:p>
        </w:tc>
        <w:tc>
          <w:tcPr>
            <w:tcW w:w="1380" w:type="dxa"/>
            <w:noWrap/>
            <w:hideMark/>
          </w:tcPr>
          <w:p w14:paraId="3B9AE5B2"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3073</w:t>
            </w:r>
          </w:p>
        </w:tc>
        <w:tc>
          <w:tcPr>
            <w:tcW w:w="1300" w:type="dxa"/>
            <w:noWrap/>
            <w:hideMark/>
          </w:tcPr>
          <w:p w14:paraId="406AA200"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600003</w:t>
            </w:r>
          </w:p>
        </w:tc>
        <w:tc>
          <w:tcPr>
            <w:tcW w:w="1300" w:type="dxa"/>
            <w:noWrap/>
            <w:hideMark/>
          </w:tcPr>
          <w:p w14:paraId="55D5A6A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0.51%</w:t>
            </w:r>
          </w:p>
        </w:tc>
        <w:tc>
          <w:tcPr>
            <w:tcW w:w="1300" w:type="dxa"/>
            <w:noWrap/>
            <w:hideMark/>
          </w:tcPr>
          <w:p w14:paraId="0067278B"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6.15%</w:t>
            </w:r>
          </w:p>
        </w:tc>
      </w:tr>
      <w:tr w:rsidR="00A73FEB" w:rsidRPr="00A73FEB" w14:paraId="276B7C19" w14:textId="77777777" w:rsidTr="00460A14">
        <w:trPr>
          <w:trHeight w:val="320"/>
        </w:trPr>
        <w:tc>
          <w:tcPr>
            <w:tcW w:w="3680" w:type="dxa"/>
            <w:vMerge/>
            <w:vAlign w:val="center"/>
            <w:hideMark/>
          </w:tcPr>
          <w:p w14:paraId="0197931E"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p>
        </w:tc>
        <w:tc>
          <w:tcPr>
            <w:tcW w:w="1300" w:type="dxa"/>
            <w:noWrap/>
            <w:hideMark/>
          </w:tcPr>
          <w:p w14:paraId="2EF39FA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1/31/25</w:t>
            </w:r>
          </w:p>
        </w:tc>
        <w:tc>
          <w:tcPr>
            <w:tcW w:w="1300" w:type="dxa"/>
            <w:noWrap/>
            <w:hideMark/>
          </w:tcPr>
          <w:p w14:paraId="534086B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0.04</w:t>
            </w:r>
          </w:p>
        </w:tc>
        <w:tc>
          <w:tcPr>
            <w:tcW w:w="1300" w:type="dxa"/>
            <w:noWrap/>
            <w:hideMark/>
          </w:tcPr>
          <w:p w14:paraId="6D7D0912"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76825</w:t>
            </w:r>
          </w:p>
        </w:tc>
        <w:tc>
          <w:tcPr>
            <w:tcW w:w="1380" w:type="dxa"/>
            <w:noWrap/>
            <w:hideMark/>
          </w:tcPr>
          <w:p w14:paraId="70D1FBA3"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3073</w:t>
            </w:r>
          </w:p>
        </w:tc>
        <w:tc>
          <w:tcPr>
            <w:tcW w:w="1300" w:type="dxa"/>
            <w:noWrap/>
            <w:hideMark/>
          </w:tcPr>
          <w:p w14:paraId="42AF7F0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600003</w:t>
            </w:r>
          </w:p>
        </w:tc>
        <w:tc>
          <w:tcPr>
            <w:tcW w:w="1300" w:type="dxa"/>
            <w:noWrap/>
            <w:hideMark/>
          </w:tcPr>
          <w:p w14:paraId="61A9B950"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0.51%</w:t>
            </w:r>
          </w:p>
        </w:tc>
        <w:tc>
          <w:tcPr>
            <w:tcW w:w="1300" w:type="dxa"/>
            <w:noWrap/>
            <w:hideMark/>
          </w:tcPr>
          <w:p w14:paraId="4737169E"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6.15%</w:t>
            </w:r>
          </w:p>
        </w:tc>
      </w:tr>
      <w:tr w:rsidR="00A73FEB" w:rsidRPr="00A73FEB" w14:paraId="6A5A2975" w14:textId="77777777" w:rsidTr="00460A14">
        <w:trPr>
          <w:trHeight w:val="320"/>
        </w:trPr>
        <w:tc>
          <w:tcPr>
            <w:tcW w:w="3680" w:type="dxa"/>
            <w:vMerge/>
            <w:vAlign w:val="center"/>
            <w:hideMark/>
          </w:tcPr>
          <w:p w14:paraId="6184969C"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p>
        </w:tc>
        <w:tc>
          <w:tcPr>
            <w:tcW w:w="1300" w:type="dxa"/>
            <w:noWrap/>
            <w:hideMark/>
          </w:tcPr>
          <w:p w14:paraId="3692BC1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3/3/25</w:t>
            </w:r>
          </w:p>
        </w:tc>
        <w:tc>
          <w:tcPr>
            <w:tcW w:w="1300" w:type="dxa"/>
            <w:noWrap/>
            <w:hideMark/>
          </w:tcPr>
          <w:p w14:paraId="3647450E"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0.04</w:t>
            </w:r>
          </w:p>
        </w:tc>
        <w:tc>
          <w:tcPr>
            <w:tcW w:w="1300" w:type="dxa"/>
            <w:noWrap/>
            <w:hideMark/>
          </w:tcPr>
          <w:p w14:paraId="6730FD7B"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76825</w:t>
            </w:r>
          </w:p>
        </w:tc>
        <w:tc>
          <w:tcPr>
            <w:tcW w:w="1380" w:type="dxa"/>
            <w:noWrap/>
            <w:hideMark/>
          </w:tcPr>
          <w:p w14:paraId="5D7937E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3073</w:t>
            </w:r>
          </w:p>
        </w:tc>
        <w:tc>
          <w:tcPr>
            <w:tcW w:w="1300" w:type="dxa"/>
            <w:noWrap/>
            <w:hideMark/>
          </w:tcPr>
          <w:p w14:paraId="0E62085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600003</w:t>
            </w:r>
          </w:p>
        </w:tc>
        <w:tc>
          <w:tcPr>
            <w:tcW w:w="1300" w:type="dxa"/>
            <w:noWrap/>
            <w:hideMark/>
          </w:tcPr>
          <w:p w14:paraId="61E785CA"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0.51%</w:t>
            </w:r>
          </w:p>
        </w:tc>
        <w:tc>
          <w:tcPr>
            <w:tcW w:w="1300" w:type="dxa"/>
            <w:noWrap/>
            <w:hideMark/>
          </w:tcPr>
          <w:p w14:paraId="0A048475"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6.15%</w:t>
            </w:r>
          </w:p>
        </w:tc>
      </w:tr>
      <w:tr w:rsidR="00A73FEB" w:rsidRPr="00A73FEB" w14:paraId="50109625" w14:textId="77777777" w:rsidTr="00460A14">
        <w:trPr>
          <w:trHeight w:val="320"/>
        </w:trPr>
        <w:tc>
          <w:tcPr>
            <w:tcW w:w="3680" w:type="dxa"/>
            <w:vMerge/>
            <w:vAlign w:val="center"/>
            <w:hideMark/>
          </w:tcPr>
          <w:p w14:paraId="1FF56D1C"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p>
        </w:tc>
        <w:tc>
          <w:tcPr>
            <w:tcW w:w="1300" w:type="dxa"/>
            <w:noWrap/>
            <w:hideMark/>
          </w:tcPr>
          <w:p w14:paraId="25678B7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4/1/25</w:t>
            </w:r>
          </w:p>
        </w:tc>
        <w:tc>
          <w:tcPr>
            <w:tcW w:w="1300" w:type="dxa"/>
            <w:noWrap/>
            <w:hideMark/>
          </w:tcPr>
          <w:p w14:paraId="105E01D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0.04</w:t>
            </w:r>
          </w:p>
        </w:tc>
        <w:tc>
          <w:tcPr>
            <w:tcW w:w="1300" w:type="dxa"/>
            <w:noWrap/>
            <w:hideMark/>
          </w:tcPr>
          <w:p w14:paraId="017A468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76825</w:t>
            </w:r>
          </w:p>
        </w:tc>
        <w:tc>
          <w:tcPr>
            <w:tcW w:w="1380" w:type="dxa"/>
            <w:noWrap/>
            <w:hideMark/>
          </w:tcPr>
          <w:p w14:paraId="4AEFF78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3073</w:t>
            </w:r>
          </w:p>
        </w:tc>
        <w:tc>
          <w:tcPr>
            <w:tcW w:w="1300" w:type="dxa"/>
            <w:noWrap/>
            <w:hideMark/>
          </w:tcPr>
          <w:p w14:paraId="72F75A51"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600003</w:t>
            </w:r>
          </w:p>
        </w:tc>
        <w:tc>
          <w:tcPr>
            <w:tcW w:w="1300" w:type="dxa"/>
            <w:noWrap/>
            <w:hideMark/>
          </w:tcPr>
          <w:p w14:paraId="1650D92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0.51%</w:t>
            </w:r>
          </w:p>
        </w:tc>
        <w:tc>
          <w:tcPr>
            <w:tcW w:w="1300" w:type="dxa"/>
            <w:noWrap/>
            <w:hideMark/>
          </w:tcPr>
          <w:p w14:paraId="36A76D15"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6.15%</w:t>
            </w:r>
          </w:p>
        </w:tc>
      </w:tr>
      <w:tr w:rsidR="00A73FEB" w:rsidRPr="00A73FEB" w14:paraId="6BBCBCD4" w14:textId="77777777" w:rsidTr="00460A14">
        <w:trPr>
          <w:trHeight w:val="320"/>
        </w:trPr>
        <w:tc>
          <w:tcPr>
            <w:tcW w:w="3680" w:type="dxa"/>
            <w:vMerge/>
            <w:vAlign w:val="center"/>
            <w:hideMark/>
          </w:tcPr>
          <w:p w14:paraId="275CE947"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p>
        </w:tc>
        <w:tc>
          <w:tcPr>
            <w:tcW w:w="1300" w:type="dxa"/>
            <w:noWrap/>
            <w:hideMark/>
          </w:tcPr>
          <w:p w14:paraId="326E087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5/1/25</w:t>
            </w:r>
          </w:p>
        </w:tc>
        <w:tc>
          <w:tcPr>
            <w:tcW w:w="1300" w:type="dxa"/>
            <w:noWrap/>
            <w:hideMark/>
          </w:tcPr>
          <w:p w14:paraId="42483FA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0.04</w:t>
            </w:r>
          </w:p>
        </w:tc>
        <w:tc>
          <w:tcPr>
            <w:tcW w:w="1300" w:type="dxa"/>
            <w:noWrap/>
            <w:hideMark/>
          </w:tcPr>
          <w:p w14:paraId="68BEFC3A"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76825</w:t>
            </w:r>
          </w:p>
        </w:tc>
        <w:tc>
          <w:tcPr>
            <w:tcW w:w="1380" w:type="dxa"/>
            <w:noWrap/>
            <w:hideMark/>
          </w:tcPr>
          <w:p w14:paraId="01DF2201"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3073</w:t>
            </w:r>
          </w:p>
        </w:tc>
        <w:tc>
          <w:tcPr>
            <w:tcW w:w="1300" w:type="dxa"/>
            <w:noWrap/>
            <w:hideMark/>
          </w:tcPr>
          <w:p w14:paraId="6828272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600003</w:t>
            </w:r>
          </w:p>
        </w:tc>
        <w:tc>
          <w:tcPr>
            <w:tcW w:w="1300" w:type="dxa"/>
            <w:noWrap/>
            <w:hideMark/>
          </w:tcPr>
          <w:p w14:paraId="6773C6A2"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0.51%</w:t>
            </w:r>
          </w:p>
        </w:tc>
        <w:tc>
          <w:tcPr>
            <w:tcW w:w="1300" w:type="dxa"/>
            <w:noWrap/>
            <w:hideMark/>
          </w:tcPr>
          <w:p w14:paraId="5F982B2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6.15%</w:t>
            </w:r>
          </w:p>
        </w:tc>
      </w:tr>
      <w:tr w:rsidR="00A73FEB" w:rsidRPr="00A73FEB" w14:paraId="29F3F710" w14:textId="77777777" w:rsidTr="00460A14">
        <w:trPr>
          <w:trHeight w:val="320"/>
        </w:trPr>
        <w:tc>
          <w:tcPr>
            <w:tcW w:w="3680" w:type="dxa"/>
            <w:vMerge w:val="restart"/>
            <w:noWrap/>
            <w:vAlign w:val="center"/>
            <w:hideMark/>
          </w:tcPr>
          <w:p w14:paraId="42A4F14C" w14:textId="77777777" w:rsidR="00A73FEB" w:rsidRPr="00A73FEB" w:rsidRDefault="00A73FEB" w:rsidP="00460A14">
            <w:pPr>
              <w:jc w:val="cente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 xml:space="preserve">Z17 </w:t>
            </w:r>
            <w:r w:rsidRPr="00A73FEB">
              <w:rPr>
                <w:rFonts w:ascii="PingFang TC" w:eastAsia="PingFang TC" w:hAnsi="PingFang TC" w:cs="PingFang TC" w:hint="eastAsia"/>
                <w:kern w:val="0"/>
                <w:sz w:val="18"/>
                <w:szCs w:val="18"/>
                <w14:ligatures w14:val="none"/>
              </w:rPr>
              <w:t>美国优质股权基金</w:t>
            </w:r>
          </w:p>
        </w:tc>
        <w:tc>
          <w:tcPr>
            <w:tcW w:w="1300" w:type="dxa"/>
            <w:noWrap/>
            <w:hideMark/>
          </w:tcPr>
          <w:p w14:paraId="4CC9DA2F"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10/30/24</w:t>
            </w:r>
          </w:p>
        </w:tc>
        <w:tc>
          <w:tcPr>
            <w:tcW w:w="1300" w:type="dxa"/>
            <w:noWrap/>
            <w:hideMark/>
          </w:tcPr>
          <w:p w14:paraId="76C4144A"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0.054</w:t>
            </w:r>
          </w:p>
        </w:tc>
        <w:tc>
          <w:tcPr>
            <w:tcW w:w="1300" w:type="dxa"/>
            <w:noWrap/>
            <w:hideMark/>
          </w:tcPr>
          <w:p w14:paraId="5B4B453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44345</w:t>
            </w:r>
          </w:p>
        </w:tc>
        <w:tc>
          <w:tcPr>
            <w:tcW w:w="1380" w:type="dxa"/>
            <w:noWrap/>
            <w:hideMark/>
          </w:tcPr>
          <w:p w14:paraId="71AAD280"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2395</w:t>
            </w:r>
          </w:p>
        </w:tc>
        <w:tc>
          <w:tcPr>
            <w:tcW w:w="1300" w:type="dxa"/>
            <w:noWrap/>
            <w:hideMark/>
          </w:tcPr>
          <w:p w14:paraId="415A66F2"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399992</w:t>
            </w:r>
          </w:p>
        </w:tc>
        <w:tc>
          <w:tcPr>
            <w:tcW w:w="1300" w:type="dxa"/>
            <w:noWrap/>
            <w:hideMark/>
          </w:tcPr>
          <w:p w14:paraId="442C21B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0.60%</w:t>
            </w:r>
          </w:p>
        </w:tc>
        <w:tc>
          <w:tcPr>
            <w:tcW w:w="1300" w:type="dxa"/>
            <w:noWrap/>
            <w:hideMark/>
          </w:tcPr>
          <w:p w14:paraId="6C162E1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7.18%</w:t>
            </w:r>
          </w:p>
        </w:tc>
      </w:tr>
      <w:tr w:rsidR="00A73FEB" w:rsidRPr="00A73FEB" w14:paraId="2CF53E88" w14:textId="77777777" w:rsidTr="00A73FEB">
        <w:trPr>
          <w:trHeight w:val="320"/>
        </w:trPr>
        <w:tc>
          <w:tcPr>
            <w:tcW w:w="3680" w:type="dxa"/>
            <w:vMerge/>
            <w:hideMark/>
          </w:tcPr>
          <w:p w14:paraId="0F59E347" w14:textId="77777777" w:rsidR="00A73FEB" w:rsidRPr="00A73FEB" w:rsidRDefault="00A73FEB" w:rsidP="00A73FEB">
            <w:pPr>
              <w:rPr>
                <w:rFonts w:ascii="Times New Roman" w:eastAsia="Times New Roman" w:hAnsi="Times New Roman" w:cs="Times New Roman"/>
                <w:kern w:val="0"/>
                <w:sz w:val="18"/>
                <w:szCs w:val="18"/>
                <w14:ligatures w14:val="none"/>
              </w:rPr>
            </w:pPr>
          </w:p>
        </w:tc>
        <w:tc>
          <w:tcPr>
            <w:tcW w:w="1300" w:type="dxa"/>
            <w:noWrap/>
            <w:hideMark/>
          </w:tcPr>
          <w:p w14:paraId="0670D2B1"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11/28/24</w:t>
            </w:r>
          </w:p>
        </w:tc>
        <w:tc>
          <w:tcPr>
            <w:tcW w:w="1300" w:type="dxa"/>
            <w:noWrap/>
            <w:hideMark/>
          </w:tcPr>
          <w:p w14:paraId="314F971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0.054</w:t>
            </w:r>
          </w:p>
        </w:tc>
        <w:tc>
          <w:tcPr>
            <w:tcW w:w="1300" w:type="dxa"/>
            <w:noWrap/>
            <w:hideMark/>
          </w:tcPr>
          <w:p w14:paraId="5564D99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44345</w:t>
            </w:r>
          </w:p>
        </w:tc>
        <w:tc>
          <w:tcPr>
            <w:tcW w:w="1380" w:type="dxa"/>
            <w:noWrap/>
            <w:hideMark/>
          </w:tcPr>
          <w:p w14:paraId="18FCA6EA"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2395</w:t>
            </w:r>
          </w:p>
        </w:tc>
        <w:tc>
          <w:tcPr>
            <w:tcW w:w="1300" w:type="dxa"/>
            <w:noWrap/>
            <w:hideMark/>
          </w:tcPr>
          <w:p w14:paraId="2F9C1AC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399992</w:t>
            </w:r>
          </w:p>
        </w:tc>
        <w:tc>
          <w:tcPr>
            <w:tcW w:w="1300" w:type="dxa"/>
            <w:noWrap/>
            <w:hideMark/>
          </w:tcPr>
          <w:p w14:paraId="12BD025E"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0.60%</w:t>
            </w:r>
          </w:p>
        </w:tc>
        <w:tc>
          <w:tcPr>
            <w:tcW w:w="1300" w:type="dxa"/>
            <w:noWrap/>
            <w:hideMark/>
          </w:tcPr>
          <w:p w14:paraId="78108618"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7.18%</w:t>
            </w:r>
          </w:p>
        </w:tc>
      </w:tr>
      <w:tr w:rsidR="00A73FEB" w:rsidRPr="00A73FEB" w14:paraId="3DBBC95E" w14:textId="77777777" w:rsidTr="00A73FEB">
        <w:trPr>
          <w:trHeight w:val="320"/>
        </w:trPr>
        <w:tc>
          <w:tcPr>
            <w:tcW w:w="3680" w:type="dxa"/>
            <w:vMerge/>
            <w:hideMark/>
          </w:tcPr>
          <w:p w14:paraId="576CABF7" w14:textId="77777777" w:rsidR="00A73FEB" w:rsidRPr="00A73FEB" w:rsidRDefault="00A73FEB" w:rsidP="00A73FEB">
            <w:pPr>
              <w:rPr>
                <w:rFonts w:ascii="Times New Roman" w:eastAsia="Times New Roman" w:hAnsi="Times New Roman" w:cs="Times New Roman"/>
                <w:kern w:val="0"/>
                <w:sz w:val="18"/>
                <w:szCs w:val="18"/>
                <w14:ligatures w14:val="none"/>
              </w:rPr>
            </w:pPr>
          </w:p>
        </w:tc>
        <w:tc>
          <w:tcPr>
            <w:tcW w:w="1300" w:type="dxa"/>
            <w:noWrap/>
            <w:hideMark/>
          </w:tcPr>
          <w:p w14:paraId="7F0E044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12/24/24</w:t>
            </w:r>
          </w:p>
        </w:tc>
        <w:tc>
          <w:tcPr>
            <w:tcW w:w="1300" w:type="dxa"/>
            <w:noWrap/>
            <w:hideMark/>
          </w:tcPr>
          <w:p w14:paraId="57C7516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0.054</w:t>
            </w:r>
          </w:p>
        </w:tc>
        <w:tc>
          <w:tcPr>
            <w:tcW w:w="1300" w:type="dxa"/>
            <w:noWrap/>
            <w:hideMark/>
          </w:tcPr>
          <w:p w14:paraId="148A4053"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44345</w:t>
            </w:r>
          </w:p>
        </w:tc>
        <w:tc>
          <w:tcPr>
            <w:tcW w:w="1380" w:type="dxa"/>
            <w:noWrap/>
            <w:hideMark/>
          </w:tcPr>
          <w:p w14:paraId="16D25F3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2395</w:t>
            </w:r>
          </w:p>
        </w:tc>
        <w:tc>
          <w:tcPr>
            <w:tcW w:w="1300" w:type="dxa"/>
            <w:noWrap/>
            <w:hideMark/>
          </w:tcPr>
          <w:p w14:paraId="1F9B50CB"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399992</w:t>
            </w:r>
          </w:p>
        </w:tc>
        <w:tc>
          <w:tcPr>
            <w:tcW w:w="1300" w:type="dxa"/>
            <w:noWrap/>
            <w:hideMark/>
          </w:tcPr>
          <w:p w14:paraId="24773BB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0.60%</w:t>
            </w:r>
          </w:p>
        </w:tc>
        <w:tc>
          <w:tcPr>
            <w:tcW w:w="1300" w:type="dxa"/>
            <w:noWrap/>
            <w:hideMark/>
          </w:tcPr>
          <w:p w14:paraId="0D3B79C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7.18%</w:t>
            </w:r>
          </w:p>
        </w:tc>
      </w:tr>
      <w:tr w:rsidR="00A73FEB" w:rsidRPr="00A73FEB" w14:paraId="4A6E1D93" w14:textId="77777777" w:rsidTr="00A73FEB">
        <w:trPr>
          <w:trHeight w:val="320"/>
        </w:trPr>
        <w:tc>
          <w:tcPr>
            <w:tcW w:w="3680" w:type="dxa"/>
            <w:vMerge/>
            <w:hideMark/>
          </w:tcPr>
          <w:p w14:paraId="68290193" w14:textId="77777777" w:rsidR="00A73FEB" w:rsidRPr="00A73FEB" w:rsidRDefault="00A73FEB" w:rsidP="00A73FEB">
            <w:pPr>
              <w:rPr>
                <w:rFonts w:ascii="Times New Roman" w:eastAsia="Times New Roman" w:hAnsi="Times New Roman" w:cs="Times New Roman"/>
                <w:kern w:val="0"/>
                <w:sz w:val="18"/>
                <w:szCs w:val="18"/>
                <w14:ligatures w14:val="none"/>
              </w:rPr>
            </w:pPr>
          </w:p>
        </w:tc>
        <w:tc>
          <w:tcPr>
            <w:tcW w:w="1300" w:type="dxa"/>
            <w:noWrap/>
            <w:hideMark/>
          </w:tcPr>
          <w:p w14:paraId="082E49D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1/31/25</w:t>
            </w:r>
          </w:p>
        </w:tc>
        <w:tc>
          <w:tcPr>
            <w:tcW w:w="1300" w:type="dxa"/>
            <w:noWrap/>
            <w:hideMark/>
          </w:tcPr>
          <w:p w14:paraId="72D42E2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0.054</w:t>
            </w:r>
          </w:p>
        </w:tc>
        <w:tc>
          <w:tcPr>
            <w:tcW w:w="1300" w:type="dxa"/>
            <w:noWrap/>
            <w:hideMark/>
          </w:tcPr>
          <w:p w14:paraId="50FB4E9B"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44345</w:t>
            </w:r>
          </w:p>
        </w:tc>
        <w:tc>
          <w:tcPr>
            <w:tcW w:w="1380" w:type="dxa"/>
            <w:noWrap/>
            <w:hideMark/>
          </w:tcPr>
          <w:p w14:paraId="5403723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2395</w:t>
            </w:r>
          </w:p>
        </w:tc>
        <w:tc>
          <w:tcPr>
            <w:tcW w:w="1300" w:type="dxa"/>
            <w:noWrap/>
            <w:hideMark/>
          </w:tcPr>
          <w:p w14:paraId="23427783"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399992</w:t>
            </w:r>
          </w:p>
        </w:tc>
        <w:tc>
          <w:tcPr>
            <w:tcW w:w="1300" w:type="dxa"/>
            <w:noWrap/>
            <w:hideMark/>
          </w:tcPr>
          <w:p w14:paraId="47EF9EE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0.60%</w:t>
            </w:r>
          </w:p>
        </w:tc>
        <w:tc>
          <w:tcPr>
            <w:tcW w:w="1300" w:type="dxa"/>
            <w:noWrap/>
            <w:hideMark/>
          </w:tcPr>
          <w:p w14:paraId="4EAFD43E"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7.18%</w:t>
            </w:r>
          </w:p>
        </w:tc>
      </w:tr>
      <w:tr w:rsidR="00A73FEB" w:rsidRPr="00A73FEB" w14:paraId="1A2162B7" w14:textId="77777777" w:rsidTr="00A73FEB">
        <w:trPr>
          <w:trHeight w:val="320"/>
        </w:trPr>
        <w:tc>
          <w:tcPr>
            <w:tcW w:w="3680" w:type="dxa"/>
            <w:vMerge/>
            <w:hideMark/>
          </w:tcPr>
          <w:p w14:paraId="7D715C14" w14:textId="77777777" w:rsidR="00A73FEB" w:rsidRPr="00A73FEB" w:rsidRDefault="00A73FEB" w:rsidP="00A73FEB">
            <w:pPr>
              <w:rPr>
                <w:rFonts w:ascii="Times New Roman" w:eastAsia="Times New Roman" w:hAnsi="Times New Roman" w:cs="Times New Roman"/>
                <w:kern w:val="0"/>
                <w:sz w:val="18"/>
                <w:szCs w:val="18"/>
                <w14:ligatures w14:val="none"/>
              </w:rPr>
            </w:pPr>
          </w:p>
        </w:tc>
        <w:tc>
          <w:tcPr>
            <w:tcW w:w="1300" w:type="dxa"/>
            <w:noWrap/>
            <w:hideMark/>
          </w:tcPr>
          <w:p w14:paraId="00E656A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2/28/25</w:t>
            </w:r>
          </w:p>
        </w:tc>
        <w:tc>
          <w:tcPr>
            <w:tcW w:w="1300" w:type="dxa"/>
            <w:noWrap/>
            <w:hideMark/>
          </w:tcPr>
          <w:p w14:paraId="1F96904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0.0545</w:t>
            </w:r>
          </w:p>
        </w:tc>
        <w:tc>
          <w:tcPr>
            <w:tcW w:w="1300" w:type="dxa"/>
            <w:noWrap/>
            <w:hideMark/>
          </w:tcPr>
          <w:p w14:paraId="6E2A685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44345</w:t>
            </w:r>
          </w:p>
        </w:tc>
        <w:tc>
          <w:tcPr>
            <w:tcW w:w="1380" w:type="dxa"/>
            <w:noWrap/>
            <w:hideMark/>
          </w:tcPr>
          <w:p w14:paraId="6BF271F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2417</w:t>
            </w:r>
          </w:p>
        </w:tc>
        <w:tc>
          <w:tcPr>
            <w:tcW w:w="1300" w:type="dxa"/>
            <w:noWrap/>
            <w:hideMark/>
          </w:tcPr>
          <w:p w14:paraId="4F0AFF6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399992</w:t>
            </w:r>
          </w:p>
        </w:tc>
        <w:tc>
          <w:tcPr>
            <w:tcW w:w="1300" w:type="dxa"/>
            <w:noWrap/>
            <w:hideMark/>
          </w:tcPr>
          <w:p w14:paraId="73F4D0D5"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0.60%</w:t>
            </w:r>
          </w:p>
        </w:tc>
        <w:tc>
          <w:tcPr>
            <w:tcW w:w="1300" w:type="dxa"/>
            <w:noWrap/>
            <w:hideMark/>
          </w:tcPr>
          <w:p w14:paraId="11FC60FC"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7.25%</w:t>
            </w:r>
          </w:p>
        </w:tc>
      </w:tr>
      <w:tr w:rsidR="00A73FEB" w:rsidRPr="00A73FEB" w14:paraId="6DC3FCD8" w14:textId="77777777" w:rsidTr="00A73FEB">
        <w:trPr>
          <w:trHeight w:val="320"/>
        </w:trPr>
        <w:tc>
          <w:tcPr>
            <w:tcW w:w="3680" w:type="dxa"/>
            <w:vMerge/>
            <w:hideMark/>
          </w:tcPr>
          <w:p w14:paraId="0DD4BEAE" w14:textId="77777777" w:rsidR="00A73FEB" w:rsidRPr="00A73FEB" w:rsidRDefault="00A73FEB" w:rsidP="00A73FEB">
            <w:pPr>
              <w:rPr>
                <w:rFonts w:ascii="Times New Roman" w:eastAsia="Times New Roman" w:hAnsi="Times New Roman" w:cs="Times New Roman"/>
                <w:kern w:val="0"/>
                <w:sz w:val="18"/>
                <w:szCs w:val="18"/>
                <w14:ligatures w14:val="none"/>
              </w:rPr>
            </w:pPr>
          </w:p>
        </w:tc>
        <w:tc>
          <w:tcPr>
            <w:tcW w:w="1300" w:type="dxa"/>
            <w:noWrap/>
            <w:hideMark/>
          </w:tcPr>
          <w:p w14:paraId="35A3D58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3/31/25</w:t>
            </w:r>
          </w:p>
        </w:tc>
        <w:tc>
          <w:tcPr>
            <w:tcW w:w="1300" w:type="dxa"/>
            <w:noWrap/>
            <w:hideMark/>
          </w:tcPr>
          <w:p w14:paraId="69437E5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0.0545</w:t>
            </w:r>
          </w:p>
        </w:tc>
        <w:tc>
          <w:tcPr>
            <w:tcW w:w="1300" w:type="dxa"/>
            <w:noWrap/>
            <w:hideMark/>
          </w:tcPr>
          <w:p w14:paraId="5D530228"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44345</w:t>
            </w:r>
          </w:p>
        </w:tc>
        <w:tc>
          <w:tcPr>
            <w:tcW w:w="1380" w:type="dxa"/>
            <w:noWrap/>
            <w:hideMark/>
          </w:tcPr>
          <w:p w14:paraId="5486B2F7"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2417</w:t>
            </w:r>
          </w:p>
        </w:tc>
        <w:tc>
          <w:tcPr>
            <w:tcW w:w="1300" w:type="dxa"/>
            <w:noWrap/>
            <w:hideMark/>
          </w:tcPr>
          <w:p w14:paraId="4E8C7FED"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399992</w:t>
            </w:r>
          </w:p>
        </w:tc>
        <w:tc>
          <w:tcPr>
            <w:tcW w:w="1300" w:type="dxa"/>
            <w:noWrap/>
            <w:hideMark/>
          </w:tcPr>
          <w:p w14:paraId="7F148AE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0.60%</w:t>
            </w:r>
          </w:p>
        </w:tc>
        <w:tc>
          <w:tcPr>
            <w:tcW w:w="1300" w:type="dxa"/>
            <w:noWrap/>
            <w:hideMark/>
          </w:tcPr>
          <w:p w14:paraId="522197A9"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7.25%</w:t>
            </w:r>
          </w:p>
        </w:tc>
      </w:tr>
      <w:tr w:rsidR="00A73FEB" w:rsidRPr="00A73FEB" w14:paraId="44CC91B6" w14:textId="77777777" w:rsidTr="00A73FEB">
        <w:trPr>
          <w:trHeight w:val="320"/>
        </w:trPr>
        <w:tc>
          <w:tcPr>
            <w:tcW w:w="3680" w:type="dxa"/>
            <w:vMerge/>
            <w:hideMark/>
          </w:tcPr>
          <w:p w14:paraId="12C7CB21" w14:textId="77777777" w:rsidR="00A73FEB" w:rsidRPr="00A73FEB" w:rsidRDefault="00A73FEB" w:rsidP="00A73FEB">
            <w:pPr>
              <w:rPr>
                <w:rFonts w:ascii="Times New Roman" w:eastAsia="Times New Roman" w:hAnsi="Times New Roman" w:cs="Times New Roman"/>
                <w:kern w:val="0"/>
                <w:sz w:val="18"/>
                <w:szCs w:val="18"/>
                <w14:ligatures w14:val="none"/>
              </w:rPr>
            </w:pPr>
          </w:p>
        </w:tc>
        <w:tc>
          <w:tcPr>
            <w:tcW w:w="1300" w:type="dxa"/>
            <w:noWrap/>
            <w:hideMark/>
          </w:tcPr>
          <w:p w14:paraId="15C8709B"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4/30/25</w:t>
            </w:r>
          </w:p>
        </w:tc>
        <w:tc>
          <w:tcPr>
            <w:tcW w:w="1300" w:type="dxa"/>
            <w:noWrap/>
            <w:hideMark/>
          </w:tcPr>
          <w:p w14:paraId="4594A5F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0.0545</w:t>
            </w:r>
          </w:p>
        </w:tc>
        <w:tc>
          <w:tcPr>
            <w:tcW w:w="1300" w:type="dxa"/>
            <w:noWrap/>
            <w:hideMark/>
          </w:tcPr>
          <w:p w14:paraId="72AF4B98"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44345</w:t>
            </w:r>
          </w:p>
        </w:tc>
        <w:tc>
          <w:tcPr>
            <w:tcW w:w="1380" w:type="dxa"/>
            <w:noWrap/>
            <w:hideMark/>
          </w:tcPr>
          <w:p w14:paraId="49F3EAC6"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2417</w:t>
            </w:r>
          </w:p>
        </w:tc>
        <w:tc>
          <w:tcPr>
            <w:tcW w:w="1300" w:type="dxa"/>
            <w:noWrap/>
            <w:hideMark/>
          </w:tcPr>
          <w:p w14:paraId="2D827EA1"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399992</w:t>
            </w:r>
          </w:p>
        </w:tc>
        <w:tc>
          <w:tcPr>
            <w:tcW w:w="1300" w:type="dxa"/>
            <w:noWrap/>
            <w:hideMark/>
          </w:tcPr>
          <w:p w14:paraId="0240B205"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0.60%</w:t>
            </w:r>
          </w:p>
        </w:tc>
        <w:tc>
          <w:tcPr>
            <w:tcW w:w="1300" w:type="dxa"/>
            <w:noWrap/>
            <w:hideMark/>
          </w:tcPr>
          <w:p w14:paraId="06FA20E4" w14:textId="77777777" w:rsidR="00A73FEB" w:rsidRPr="00A73FEB" w:rsidRDefault="00A73FEB" w:rsidP="00A73FEB">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7.25%</w:t>
            </w:r>
          </w:p>
        </w:tc>
      </w:tr>
      <w:tr w:rsidR="00A73FEB" w:rsidRPr="00A73FEB" w14:paraId="61549939" w14:textId="77777777" w:rsidTr="00A73FEB">
        <w:trPr>
          <w:trHeight w:val="320"/>
        </w:trPr>
        <w:tc>
          <w:tcPr>
            <w:tcW w:w="7580" w:type="dxa"/>
            <w:gridSpan w:val="4"/>
            <w:noWrap/>
            <w:hideMark/>
          </w:tcPr>
          <w:p w14:paraId="76FEDD81" w14:textId="77777777" w:rsidR="00A73FEB" w:rsidRPr="00A73FEB" w:rsidRDefault="00A73FEB" w:rsidP="00A73FEB">
            <w:pPr>
              <w:jc w:val="center"/>
              <w:rPr>
                <w:rFonts w:ascii="Times New Roman" w:eastAsia="Times New Roman" w:hAnsi="Times New Roman" w:cs="Times New Roman"/>
                <w:kern w:val="0"/>
                <w:sz w:val="18"/>
                <w:szCs w:val="18"/>
                <w14:ligatures w14:val="none"/>
              </w:rPr>
            </w:pPr>
            <w:r w:rsidRPr="00A73FEB">
              <w:rPr>
                <w:rFonts w:ascii="PingFang TC" w:eastAsia="PingFang TC" w:hAnsi="PingFang TC" w:cs="PingFang TC" w:hint="eastAsia"/>
                <w:kern w:val="0"/>
                <w:sz w:val="18"/>
                <w:szCs w:val="18"/>
                <w14:ligatures w14:val="none"/>
              </w:rPr>
              <w:t>合计</w:t>
            </w:r>
          </w:p>
        </w:tc>
        <w:tc>
          <w:tcPr>
            <w:tcW w:w="1380" w:type="dxa"/>
            <w:noWrap/>
            <w:hideMark/>
          </w:tcPr>
          <w:p w14:paraId="2A848C16" w14:textId="5F00B726" w:rsidR="00A73FEB" w:rsidRPr="00A73FEB" w:rsidRDefault="00A73FEB" w:rsidP="00460A14">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38,340</w:t>
            </w:r>
          </w:p>
        </w:tc>
        <w:tc>
          <w:tcPr>
            <w:tcW w:w="1300" w:type="dxa"/>
            <w:noWrap/>
            <w:hideMark/>
          </w:tcPr>
          <w:p w14:paraId="39FEE2F6" w14:textId="59039B8D" w:rsidR="00A73FEB" w:rsidRPr="00A73FEB" w:rsidRDefault="00A73FEB" w:rsidP="00460A14">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999,995</w:t>
            </w:r>
          </w:p>
        </w:tc>
        <w:tc>
          <w:tcPr>
            <w:tcW w:w="1300" w:type="dxa"/>
            <w:noWrap/>
            <w:hideMark/>
          </w:tcPr>
          <w:p w14:paraId="0255CF56" w14:textId="77777777" w:rsidR="00A73FEB" w:rsidRPr="00A73FEB" w:rsidRDefault="00A73FEB" w:rsidP="00460A14">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0.55%</w:t>
            </w:r>
          </w:p>
        </w:tc>
        <w:tc>
          <w:tcPr>
            <w:tcW w:w="1300" w:type="dxa"/>
            <w:noWrap/>
            <w:hideMark/>
          </w:tcPr>
          <w:p w14:paraId="30FFD329" w14:textId="77777777" w:rsidR="00A73FEB" w:rsidRPr="00A73FEB" w:rsidRDefault="00A73FEB" w:rsidP="00460A14">
            <w:pPr>
              <w:rPr>
                <w:rFonts w:ascii="Times New Roman" w:eastAsia="Times New Roman" w:hAnsi="Times New Roman" w:cs="Times New Roman"/>
                <w:kern w:val="0"/>
                <w:sz w:val="18"/>
                <w:szCs w:val="18"/>
                <w14:ligatures w14:val="none"/>
              </w:rPr>
            </w:pPr>
            <w:r w:rsidRPr="00A73FEB">
              <w:rPr>
                <w:rFonts w:ascii="Times New Roman" w:eastAsia="Times New Roman" w:hAnsi="Times New Roman" w:cs="Times New Roman"/>
                <w:kern w:val="0"/>
                <w:sz w:val="18"/>
                <w:szCs w:val="18"/>
                <w14:ligatures w14:val="none"/>
              </w:rPr>
              <w:t>6.57%</w:t>
            </w:r>
          </w:p>
        </w:tc>
      </w:tr>
    </w:tbl>
    <w:p w14:paraId="793E2F5E" w14:textId="77777777" w:rsidR="00A73FEB" w:rsidRDefault="00A73FEB" w:rsidP="00A07C6F">
      <w:pPr>
        <w:spacing w:after="0" w:line="240" w:lineRule="auto"/>
        <w:rPr>
          <w:rFonts w:ascii="Times New Roman" w:eastAsia="Times New Roman" w:hAnsi="Times New Roman" w:cs="Times New Roman"/>
          <w:kern w:val="0"/>
          <w14:ligatures w14:val="none"/>
        </w:rPr>
      </w:pPr>
    </w:p>
    <w:p w14:paraId="22BB8A77" w14:textId="77777777" w:rsidR="00A73FEB" w:rsidRDefault="00A73FEB" w:rsidP="00A07C6F">
      <w:pPr>
        <w:spacing w:after="0" w:line="240" w:lineRule="auto"/>
        <w:rPr>
          <w:rFonts w:ascii="Times New Roman" w:eastAsia="Times New Roman" w:hAnsi="Times New Roman" w:cs="Times New Roman"/>
          <w:kern w:val="0"/>
          <w14:ligatures w14:val="none"/>
        </w:rPr>
      </w:pPr>
    </w:p>
    <w:p w14:paraId="2F3D0028" w14:textId="77777777" w:rsidR="00A73FEB" w:rsidRDefault="00A73FEB" w:rsidP="00A07C6F">
      <w:pPr>
        <w:spacing w:after="0" w:line="240" w:lineRule="auto"/>
        <w:rPr>
          <w:rFonts w:ascii="Times New Roman" w:eastAsia="Times New Roman" w:hAnsi="Times New Roman" w:cs="Times New Roman"/>
          <w:kern w:val="0"/>
          <w14:ligatures w14:val="none"/>
        </w:rPr>
      </w:pPr>
    </w:p>
    <w:p w14:paraId="78C5010B" w14:textId="0FBBB5E0" w:rsidR="00A07C6F" w:rsidRPr="00A07C6F" w:rsidRDefault="00FC6225" w:rsidP="00A07C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E2E528">
          <v:rect id="_x0000_i1025" alt="" style="width:468pt;height:.05pt;mso-width-percent:0;mso-height-percent:0;mso-width-percent:0;mso-height-percent:0" o:hralign="center" o:hrstd="t" o:hr="t" fillcolor="#a0a0a0" stroked="f"/>
        </w:pict>
      </w:r>
    </w:p>
    <w:p w14:paraId="4F9C0828" w14:textId="516629B8"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2FF1D6DA"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r w:rsidRPr="00A07C6F">
        <w:rPr>
          <w:rFonts w:ascii="PingFang TC" w:eastAsia="PingFang TC" w:hAnsi="PingFang TC" w:cs="PingFang TC" w:hint="eastAsia"/>
          <w:b/>
          <w:bCs/>
          <w:kern w:val="0"/>
          <w14:ligatures w14:val="none"/>
        </w:rPr>
        <w:t>旺达财智团</w:t>
      </w:r>
      <w:r w:rsidRPr="00A07C6F">
        <w:rPr>
          <w:rFonts w:ascii="PingFang TC" w:eastAsia="PingFang TC" w:hAnsi="PingFang TC" w:cs="PingFang TC"/>
          <w:b/>
          <w:bCs/>
          <w:kern w:val="0"/>
          <w14:ligatures w14:val="none"/>
        </w:rPr>
        <w:t>队</w:t>
      </w:r>
    </w:p>
    <w:p w14:paraId="6BCC2762" w14:textId="23ADD070"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r w:rsidRPr="00A07C6F">
        <w:rPr>
          <w:rFonts w:ascii="Times New Roman" w:eastAsia="Times New Roman" w:hAnsi="Times New Roman" w:cs="Times New Roman"/>
          <w:kern w:val="0"/>
          <w14:ligatures w14:val="none"/>
        </w:rPr>
        <w:t>2025</w:t>
      </w:r>
      <w:r w:rsidRPr="00A07C6F">
        <w:rPr>
          <w:rFonts w:ascii="PingFang TC" w:eastAsia="PingFang TC" w:hAnsi="PingFang TC" w:cs="PingFang TC" w:hint="eastAsia"/>
          <w:kern w:val="0"/>
          <w14:ligatures w14:val="none"/>
        </w:rPr>
        <w:t>年</w:t>
      </w:r>
      <w:r w:rsidR="00300E28">
        <w:rPr>
          <w:rFonts w:ascii="Times New Roman" w:eastAsia="Times New Roman" w:hAnsi="Times New Roman" w:cs="Times New Roman" w:hint="eastAsia"/>
          <w:kern w:val="0"/>
          <w14:ligatures w14:val="none"/>
        </w:rPr>
        <w:t>5</w:t>
      </w:r>
      <w:r w:rsidRPr="00A07C6F">
        <w:rPr>
          <w:rFonts w:ascii="PingFang TC" w:eastAsia="PingFang TC" w:hAnsi="PingFang TC" w:cs="PingFang TC"/>
          <w:kern w:val="0"/>
          <w14:ligatures w14:val="none"/>
        </w:rPr>
        <w:t>月</w:t>
      </w:r>
    </w:p>
    <w:p w14:paraId="66BB0664"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2FF11780"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4F1F55ED"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0030496E" w14:textId="1E70ACE8" w:rsidR="00394D13" w:rsidRDefault="004517D6" w:rsidP="00394D13">
      <w:pPr>
        <w:rPr>
          <w:rFonts w:ascii="System Font" w:hAnsi="System Font" w:cs="System Font" w:hint="eastAsia"/>
          <w:color w:val="0E0E0E"/>
          <w:kern w:val="0"/>
          <w:sz w:val="20"/>
          <w:szCs w:val="20"/>
        </w:rPr>
      </w:pPr>
      <w:r>
        <w:rPr>
          <w:rFonts w:ascii="System Font" w:hAnsi="System Font" w:cs="System Font" w:hint="eastAsia"/>
          <w:color w:val="0E0E0E"/>
          <w:kern w:val="0"/>
          <w:sz w:val="20"/>
          <w:szCs w:val="20"/>
        </w:rPr>
        <w:t>。。。</w:t>
      </w:r>
    </w:p>
    <w:p w14:paraId="577DBCC1"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0DBF1002"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75D5E10F" w14:textId="77777777" w:rsidR="00394D13" w:rsidRDefault="00000000" w:rsidP="00394D13">
      <w:pPr>
        <w:rPr>
          <w:rFonts w:ascii="System Font" w:hAnsi="System Font" w:cs="System Font"/>
          <w:color w:val="0E0E0E"/>
          <w:kern w:val="0"/>
          <w:sz w:val="20"/>
          <w:szCs w:val="20"/>
        </w:rPr>
      </w:pPr>
      <w:hyperlink r:id="rId8"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1</w:t>
        </w:r>
        <w:r w:rsidR="00394D13" w:rsidRPr="00621667">
          <w:rPr>
            <w:rStyle w:val="Hyperlink"/>
            <w:rFonts w:ascii="System Font" w:hAnsi="System Font" w:cs="System Font"/>
            <w:kern w:val="0"/>
            <w:sz w:val="20"/>
            <w:szCs w:val="20"/>
          </w:rPr>
          <w:t>：什么是投资？探讨投资的底层逻辑与终极目标</w:t>
        </w:r>
      </w:hyperlink>
    </w:p>
    <w:p w14:paraId="2927EF77" w14:textId="77777777" w:rsidR="00394D13" w:rsidRDefault="00000000" w:rsidP="00394D13">
      <w:pPr>
        <w:rPr>
          <w:rFonts w:ascii="System Font" w:hAnsi="System Font" w:cs="System Font"/>
          <w:color w:val="0E0E0E"/>
          <w:kern w:val="0"/>
          <w:sz w:val="20"/>
          <w:szCs w:val="20"/>
        </w:rPr>
      </w:pPr>
      <w:hyperlink r:id="rId9"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2</w:t>
        </w:r>
        <w:r w:rsidR="00394D13" w:rsidRPr="00621667">
          <w:rPr>
            <w:rStyle w:val="Hyperlink"/>
            <w:rFonts w:ascii="System Font" w:hAnsi="System Font" w:cs="System Font"/>
            <w:kern w:val="0"/>
            <w:sz w:val="20"/>
            <w:szCs w:val="20"/>
          </w:rPr>
          <w:t>：如何在波涛汹涌的投资市场中获得长期稳健收益？</w:t>
        </w:r>
      </w:hyperlink>
    </w:p>
    <w:p w14:paraId="7C1A7B2C" w14:textId="77777777" w:rsidR="00394D13" w:rsidRDefault="00394D13" w:rsidP="00394D13">
      <w:pPr>
        <w:rPr>
          <w:rFonts w:ascii="KaiTi" w:eastAsia="KaiTi" w:hAnsi="KaiTi" w:cs="Arial"/>
        </w:rPr>
      </w:pPr>
    </w:p>
    <w:p w14:paraId="1EF44A1C" w14:textId="77777777" w:rsidR="00394D13" w:rsidRDefault="00394D13" w:rsidP="00394D13">
      <w:pPr>
        <w:rPr>
          <w:rFonts w:ascii="KaiTi" w:eastAsia="KaiTi" w:hAnsi="KaiTi" w:cs="Arial"/>
        </w:rPr>
      </w:pPr>
    </w:p>
    <w:p w14:paraId="1CCBE911"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55B9034C"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35C05772"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2EE78C47"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03FD4DCC" w14:textId="77777777" w:rsidR="00394D13" w:rsidRDefault="00394D13" w:rsidP="00394D13">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279E41F5" w14:textId="77777777" w:rsidR="00394D13" w:rsidRDefault="00394D13" w:rsidP="00394D13">
      <w:pPr>
        <w:rPr>
          <w:rFonts w:ascii="System Font" w:hAnsi="System Font" w:cs="System Font"/>
          <w:color w:val="0E0E0E"/>
          <w:kern w:val="0"/>
          <w:sz w:val="20"/>
          <w:szCs w:val="20"/>
        </w:rPr>
      </w:pPr>
    </w:p>
    <w:p w14:paraId="7D552C57" w14:textId="77777777" w:rsidR="00394D13" w:rsidRPr="00433533" w:rsidRDefault="00394D13" w:rsidP="00394D13">
      <w:pPr>
        <w:rPr>
          <w:rFonts w:ascii="KaiTi" w:eastAsia="KaiTi" w:hAnsi="KaiTi" w:cs="Arial"/>
        </w:rPr>
      </w:pPr>
    </w:p>
    <w:p w14:paraId="62439EC5" w14:textId="77777777" w:rsidR="009C5CB2" w:rsidRDefault="009C5CB2"/>
    <w:sectPr w:rsidR="009C5C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ingFang TC">
    <w:panose1 w:val="020B0400000000000000"/>
    <w:charset w:val="88"/>
    <w:family w:val="swiss"/>
    <w:pitch w:val="variable"/>
    <w:sig w:usb0="A00002FF" w:usb1="7ACFFDFB" w:usb2="00000017" w:usb3="00000000" w:csb0="00100001" w:csb1="00000000"/>
  </w:font>
  <w:font w:name="KaiTi">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169E2"/>
    <w:multiLevelType w:val="multilevel"/>
    <w:tmpl w:val="90B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052C"/>
    <w:multiLevelType w:val="multilevel"/>
    <w:tmpl w:val="211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0BBB"/>
    <w:multiLevelType w:val="multilevel"/>
    <w:tmpl w:val="7BE8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87722"/>
    <w:multiLevelType w:val="multilevel"/>
    <w:tmpl w:val="447A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52473"/>
    <w:multiLevelType w:val="multilevel"/>
    <w:tmpl w:val="209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A25CA"/>
    <w:multiLevelType w:val="multilevel"/>
    <w:tmpl w:val="F580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A2C70"/>
    <w:multiLevelType w:val="multilevel"/>
    <w:tmpl w:val="209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0784B"/>
    <w:multiLevelType w:val="multilevel"/>
    <w:tmpl w:val="5CCA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A926A0"/>
    <w:multiLevelType w:val="multilevel"/>
    <w:tmpl w:val="F6F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D65C47"/>
    <w:multiLevelType w:val="multilevel"/>
    <w:tmpl w:val="8FB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550CC"/>
    <w:multiLevelType w:val="multilevel"/>
    <w:tmpl w:val="C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8655">
    <w:abstractNumId w:val="0"/>
  </w:num>
  <w:num w:numId="2" w16cid:durableId="1242523601">
    <w:abstractNumId w:val="1"/>
  </w:num>
  <w:num w:numId="3" w16cid:durableId="117338290">
    <w:abstractNumId w:val="3"/>
  </w:num>
  <w:num w:numId="4" w16cid:durableId="676269359">
    <w:abstractNumId w:val="6"/>
  </w:num>
  <w:num w:numId="5" w16cid:durableId="1409811598">
    <w:abstractNumId w:val="10"/>
  </w:num>
  <w:num w:numId="6" w16cid:durableId="1201746766">
    <w:abstractNumId w:val="9"/>
  </w:num>
  <w:num w:numId="7" w16cid:durableId="1012295041">
    <w:abstractNumId w:val="5"/>
  </w:num>
  <w:num w:numId="8" w16cid:durableId="1792934884">
    <w:abstractNumId w:val="8"/>
  </w:num>
  <w:num w:numId="9" w16cid:durableId="1886788855">
    <w:abstractNumId w:val="7"/>
  </w:num>
  <w:num w:numId="10" w16cid:durableId="299304568">
    <w:abstractNumId w:val="2"/>
  </w:num>
  <w:num w:numId="11" w16cid:durableId="570117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B2"/>
    <w:rsid w:val="00044D66"/>
    <w:rsid w:val="00083DF1"/>
    <w:rsid w:val="001D4EDF"/>
    <w:rsid w:val="00257760"/>
    <w:rsid w:val="00300E28"/>
    <w:rsid w:val="0034739A"/>
    <w:rsid w:val="00375B02"/>
    <w:rsid w:val="00394D13"/>
    <w:rsid w:val="004517D6"/>
    <w:rsid w:val="00460A14"/>
    <w:rsid w:val="00485224"/>
    <w:rsid w:val="006C7B3E"/>
    <w:rsid w:val="007C49F5"/>
    <w:rsid w:val="008A5D18"/>
    <w:rsid w:val="00983EE6"/>
    <w:rsid w:val="00994258"/>
    <w:rsid w:val="009C5CB2"/>
    <w:rsid w:val="00A07C6F"/>
    <w:rsid w:val="00A73FEB"/>
    <w:rsid w:val="00AD24F5"/>
    <w:rsid w:val="00AF0458"/>
    <w:rsid w:val="00B409DE"/>
    <w:rsid w:val="00B42553"/>
    <w:rsid w:val="00B62BEF"/>
    <w:rsid w:val="00B82FA9"/>
    <w:rsid w:val="00B855E4"/>
    <w:rsid w:val="00BD230F"/>
    <w:rsid w:val="00BD235C"/>
    <w:rsid w:val="00C90DC8"/>
    <w:rsid w:val="00D96041"/>
    <w:rsid w:val="00EB08D8"/>
    <w:rsid w:val="00EE3204"/>
    <w:rsid w:val="00F16CC2"/>
    <w:rsid w:val="00FC6225"/>
    <w:rsid w:val="00FE5B92"/>
    <w:rsid w:val="00FF1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0650"/>
  <w15:chartTrackingRefBased/>
  <w15:docId w15:val="{6A39A652-B252-454D-A51A-9928225A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B2"/>
    <w:rPr>
      <w:rFonts w:eastAsiaTheme="majorEastAsia" w:cstheme="majorBidi"/>
      <w:color w:val="272727" w:themeColor="text1" w:themeTint="D8"/>
    </w:rPr>
  </w:style>
  <w:style w:type="paragraph" w:styleId="Title">
    <w:name w:val="Title"/>
    <w:basedOn w:val="Normal"/>
    <w:next w:val="Normal"/>
    <w:link w:val="TitleChar"/>
    <w:uiPriority w:val="10"/>
    <w:qFormat/>
    <w:rsid w:val="009C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B2"/>
    <w:pPr>
      <w:spacing w:before="160"/>
      <w:jc w:val="center"/>
    </w:pPr>
    <w:rPr>
      <w:i/>
      <w:iCs/>
      <w:color w:val="404040" w:themeColor="text1" w:themeTint="BF"/>
    </w:rPr>
  </w:style>
  <w:style w:type="character" w:customStyle="1" w:styleId="QuoteChar">
    <w:name w:val="Quote Char"/>
    <w:basedOn w:val="DefaultParagraphFont"/>
    <w:link w:val="Quote"/>
    <w:uiPriority w:val="29"/>
    <w:rsid w:val="009C5CB2"/>
    <w:rPr>
      <w:i/>
      <w:iCs/>
      <w:color w:val="404040" w:themeColor="text1" w:themeTint="BF"/>
    </w:rPr>
  </w:style>
  <w:style w:type="paragraph" w:styleId="ListParagraph">
    <w:name w:val="List Paragraph"/>
    <w:basedOn w:val="Normal"/>
    <w:uiPriority w:val="34"/>
    <w:qFormat/>
    <w:rsid w:val="009C5CB2"/>
    <w:pPr>
      <w:ind w:left="720"/>
      <w:contextualSpacing/>
    </w:pPr>
  </w:style>
  <w:style w:type="character" w:styleId="IntenseEmphasis">
    <w:name w:val="Intense Emphasis"/>
    <w:basedOn w:val="DefaultParagraphFont"/>
    <w:uiPriority w:val="21"/>
    <w:qFormat/>
    <w:rsid w:val="009C5CB2"/>
    <w:rPr>
      <w:i/>
      <w:iCs/>
      <w:color w:val="0F4761" w:themeColor="accent1" w:themeShade="BF"/>
    </w:rPr>
  </w:style>
  <w:style w:type="paragraph" w:styleId="IntenseQuote">
    <w:name w:val="Intense Quote"/>
    <w:basedOn w:val="Normal"/>
    <w:next w:val="Normal"/>
    <w:link w:val="IntenseQuoteChar"/>
    <w:uiPriority w:val="30"/>
    <w:qFormat/>
    <w:rsid w:val="009C5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CB2"/>
    <w:rPr>
      <w:i/>
      <w:iCs/>
      <w:color w:val="0F4761" w:themeColor="accent1" w:themeShade="BF"/>
    </w:rPr>
  </w:style>
  <w:style w:type="character" w:styleId="IntenseReference">
    <w:name w:val="Intense Reference"/>
    <w:basedOn w:val="DefaultParagraphFont"/>
    <w:uiPriority w:val="32"/>
    <w:qFormat/>
    <w:rsid w:val="009C5CB2"/>
    <w:rPr>
      <w:b/>
      <w:bCs/>
      <w:smallCaps/>
      <w:color w:val="0F4761" w:themeColor="accent1" w:themeShade="BF"/>
      <w:spacing w:val="5"/>
    </w:rPr>
  </w:style>
  <w:style w:type="paragraph" w:customStyle="1" w:styleId="mdc-story-bodyparagraphmdc">
    <w:name w:val="mdc-story-body__paragraph__mdc"/>
    <w:basedOn w:val="Normal"/>
    <w:rsid w:val="009C5C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C5CB2"/>
  </w:style>
  <w:style w:type="character" w:styleId="Hyperlink">
    <w:name w:val="Hyperlink"/>
    <w:basedOn w:val="DefaultParagraphFont"/>
    <w:uiPriority w:val="99"/>
    <w:semiHidden/>
    <w:unhideWhenUsed/>
    <w:rsid w:val="009C5CB2"/>
    <w:rPr>
      <w:color w:val="0000FF"/>
      <w:u w:val="single"/>
    </w:rPr>
  </w:style>
  <w:style w:type="paragraph" w:customStyle="1" w:styleId="p1">
    <w:name w:val="p1"/>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07C6F"/>
  </w:style>
  <w:style w:type="paragraph" w:customStyle="1" w:styleId="p3">
    <w:name w:val="p3"/>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07C6F"/>
  </w:style>
  <w:style w:type="character" w:customStyle="1" w:styleId="s3">
    <w:name w:val="s3"/>
    <w:basedOn w:val="DefaultParagraphFont"/>
    <w:rsid w:val="00A07C6F"/>
  </w:style>
  <w:style w:type="paragraph" w:customStyle="1" w:styleId="p2">
    <w:name w:val="p2"/>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E3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1417">
      <w:bodyDiv w:val="1"/>
      <w:marLeft w:val="0"/>
      <w:marRight w:val="0"/>
      <w:marTop w:val="0"/>
      <w:marBottom w:val="0"/>
      <w:divBdr>
        <w:top w:val="none" w:sz="0" w:space="0" w:color="auto"/>
        <w:left w:val="none" w:sz="0" w:space="0" w:color="auto"/>
        <w:bottom w:val="none" w:sz="0" w:space="0" w:color="auto"/>
        <w:right w:val="none" w:sz="0" w:space="0" w:color="auto"/>
      </w:divBdr>
    </w:div>
    <w:div w:id="68383973">
      <w:bodyDiv w:val="1"/>
      <w:marLeft w:val="0"/>
      <w:marRight w:val="0"/>
      <w:marTop w:val="0"/>
      <w:marBottom w:val="0"/>
      <w:divBdr>
        <w:top w:val="none" w:sz="0" w:space="0" w:color="auto"/>
        <w:left w:val="none" w:sz="0" w:space="0" w:color="auto"/>
        <w:bottom w:val="none" w:sz="0" w:space="0" w:color="auto"/>
        <w:right w:val="none" w:sz="0" w:space="0" w:color="auto"/>
      </w:divBdr>
    </w:div>
    <w:div w:id="170876999">
      <w:bodyDiv w:val="1"/>
      <w:marLeft w:val="0"/>
      <w:marRight w:val="0"/>
      <w:marTop w:val="0"/>
      <w:marBottom w:val="0"/>
      <w:divBdr>
        <w:top w:val="none" w:sz="0" w:space="0" w:color="auto"/>
        <w:left w:val="none" w:sz="0" w:space="0" w:color="auto"/>
        <w:bottom w:val="none" w:sz="0" w:space="0" w:color="auto"/>
        <w:right w:val="none" w:sz="0" w:space="0" w:color="auto"/>
      </w:divBdr>
    </w:div>
    <w:div w:id="196819324">
      <w:bodyDiv w:val="1"/>
      <w:marLeft w:val="0"/>
      <w:marRight w:val="0"/>
      <w:marTop w:val="0"/>
      <w:marBottom w:val="0"/>
      <w:divBdr>
        <w:top w:val="none" w:sz="0" w:space="0" w:color="auto"/>
        <w:left w:val="none" w:sz="0" w:space="0" w:color="auto"/>
        <w:bottom w:val="none" w:sz="0" w:space="0" w:color="auto"/>
        <w:right w:val="none" w:sz="0" w:space="0" w:color="auto"/>
      </w:divBdr>
    </w:div>
    <w:div w:id="660933534">
      <w:bodyDiv w:val="1"/>
      <w:marLeft w:val="0"/>
      <w:marRight w:val="0"/>
      <w:marTop w:val="0"/>
      <w:marBottom w:val="0"/>
      <w:divBdr>
        <w:top w:val="none" w:sz="0" w:space="0" w:color="auto"/>
        <w:left w:val="none" w:sz="0" w:space="0" w:color="auto"/>
        <w:bottom w:val="none" w:sz="0" w:space="0" w:color="auto"/>
        <w:right w:val="none" w:sz="0" w:space="0" w:color="auto"/>
      </w:divBdr>
    </w:div>
    <w:div w:id="715858653">
      <w:bodyDiv w:val="1"/>
      <w:marLeft w:val="0"/>
      <w:marRight w:val="0"/>
      <w:marTop w:val="0"/>
      <w:marBottom w:val="0"/>
      <w:divBdr>
        <w:top w:val="none" w:sz="0" w:space="0" w:color="auto"/>
        <w:left w:val="none" w:sz="0" w:space="0" w:color="auto"/>
        <w:bottom w:val="none" w:sz="0" w:space="0" w:color="auto"/>
        <w:right w:val="none" w:sz="0" w:space="0" w:color="auto"/>
      </w:divBdr>
    </w:div>
    <w:div w:id="727458595">
      <w:bodyDiv w:val="1"/>
      <w:marLeft w:val="0"/>
      <w:marRight w:val="0"/>
      <w:marTop w:val="0"/>
      <w:marBottom w:val="0"/>
      <w:divBdr>
        <w:top w:val="none" w:sz="0" w:space="0" w:color="auto"/>
        <w:left w:val="none" w:sz="0" w:space="0" w:color="auto"/>
        <w:bottom w:val="none" w:sz="0" w:space="0" w:color="auto"/>
        <w:right w:val="none" w:sz="0" w:space="0" w:color="auto"/>
      </w:divBdr>
    </w:div>
    <w:div w:id="885337598">
      <w:bodyDiv w:val="1"/>
      <w:marLeft w:val="0"/>
      <w:marRight w:val="0"/>
      <w:marTop w:val="0"/>
      <w:marBottom w:val="0"/>
      <w:divBdr>
        <w:top w:val="none" w:sz="0" w:space="0" w:color="auto"/>
        <w:left w:val="none" w:sz="0" w:space="0" w:color="auto"/>
        <w:bottom w:val="none" w:sz="0" w:space="0" w:color="auto"/>
        <w:right w:val="none" w:sz="0" w:space="0" w:color="auto"/>
      </w:divBdr>
    </w:div>
    <w:div w:id="968969920">
      <w:bodyDiv w:val="1"/>
      <w:marLeft w:val="0"/>
      <w:marRight w:val="0"/>
      <w:marTop w:val="0"/>
      <w:marBottom w:val="0"/>
      <w:divBdr>
        <w:top w:val="none" w:sz="0" w:space="0" w:color="auto"/>
        <w:left w:val="none" w:sz="0" w:space="0" w:color="auto"/>
        <w:bottom w:val="none" w:sz="0" w:space="0" w:color="auto"/>
        <w:right w:val="none" w:sz="0" w:space="0" w:color="auto"/>
      </w:divBdr>
    </w:div>
    <w:div w:id="1101295363">
      <w:bodyDiv w:val="1"/>
      <w:marLeft w:val="0"/>
      <w:marRight w:val="0"/>
      <w:marTop w:val="0"/>
      <w:marBottom w:val="0"/>
      <w:divBdr>
        <w:top w:val="none" w:sz="0" w:space="0" w:color="auto"/>
        <w:left w:val="none" w:sz="0" w:space="0" w:color="auto"/>
        <w:bottom w:val="none" w:sz="0" w:space="0" w:color="auto"/>
        <w:right w:val="none" w:sz="0" w:space="0" w:color="auto"/>
      </w:divBdr>
    </w:div>
    <w:div w:id="1174030275">
      <w:bodyDiv w:val="1"/>
      <w:marLeft w:val="0"/>
      <w:marRight w:val="0"/>
      <w:marTop w:val="0"/>
      <w:marBottom w:val="0"/>
      <w:divBdr>
        <w:top w:val="none" w:sz="0" w:space="0" w:color="auto"/>
        <w:left w:val="none" w:sz="0" w:space="0" w:color="auto"/>
        <w:bottom w:val="none" w:sz="0" w:space="0" w:color="auto"/>
        <w:right w:val="none" w:sz="0" w:space="0" w:color="auto"/>
      </w:divBdr>
    </w:div>
    <w:div w:id="1260795062">
      <w:bodyDiv w:val="1"/>
      <w:marLeft w:val="0"/>
      <w:marRight w:val="0"/>
      <w:marTop w:val="0"/>
      <w:marBottom w:val="0"/>
      <w:divBdr>
        <w:top w:val="none" w:sz="0" w:space="0" w:color="auto"/>
        <w:left w:val="none" w:sz="0" w:space="0" w:color="auto"/>
        <w:bottom w:val="none" w:sz="0" w:space="0" w:color="auto"/>
        <w:right w:val="none" w:sz="0" w:space="0" w:color="auto"/>
      </w:divBdr>
    </w:div>
    <w:div w:id="1386296861">
      <w:bodyDiv w:val="1"/>
      <w:marLeft w:val="0"/>
      <w:marRight w:val="0"/>
      <w:marTop w:val="0"/>
      <w:marBottom w:val="0"/>
      <w:divBdr>
        <w:top w:val="none" w:sz="0" w:space="0" w:color="auto"/>
        <w:left w:val="none" w:sz="0" w:space="0" w:color="auto"/>
        <w:bottom w:val="none" w:sz="0" w:space="0" w:color="auto"/>
        <w:right w:val="none" w:sz="0" w:space="0" w:color="auto"/>
      </w:divBdr>
    </w:div>
    <w:div w:id="1388606520">
      <w:bodyDiv w:val="1"/>
      <w:marLeft w:val="0"/>
      <w:marRight w:val="0"/>
      <w:marTop w:val="0"/>
      <w:marBottom w:val="0"/>
      <w:divBdr>
        <w:top w:val="none" w:sz="0" w:space="0" w:color="auto"/>
        <w:left w:val="none" w:sz="0" w:space="0" w:color="auto"/>
        <w:bottom w:val="none" w:sz="0" w:space="0" w:color="auto"/>
        <w:right w:val="none" w:sz="0" w:space="0" w:color="auto"/>
      </w:divBdr>
    </w:div>
    <w:div w:id="1545824477">
      <w:bodyDiv w:val="1"/>
      <w:marLeft w:val="0"/>
      <w:marRight w:val="0"/>
      <w:marTop w:val="0"/>
      <w:marBottom w:val="0"/>
      <w:divBdr>
        <w:top w:val="none" w:sz="0" w:space="0" w:color="auto"/>
        <w:left w:val="none" w:sz="0" w:space="0" w:color="auto"/>
        <w:bottom w:val="none" w:sz="0" w:space="0" w:color="auto"/>
        <w:right w:val="none" w:sz="0" w:space="0" w:color="auto"/>
      </w:divBdr>
    </w:div>
    <w:div w:id="1592468509">
      <w:bodyDiv w:val="1"/>
      <w:marLeft w:val="0"/>
      <w:marRight w:val="0"/>
      <w:marTop w:val="0"/>
      <w:marBottom w:val="0"/>
      <w:divBdr>
        <w:top w:val="none" w:sz="0" w:space="0" w:color="auto"/>
        <w:left w:val="none" w:sz="0" w:space="0" w:color="auto"/>
        <w:bottom w:val="none" w:sz="0" w:space="0" w:color="auto"/>
        <w:right w:val="none" w:sz="0" w:space="0" w:color="auto"/>
      </w:divBdr>
      <w:divsChild>
        <w:div w:id="1405226262">
          <w:blockQuote w:val="1"/>
          <w:marLeft w:val="225"/>
          <w:marRight w:val="0"/>
          <w:marTop w:val="0"/>
          <w:marBottom w:val="0"/>
          <w:divBdr>
            <w:top w:val="none" w:sz="0" w:space="0" w:color="auto"/>
            <w:left w:val="none" w:sz="0" w:space="0" w:color="auto"/>
            <w:bottom w:val="none" w:sz="0" w:space="0" w:color="auto"/>
            <w:right w:val="none" w:sz="0" w:space="0" w:color="auto"/>
          </w:divBdr>
        </w:div>
        <w:div w:id="259215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6958843">
      <w:bodyDiv w:val="1"/>
      <w:marLeft w:val="0"/>
      <w:marRight w:val="0"/>
      <w:marTop w:val="0"/>
      <w:marBottom w:val="0"/>
      <w:divBdr>
        <w:top w:val="none" w:sz="0" w:space="0" w:color="auto"/>
        <w:left w:val="none" w:sz="0" w:space="0" w:color="auto"/>
        <w:bottom w:val="none" w:sz="0" w:space="0" w:color="auto"/>
        <w:right w:val="none" w:sz="0" w:space="0" w:color="auto"/>
      </w:divBdr>
    </w:div>
    <w:div w:id="1653634555">
      <w:bodyDiv w:val="1"/>
      <w:marLeft w:val="0"/>
      <w:marRight w:val="0"/>
      <w:marTop w:val="0"/>
      <w:marBottom w:val="0"/>
      <w:divBdr>
        <w:top w:val="none" w:sz="0" w:space="0" w:color="auto"/>
        <w:left w:val="none" w:sz="0" w:space="0" w:color="auto"/>
        <w:bottom w:val="none" w:sz="0" w:space="0" w:color="auto"/>
        <w:right w:val="none" w:sz="0" w:space="0" w:color="auto"/>
      </w:divBdr>
    </w:div>
    <w:div w:id="1712529760">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9</cp:revision>
  <dcterms:created xsi:type="dcterms:W3CDTF">2025-05-27T09:47:00Z</dcterms:created>
  <dcterms:modified xsi:type="dcterms:W3CDTF">2025-05-28T00:41:00Z</dcterms:modified>
</cp:coreProperties>
</file>