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345F" w14:textId="77777777" w:rsidR="009C5CB2" w:rsidRDefault="009C5CB2"/>
    <w:p w14:paraId="4FCA1140" w14:textId="05BC06D1" w:rsidR="00A07C6F" w:rsidRPr="00A07C6F" w:rsidRDefault="00A07C6F" w:rsidP="00A07C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7C6F">
        <w:rPr>
          <w:rFonts w:ascii="Times New Roman" w:eastAsia="Times New Roman" w:hAnsi="Times New Roman" w:cs="Times New Roman"/>
          <w:b/>
          <w:bCs/>
          <w:kern w:val="0"/>
          <w:sz w:val="36"/>
          <w:szCs w:val="36"/>
          <w14:ligatures w14:val="none"/>
        </w:rPr>
        <w:t xml:space="preserve"> </w:t>
      </w:r>
      <w:r w:rsidRPr="00A07C6F">
        <w:rPr>
          <w:rFonts w:ascii="PingFang TC" w:eastAsia="PingFang TC" w:hAnsi="PingFang TC" w:cs="PingFang TC" w:hint="eastAsia"/>
          <w:b/>
          <w:bCs/>
          <w:kern w:val="0"/>
          <w:sz w:val="36"/>
          <w:szCs w:val="36"/>
          <w14:ligatures w14:val="none"/>
        </w:rPr>
        <w:t>旺达财智客户月报（</w:t>
      </w:r>
      <w:r w:rsidRPr="00A07C6F">
        <w:rPr>
          <w:rFonts w:ascii="Times New Roman" w:eastAsia="Times New Roman" w:hAnsi="Times New Roman" w:cs="Times New Roman"/>
          <w:b/>
          <w:bCs/>
          <w:kern w:val="0"/>
          <w:sz w:val="36"/>
          <w:szCs w:val="36"/>
          <w14:ligatures w14:val="none"/>
        </w:rPr>
        <w:t>2025</w:t>
      </w:r>
      <w:r w:rsidRPr="00A07C6F">
        <w:rPr>
          <w:rFonts w:ascii="PingFang TC" w:eastAsia="PingFang TC" w:hAnsi="PingFang TC" w:cs="PingFang TC" w:hint="eastAsia"/>
          <w:b/>
          <w:bCs/>
          <w:kern w:val="0"/>
          <w:sz w:val="36"/>
          <w:szCs w:val="36"/>
          <w14:ligatures w14:val="none"/>
        </w:rPr>
        <w:t>年</w:t>
      </w:r>
      <w:r w:rsidR="00214F37">
        <w:rPr>
          <w:rFonts w:ascii="Times New Roman" w:eastAsia="Times New Roman" w:hAnsi="Times New Roman" w:cs="Times New Roman" w:hint="eastAsia"/>
          <w:b/>
          <w:bCs/>
          <w:kern w:val="0"/>
          <w:sz w:val="36"/>
          <w:szCs w:val="36"/>
          <w14:ligatures w14:val="none"/>
        </w:rPr>
        <w:t>6</w:t>
      </w:r>
      <w:r w:rsidRPr="00A07C6F">
        <w:rPr>
          <w:rFonts w:ascii="PingFang TC" w:eastAsia="PingFang TC" w:hAnsi="PingFang TC" w:cs="PingFang TC" w:hint="eastAsia"/>
          <w:b/>
          <w:bCs/>
          <w:kern w:val="0"/>
          <w:sz w:val="36"/>
          <w:szCs w:val="36"/>
          <w14:ligatures w14:val="none"/>
        </w:rPr>
        <w:t>月</w:t>
      </w:r>
      <w:r w:rsidRPr="00A07C6F">
        <w:rPr>
          <w:rFonts w:ascii="PingFang TC" w:eastAsia="PingFang TC" w:hAnsi="PingFang TC" w:cs="PingFang TC"/>
          <w:b/>
          <w:bCs/>
          <w:kern w:val="0"/>
          <w:sz w:val="36"/>
          <w:szCs w:val="36"/>
          <w14:ligatures w14:val="none"/>
        </w:rPr>
        <w:t>）</w:t>
      </w:r>
    </w:p>
    <w:p w14:paraId="16049B9F"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09F4CC53" w14:textId="3A4FFFF3"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亲爱的客户朋友</w:t>
      </w:r>
      <w:r w:rsidRPr="00D96041">
        <w:rPr>
          <w:rFonts w:ascii="KaiTi" w:eastAsia="KaiTi" w:hAnsi="KaiTi" w:cs="PingFang TC"/>
          <w:kern w:val="0"/>
          <w14:ligatures w14:val="none"/>
        </w:rPr>
        <w:t>：</w:t>
      </w:r>
    </w:p>
    <w:p w14:paraId="26E85038" w14:textId="77777777" w:rsidR="00DA5B06" w:rsidRDefault="00DA5B06" w:rsidP="00311A7A">
      <w:pPr>
        <w:spacing w:before="100" w:beforeAutospacing="1" w:after="100" w:afterAutospacing="1" w:line="240" w:lineRule="auto"/>
        <w:rPr>
          <w:rFonts w:ascii="KaiTi" w:eastAsia="KaiTi" w:hAnsi="KaiTi" w:cs="PingFang TC"/>
          <w:kern w:val="0"/>
          <w14:ligatures w14:val="none"/>
        </w:rPr>
      </w:pPr>
    </w:p>
    <w:p w14:paraId="090E690F" w14:textId="77777777" w:rsidR="00DA5B06" w:rsidRPr="00DA5B06" w:rsidRDefault="00DA5B06" w:rsidP="00DA5B06">
      <w:pPr>
        <w:spacing w:before="100" w:beforeAutospacing="1" w:after="100" w:afterAutospacing="1" w:line="240" w:lineRule="auto"/>
        <w:rPr>
          <w:rFonts w:ascii="KaiTi" w:eastAsia="KaiTi" w:hAnsi="KaiTi" w:cs="PingFang TC" w:hint="eastAsia"/>
          <w:kern w:val="0"/>
          <w14:ligatures w14:val="none"/>
        </w:rPr>
      </w:pPr>
      <w:r w:rsidRPr="00DA5B06">
        <w:rPr>
          <w:rFonts w:ascii="KaiTi" w:eastAsia="KaiTi" w:hAnsi="KaiTi" w:cs="PingFang TC" w:hint="eastAsia"/>
          <w:kern w:val="0"/>
          <w14:ligatures w14:val="none"/>
        </w:rPr>
        <w:t>夏至已至，意味着今年已经走过一半。</w:t>
      </w:r>
    </w:p>
    <w:p w14:paraId="55D870E1" w14:textId="08E12903" w:rsidR="00DA5B06" w:rsidRDefault="00DA5B06" w:rsidP="00DA5B06">
      <w:pPr>
        <w:spacing w:before="100" w:beforeAutospacing="1" w:after="100" w:afterAutospacing="1" w:line="240" w:lineRule="auto"/>
        <w:rPr>
          <w:rFonts w:ascii="KaiTi" w:eastAsia="KaiTi" w:hAnsi="KaiTi" w:cs="PingFang TC"/>
          <w:kern w:val="0"/>
          <w14:ligatures w14:val="none"/>
        </w:rPr>
      </w:pPr>
      <w:r w:rsidRPr="00DA5B06">
        <w:rPr>
          <w:rFonts w:ascii="KaiTi" w:eastAsia="KaiTi" w:hAnsi="KaiTi" w:cs="PingFang TC" w:hint="eastAsia"/>
          <w:kern w:val="0"/>
          <w14:ligatures w14:val="none"/>
        </w:rPr>
        <w:t>孩子们也该放暑假了，愿大家都能和家人一起度过一个安心又快乐的假期。</w:t>
      </w:r>
    </w:p>
    <w:p w14:paraId="044DD5D8" w14:textId="77777777" w:rsidR="00DA5B06" w:rsidRDefault="00DA5B06" w:rsidP="00DA5B06">
      <w:pPr>
        <w:spacing w:before="100" w:beforeAutospacing="1" w:after="100" w:afterAutospacing="1" w:line="240" w:lineRule="auto"/>
        <w:rPr>
          <w:rFonts w:ascii="KaiTi" w:eastAsia="KaiTi" w:hAnsi="KaiTi" w:cs="PingFang TC" w:hint="eastAsia"/>
          <w:kern w:val="0"/>
          <w14:ligatures w14:val="none"/>
        </w:rPr>
      </w:pPr>
    </w:p>
    <w:p w14:paraId="0326D4FD" w14:textId="395A3CBA"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这个月</w:t>
      </w:r>
      <w:r>
        <w:rPr>
          <w:rFonts w:ascii="KaiTi" w:eastAsia="KaiTi" w:hAnsi="KaiTi" w:cs="PingFang TC" w:hint="eastAsia"/>
          <w:kern w:val="0"/>
          <w14:ligatures w14:val="none"/>
        </w:rPr>
        <w:t>过半的时候</w:t>
      </w:r>
      <w:r w:rsidRPr="00311A7A">
        <w:rPr>
          <w:rFonts w:ascii="KaiTi" w:eastAsia="KaiTi" w:hAnsi="KaiTi" w:cs="PingFang TC" w:hint="eastAsia"/>
          <w:kern w:val="0"/>
          <w14:ligatures w14:val="none"/>
        </w:rPr>
        <w:t>，我在想</w:t>
      </w:r>
      <w:r>
        <w:rPr>
          <w:rFonts w:ascii="KaiTi" w:eastAsia="KaiTi" w:hAnsi="KaiTi" w:cs="PingFang TC" w:hint="eastAsia"/>
          <w:kern w:val="0"/>
          <w14:ligatures w14:val="none"/>
        </w:rPr>
        <w:t>这个</w:t>
      </w:r>
      <w:r w:rsidRPr="00311A7A">
        <w:rPr>
          <w:rFonts w:ascii="KaiTi" w:eastAsia="KaiTi" w:hAnsi="KaiTi" w:cs="PingFang TC" w:hint="eastAsia"/>
          <w:kern w:val="0"/>
          <w14:ligatures w14:val="none"/>
        </w:rPr>
        <w:t>月的客户通讯</w:t>
      </w:r>
      <w:r>
        <w:rPr>
          <w:rFonts w:ascii="KaiTi" w:eastAsia="KaiTi" w:hAnsi="KaiTi" w:cs="PingFang TC" w:hint="eastAsia"/>
          <w:kern w:val="0"/>
          <w14:ligatures w14:val="none"/>
        </w:rPr>
        <w:t>大概会挺无聊的：</w:t>
      </w:r>
    </w:p>
    <w:p w14:paraId="03C5ABCE" w14:textId="1CE85F93" w:rsidR="00311A7A" w:rsidRPr="00311A7A" w:rsidRDefault="00311A7A" w:rsidP="00311A7A">
      <w:pPr>
        <w:spacing w:before="100" w:beforeAutospacing="1" w:after="100" w:afterAutospacing="1" w:line="240" w:lineRule="auto"/>
        <w:rPr>
          <w:rFonts w:ascii="KaiTi" w:eastAsia="KaiTi" w:hAnsi="KaiTi" w:cs="Times New Roman" w:hint="eastAsia"/>
          <w:kern w:val="0"/>
          <w14:ligatures w14:val="none"/>
        </w:rPr>
      </w:pPr>
      <w:r w:rsidRPr="00311A7A">
        <w:rPr>
          <w:rFonts w:ascii="KaiTi" w:eastAsia="KaiTi" w:hAnsi="KaiTi" w:cs="PingFang TC" w:hint="eastAsia"/>
          <w:kern w:val="0"/>
          <w14:ligatures w14:val="none"/>
        </w:rPr>
        <w:t>那时候，全球股市在</w:t>
      </w:r>
      <w:r w:rsidRPr="00311A7A">
        <w:rPr>
          <w:rFonts w:ascii="KaiTi" w:eastAsia="KaiTi" w:hAnsi="KaiTi" w:cs="Times New Roman"/>
          <w:kern w:val="0"/>
          <w14:ligatures w14:val="none"/>
        </w:rPr>
        <w:t>5</w:t>
      </w:r>
      <w:r w:rsidRPr="00311A7A">
        <w:rPr>
          <w:rFonts w:ascii="KaiTi" w:eastAsia="KaiTi" w:hAnsi="KaiTi" w:cs="PingFang TC" w:hint="eastAsia"/>
          <w:kern w:val="0"/>
          <w14:ligatures w14:val="none"/>
        </w:rPr>
        <w:t>月强势反弹后，</w:t>
      </w:r>
      <w:r w:rsidR="00D71483">
        <w:rPr>
          <w:rFonts w:ascii="KaiTi" w:eastAsia="KaiTi" w:hAnsi="KaiTi" w:cs="PingFang TC" w:hint="eastAsia"/>
          <w:kern w:val="0"/>
          <w14:ligatures w14:val="none"/>
        </w:rPr>
        <w:t>好像</w:t>
      </w:r>
      <w:r w:rsidRPr="00311A7A">
        <w:rPr>
          <w:rFonts w:ascii="KaiTi" w:eastAsia="KaiTi" w:hAnsi="KaiTi" w:cs="PingFang TC" w:hint="eastAsia"/>
          <w:kern w:val="0"/>
          <w14:ligatures w14:val="none"/>
        </w:rPr>
        <w:t>进入了一个典型的</w:t>
      </w:r>
      <w:r w:rsidRPr="00311A7A">
        <w:rPr>
          <w:rFonts w:ascii="KaiTi" w:eastAsia="KaiTi" w:hAnsi="KaiTi" w:cs="Times New Roman"/>
          <w:kern w:val="0"/>
          <w14:ligatures w14:val="none"/>
        </w:rPr>
        <w:t>“</w:t>
      </w:r>
      <w:r w:rsidRPr="00311A7A">
        <w:rPr>
          <w:rFonts w:ascii="KaiTi" w:eastAsia="KaiTi" w:hAnsi="KaiTi" w:cs="PingFang TC" w:hint="eastAsia"/>
          <w:kern w:val="0"/>
          <w14:ligatures w14:val="none"/>
        </w:rPr>
        <w:t>拉锯期</w:t>
      </w:r>
      <w:r w:rsidRPr="00311A7A">
        <w:rPr>
          <w:rFonts w:ascii="KaiTi" w:eastAsia="KaiTi" w:hAnsi="KaiTi" w:cs="Times New Roman"/>
          <w:kern w:val="0"/>
          <w14:ligatures w14:val="none"/>
        </w:rPr>
        <w:t>”——</w:t>
      </w:r>
      <w:r w:rsidRPr="00311A7A">
        <w:rPr>
          <w:rFonts w:ascii="KaiTi" w:eastAsia="KaiTi" w:hAnsi="KaiTi" w:cs="PingFang TC" w:hint="eastAsia"/>
          <w:kern w:val="0"/>
          <w14:ligatures w14:val="none"/>
        </w:rPr>
        <w:t>多空僵持，涨不上去也跌不下来。各方都在等待新的经济数据和关税谈判的结果。</w:t>
      </w:r>
      <w:r w:rsidR="00344E79">
        <w:rPr>
          <w:rFonts w:ascii="KaiTi" w:eastAsia="KaiTi" w:hAnsi="KaiTi" w:cs="PingFang TC" w:hint="eastAsia"/>
          <w:kern w:val="0"/>
          <w14:ligatures w14:val="none"/>
        </w:rPr>
        <w:t>好像也没什么特别可写的东西。</w:t>
      </w:r>
    </w:p>
    <w:p w14:paraId="6C3EF067" w14:textId="1BEAC898"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市场看似风平浪静，但总会有意想不到的事在暗处酝酿。</w:t>
      </w:r>
    </w:p>
    <w:p w14:paraId="45999102" w14:textId="777777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果不其然，中旬开始，全球地缘局势突然像点燃了的火药桶：</w:t>
      </w:r>
    </w:p>
    <w:p w14:paraId="2F5CE1A7" w14:textId="777777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以色列突袭伊朗核设施，美军出动</w:t>
      </w:r>
      <w:r w:rsidRPr="00311A7A">
        <w:rPr>
          <w:rFonts w:ascii="KaiTi" w:eastAsia="KaiTi" w:hAnsi="KaiTi" w:cs="Times New Roman"/>
          <w:kern w:val="0"/>
          <w14:ligatures w14:val="none"/>
        </w:rPr>
        <w:t>B-2</w:t>
      </w:r>
      <w:r w:rsidRPr="00311A7A">
        <w:rPr>
          <w:rFonts w:ascii="KaiTi" w:eastAsia="KaiTi" w:hAnsi="KaiTi" w:cs="PingFang TC" w:hint="eastAsia"/>
          <w:kern w:val="0"/>
          <w14:ligatures w14:val="none"/>
        </w:rPr>
        <w:t>轰炸机精准打击，伊朗象征性还击后又迅速停火</w:t>
      </w:r>
      <w:r w:rsidRPr="00311A7A">
        <w:rPr>
          <w:rFonts w:ascii="KaiTi" w:eastAsia="KaiTi" w:hAnsi="KaiTi" w:cs="Times New Roman"/>
          <w:kern w:val="0"/>
          <w14:ligatures w14:val="none"/>
        </w:rPr>
        <w:t>……</w:t>
      </w:r>
    </w:p>
    <w:p w14:paraId="37CD7A2B" w14:textId="1812BBB4"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短短两周，原油、黄金、美股、比特币轮番过山车，情绪从极度恐慌到瞬间回暖，标普</w:t>
      </w:r>
      <w:r w:rsidRPr="00311A7A">
        <w:rPr>
          <w:rFonts w:ascii="KaiTi" w:eastAsia="KaiTi" w:hAnsi="KaiTi" w:cs="Times New Roman"/>
          <w:kern w:val="0"/>
          <w14:ligatures w14:val="none"/>
        </w:rPr>
        <w:t>500</w:t>
      </w:r>
      <w:r w:rsidRPr="00311A7A">
        <w:rPr>
          <w:rFonts w:ascii="KaiTi" w:eastAsia="KaiTi" w:hAnsi="KaiTi" w:cs="PingFang TC" w:hint="eastAsia"/>
          <w:kern w:val="0"/>
          <w14:ligatures w14:val="none"/>
        </w:rPr>
        <w:t>和纳指甚至在剧烈震荡后再创新高。</w:t>
      </w:r>
    </w:p>
    <w:p w14:paraId="54FA8872" w14:textId="01FD5694"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这场</w:t>
      </w:r>
      <w:r w:rsidR="00D71483">
        <w:rPr>
          <w:rFonts w:ascii="KaiTi" w:eastAsia="KaiTi" w:hAnsi="KaiTi" w:cs="PingFang TC" w:hint="eastAsia"/>
          <w:kern w:val="0"/>
          <w14:ligatures w14:val="none"/>
        </w:rPr>
        <w:t>仅仅</w:t>
      </w:r>
      <w:r w:rsidRPr="00311A7A">
        <w:rPr>
          <w:rFonts w:ascii="KaiTi" w:eastAsia="KaiTi" w:hAnsi="KaiTi" w:cs="PingFang TC" w:hint="eastAsia"/>
          <w:kern w:val="0"/>
          <w14:ligatures w14:val="none"/>
        </w:rPr>
        <w:t>维持了不到两周的「地缘风暴」再次提醒我们三件事：</w:t>
      </w:r>
    </w:p>
    <w:p w14:paraId="2A5170A8" w14:textId="4B9946D9" w:rsidR="00311A7A" w:rsidRPr="00311A7A" w:rsidRDefault="00311A7A" w:rsidP="00311A7A">
      <w:pPr>
        <w:spacing w:before="100" w:beforeAutospacing="1" w:after="100" w:afterAutospacing="1" w:line="240" w:lineRule="auto"/>
        <w:rPr>
          <w:rFonts w:ascii="KaiTi" w:eastAsia="KaiTi" w:hAnsi="KaiTi" w:cs="Times New Roman"/>
          <w:b/>
          <w:bCs/>
          <w:kern w:val="0"/>
          <w14:ligatures w14:val="none"/>
        </w:rPr>
      </w:pPr>
      <w:r w:rsidRPr="00311A7A">
        <w:rPr>
          <w:rFonts w:ascii="KaiTi" w:eastAsia="KaiTi" w:hAnsi="KaiTi" w:cs="PingFang TC" w:hint="eastAsia"/>
          <w:b/>
          <w:bCs/>
          <w:kern w:val="0"/>
          <w14:ligatures w14:val="none"/>
        </w:rPr>
        <w:t>第一，市场无法预测，波动是常态</w:t>
      </w:r>
    </w:p>
    <w:p w14:paraId="479AC290" w14:textId="1726EE86" w:rsidR="00D71483" w:rsidRPr="00311A7A" w:rsidRDefault="00311A7A" w:rsidP="00311A7A">
      <w:pPr>
        <w:spacing w:before="100" w:beforeAutospacing="1" w:after="100" w:afterAutospacing="1" w:line="240" w:lineRule="auto"/>
        <w:rPr>
          <w:rFonts w:ascii="KaiTi" w:eastAsia="KaiTi" w:hAnsi="KaiTi" w:cs="PingFang TC"/>
          <w:kern w:val="0"/>
          <w14:ligatures w14:val="none"/>
        </w:rPr>
      </w:pPr>
      <w:r w:rsidRPr="00311A7A">
        <w:rPr>
          <w:rFonts w:ascii="KaiTi" w:eastAsia="KaiTi" w:hAnsi="KaiTi" w:cs="PingFang TC" w:hint="eastAsia"/>
          <w:kern w:val="0"/>
          <w14:ligatures w14:val="none"/>
        </w:rPr>
        <w:t>无论是贸易战、突发冲突、还是黑天鹅，都几乎年年发生。行情永</w:t>
      </w:r>
      <w:r w:rsidRPr="00311A7A">
        <w:rPr>
          <w:rFonts w:ascii="KaiTi" w:eastAsia="KaiTi" w:hAnsi="KaiTi" w:cs="SimSun" w:hint="eastAsia"/>
          <w:kern w:val="0"/>
          <w14:ligatures w14:val="none"/>
        </w:rPr>
        <w:t>远</w:t>
      </w:r>
      <w:r w:rsidRPr="00311A7A">
        <w:rPr>
          <w:rFonts w:ascii="KaiTi" w:eastAsia="KaiTi" w:hAnsi="KaiTi" w:cs="PingFang TC" w:hint="eastAsia"/>
          <w:kern w:val="0"/>
          <w14:ligatures w14:val="none"/>
        </w:rPr>
        <w:t>是剧烈波动的，只是这次轮到哪条线而已。</w:t>
      </w:r>
    </w:p>
    <w:p w14:paraId="0A8FEC9C" w14:textId="523FC733" w:rsidR="00311A7A" w:rsidRPr="00311A7A" w:rsidRDefault="00311A7A" w:rsidP="00311A7A">
      <w:pPr>
        <w:spacing w:before="100" w:beforeAutospacing="1" w:after="100" w:afterAutospacing="1" w:line="240" w:lineRule="auto"/>
        <w:rPr>
          <w:rFonts w:ascii="KaiTi" w:eastAsia="KaiTi" w:hAnsi="KaiTi" w:cs="Times New Roman"/>
          <w:b/>
          <w:bCs/>
          <w:kern w:val="0"/>
          <w14:ligatures w14:val="none"/>
        </w:rPr>
      </w:pPr>
      <w:r w:rsidRPr="00311A7A">
        <w:rPr>
          <w:rFonts w:ascii="KaiTi" w:eastAsia="KaiTi" w:hAnsi="KaiTi" w:cs="PingFang TC" w:hint="eastAsia"/>
          <w:b/>
          <w:bCs/>
          <w:kern w:val="0"/>
          <w14:ligatures w14:val="none"/>
        </w:rPr>
        <w:t>第二，普通人别幻想靠</w:t>
      </w:r>
      <w:r w:rsidRPr="00311A7A">
        <w:rPr>
          <w:rFonts w:ascii="KaiTi" w:eastAsia="KaiTi" w:hAnsi="KaiTi" w:cs="Times New Roman"/>
          <w:b/>
          <w:bCs/>
          <w:kern w:val="0"/>
          <w14:ligatures w14:val="none"/>
        </w:rPr>
        <w:t>“</w:t>
      </w:r>
      <w:r w:rsidRPr="00311A7A">
        <w:rPr>
          <w:rFonts w:ascii="KaiTi" w:eastAsia="KaiTi" w:hAnsi="KaiTi" w:cs="PingFang TC" w:hint="eastAsia"/>
          <w:b/>
          <w:bCs/>
          <w:kern w:val="0"/>
          <w14:ligatures w14:val="none"/>
        </w:rPr>
        <w:t>追消息</w:t>
      </w:r>
      <w:r w:rsidRPr="00311A7A">
        <w:rPr>
          <w:rFonts w:ascii="KaiTi" w:eastAsia="KaiTi" w:hAnsi="KaiTi" w:cs="Times New Roman"/>
          <w:b/>
          <w:bCs/>
          <w:kern w:val="0"/>
          <w14:ligatures w14:val="none"/>
        </w:rPr>
        <w:t>”</w:t>
      </w:r>
      <w:r w:rsidRPr="00311A7A">
        <w:rPr>
          <w:rFonts w:ascii="KaiTi" w:eastAsia="KaiTi" w:hAnsi="KaiTi" w:cs="PingFang TC" w:hint="eastAsia"/>
          <w:b/>
          <w:bCs/>
          <w:kern w:val="0"/>
          <w14:ligatures w14:val="none"/>
        </w:rPr>
        <w:t>获利</w:t>
      </w:r>
    </w:p>
    <w:p w14:paraId="4E74E3DB" w14:textId="777777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lastRenderedPageBreak/>
        <w:t>即使事件发生在眼前，你也很难在价格反应之前有信息优势，更别提在短时间内精准进出场。</w:t>
      </w:r>
    </w:p>
    <w:p w14:paraId="1655F346" w14:textId="476D8F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但对于长期合作的家庭客户朋友，我们有句</w:t>
      </w:r>
      <w:r w:rsidR="00344E79">
        <w:rPr>
          <w:rFonts w:ascii="KaiTi" w:eastAsia="KaiTi" w:hAnsi="KaiTi" w:cs="PingFang TC" w:hint="eastAsia"/>
          <w:kern w:val="0"/>
          <w14:ligatures w14:val="none"/>
        </w:rPr>
        <w:t>中肯</w:t>
      </w:r>
      <w:r w:rsidRPr="00311A7A">
        <w:rPr>
          <w:rFonts w:ascii="KaiTi" w:eastAsia="KaiTi" w:hAnsi="KaiTi" w:cs="PingFang TC" w:hint="eastAsia"/>
          <w:kern w:val="0"/>
          <w14:ligatures w14:val="none"/>
        </w:rPr>
        <w:t>的话要说：</w:t>
      </w:r>
    </w:p>
    <w:p w14:paraId="7A627667" w14:textId="777777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真正的投资机会，并非来自普通人在短期市场动荡中的博弈。</w:t>
      </w:r>
    </w:p>
    <w:p w14:paraId="15AB35B2" w14:textId="71B55333"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因为我们无法预测战争何时爆发，无法判断油价何时见顶，更不可能每次都精准把握市场反弹节奏。这不是普通人能玩的游戏。</w:t>
      </w:r>
    </w:p>
    <w:p w14:paraId="48D3E9B8" w14:textId="301448C4" w:rsidR="00311A7A" w:rsidRPr="00311A7A" w:rsidRDefault="00344E79" w:rsidP="00311A7A">
      <w:pPr>
        <w:spacing w:before="100" w:beforeAutospacing="1" w:after="100" w:afterAutospacing="1" w:line="240" w:lineRule="auto"/>
        <w:rPr>
          <w:rFonts w:ascii="KaiTi" w:eastAsia="KaiTi" w:hAnsi="KaiTi" w:cs="Times New Roman"/>
          <w:kern w:val="0"/>
          <w14:ligatures w14:val="none"/>
        </w:rPr>
      </w:pPr>
      <w:r>
        <w:rPr>
          <w:rFonts w:ascii="KaiTi" w:eastAsia="KaiTi" w:hAnsi="KaiTi" w:cs="PingFang TC" w:hint="eastAsia"/>
          <w:kern w:val="0"/>
          <w14:ligatures w14:val="none"/>
        </w:rPr>
        <w:t>这么多年来</w:t>
      </w:r>
      <w:r w:rsidR="00311A7A" w:rsidRPr="00311A7A">
        <w:rPr>
          <w:rFonts w:ascii="KaiTi" w:eastAsia="KaiTi" w:hAnsi="KaiTi" w:cs="PingFang TC" w:hint="eastAsia"/>
          <w:kern w:val="0"/>
          <w14:ligatures w14:val="none"/>
        </w:rPr>
        <w:t>，绝大多数家庭投资的教训，都是在</w:t>
      </w:r>
      <w:r w:rsidR="00311A7A" w:rsidRPr="00311A7A">
        <w:rPr>
          <w:rFonts w:ascii="KaiTi" w:eastAsia="KaiTi" w:hAnsi="KaiTi" w:cs="Times New Roman"/>
          <w:kern w:val="0"/>
          <w14:ligatures w14:val="none"/>
        </w:rPr>
        <w:t>“</w:t>
      </w:r>
      <w:r w:rsidR="00311A7A" w:rsidRPr="00311A7A">
        <w:rPr>
          <w:rFonts w:ascii="KaiTi" w:eastAsia="KaiTi" w:hAnsi="KaiTi" w:cs="PingFang TC" w:hint="eastAsia"/>
          <w:kern w:val="0"/>
          <w14:ligatures w14:val="none"/>
        </w:rPr>
        <w:t>跟风热闹</w:t>
      </w:r>
      <w:r w:rsidR="00311A7A" w:rsidRPr="00311A7A">
        <w:rPr>
          <w:rFonts w:ascii="KaiTi" w:eastAsia="KaiTi" w:hAnsi="KaiTi" w:cs="Times New Roman"/>
          <w:kern w:val="0"/>
          <w14:ligatures w14:val="none"/>
        </w:rPr>
        <w:t>”</w:t>
      </w:r>
      <w:r w:rsidR="00311A7A" w:rsidRPr="00311A7A">
        <w:rPr>
          <w:rFonts w:ascii="KaiTi" w:eastAsia="KaiTi" w:hAnsi="KaiTi" w:cs="PingFang TC" w:hint="eastAsia"/>
          <w:kern w:val="0"/>
          <w14:ligatures w14:val="none"/>
        </w:rPr>
        <w:t>里把辛苦工作的积蓄搭进去。</w:t>
      </w:r>
    </w:p>
    <w:p w14:paraId="0042B439" w14:textId="777777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我们不应随市场追涨</w:t>
      </w:r>
      <w:r w:rsidRPr="00311A7A">
        <w:rPr>
          <w:rFonts w:ascii="KaiTi" w:eastAsia="KaiTi" w:hAnsi="KaiTi" w:cs="SimSun" w:hint="eastAsia"/>
          <w:kern w:val="0"/>
          <w14:ligatures w14:val="none"/>
        </w:rPr>
        <w:t>杀</w:t>
      </w:r>
      <w:r w:rsidRPr="00311A7A">
        <w:rPr>
          <w:rFonts w:ascii="KaiTi" w:eastAsia="KaiTi" w:hAnsi="KaiTi" w:cs="PingFang TC" w:hint="eastAsia"/>
          <w:kern w:val="0"/>
          <w14:ligatures w14:val="none"/>
        </w:rPr>
        <w:t>跌，而应反向思考：</w:t>
      </w:r>
    </w:p>
    <w:p w14:paraId="055AEE3E" w14:textId="73C9DD98"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在任何市场环境下，如何让我们的财富体系不受动荡影响</w:t>
      </w:r>
    </w:p>
    <w:p w14:paraId="0C727CFE" w14:textId="224709E8" w:rsidR="00311A7A" w:rsidRPr="00311A7A" w:rsidRDefault="00311A7A" w:rsidP="00311A7A">
      <w:pPr>
        <w:spacing w:before="100" w:beforeAutospacing="1" w:after="100" w:afterAutospacing="1" w:line="240" w:lineRule="auto"/>
        <w:rPr>
          <w:rFonts w:ascii="KaiTi" w:eastAsia="KaiTi" w:hAnsi="KaiTi" w:cs="Times New Roman"/>
          <w:b/>
          <w:bCs/>
          <w:kern w:val="0"/>
          <w14:ligatures w14:val="none"/>
        </w:rPr>
      </w:pPr>
      <w:r w:rsidRPr="00311A7A">
        <w:rPr>
          <w:rFonts w:ascii="KaiTi" w:eastAsia="KaiTi" w:hAnsi="KaiTi" w:cs="PingFang TC" w:hint="eastAsia"/>
          <w:b/>
          <w:bCs/>
          <w:kern w:val="0"/>
          <w14:ligatures w14:val="none"/>
        </w:rPr>
        <w:t>第三，守住自己的现金流体系，才是穿越波动的底气</w:t>
      </w:r>
    </w:p>
    <w:p w14:paraId="1F31E628" w14:textId="777777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与其把精力放在预测行情，不如反问自己：</w:t>
      </w:r>
    </w:p>
    <w:p w14:paraId="585743C1" w14:textId="777777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当市场暴涨暴跌时，我是否有一套</w:t>
      </w:r>
      <w:r w:rsidRPr="00311A7A">
        <w:rPr>
          <w:rFonts w:ascii="KaiTi" w:eastAsia="KaiTi" w:hAnsi="KaiTi" w:cs="SimSun" w:hint="eastAsia"/>
          <w:kern w:val="0"/>
          <w14:ligatures w14:val="none"/>
        </w:rPr>
        <w:t>稳</w:t>
      </w:r>
      <w:r w:rsidRPr="00311A7A">
        <w:rPr>
          <w:rFonts w:ascii="KaiTi" w:eastAsia="KaiTi" w:hAnsi="KaiTi" w:cs="PingFang TC" w:hint="eastAsia"/>
          <w:kern w:val="0"/>
          <w14:ligatures w14:val="none"/>
        </w:rPr>
        <w:t>定的现金流来应对？</w:t>
      </w:r>
    </w:p>
    <w:p w14:paraId="26CF17EF" w14:textId="777777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是否有充足的备用金和防守型资产，能保证不被情绪裹挟？</w:t>
      </w:r>
    </w:p>
    <w:p w14:paraId="71D5F6F9" w14:textId="77777777" w:rsidR="00311A7A" w:rsidRPr="00311A7A" w:rsidRDefault="00311A7A" w:rsidP="00311A7A">
      <w:pPr>
        <w:spacing w:before="100" w:beforeAutospacing="1" w:after="100" w:afterAutospacing="1" w:line="240" w:lineRule="auto"/>
        <w:rPr>
          <w:rFonts w:ascii="KaiTi" w:eastAsia="KaiTi" w:hAnsi="KaiTi" w:cs="Times New Roman"/>
          <w:kern w:val="0"/>
          <w14:ligatures w14:val="none"/>
        </w:rPr>
      </w:pPr>
      <w:r w:rsidRPr="00311A7A">
        <w:rPr>
          <w:rFonts w:ascii="KaiTi" w:eastAsia="KaiTi" w:hAnsi="KaiTi" w:cs="PingFang TC" w:hint="eastAsia"/>
          <w:kern w:val="0"/>
          <w14:ligatures w14:val="none"/>
        </w:rPr>
        <w:t>有没有能力在别人慌乱时，做到不必割肉、甚至低位补仓？</w:t>
      </w:r>
    </w:p>
    <w:p w14:paraId="3870B5C7" w14:textId="77777777" w:rsidR="00311A7A" w:rsidRPr="00311A7A" w:rsidRDefault="00B5389B" w:rsidP="00311A7A">
      <w:pPr>
        <w:spacing w:before="100" w:beforeAutospacing="1" w:after="100" w:afterAutospacing="1" w:line="240" w:lineRule="auto"/>
        <w:rPr>
          <w:rFonts w:ascii="KaiTi" w:eastAsia="KaiTi" w:hAnsi="KaiTi" w:cs="Times New Roman"/>
          <w:kern w:val="0"/>
          <w14:ligatures w14:val="none"/>
        </w:rPr>
      </w:pPr>
      <w:r>
        <w:rPr>
          <w:rFonts w:ascii="KaiTi" w:eastAsia="KaiTi" w:hAnsi="KaiTi" w:cs="Times New Roman"/>
          <w:noProof/>
          <w:kern w:val="0"/>
        </w:rPr>
        <w:pict w14:anchorId="5F8A5B05">
          <v:rect id="_x0000_i1027" alt="" style="width:468pt;height:.05pt;mso-width-percent:0;mso-height-percent:0;mso-width-percent:0;mso-height-percent:0" o:hralign="center" o:hrstd="t" o:hr="t" fillcolor="#a0a0a0" stroked="f"/>
        </w:pict>
      </w:r>
    </w:p>
    <w:p w14:paraId="56FA6EC8" w14:textId="7C5A076D" w:rsidR="00311A7A" w:rsidRPr="00311A7A" w:rsidRDefault="00311A7A" w:rsidP="00D71483">
      <w:pPr>
        <w:spacing w:before="100" w:beforeAutospacing="1" w:after="100" w:afterAutospacing="1" w:line="240" w:lineRule="auto"/>
        <w:jc w:val="center"/>
        <w:rPr>
          <w:rFonts w:ascii="KaiTi" w:eastAsia="KaiTi" w:hAnsi="KaiTi" w:cs="Times New Roman"/>
          <w:b/>
          <w:bCs/>
          <w:color w:val="FF0000"/>
          <w:kern w:val="0"/>
          <w:sz w:val="28"/>
          <w:szCs w:val="28"/>
          <w14:ligatures w14:val="none"/>
        </w:rPr>
      </w:pPr>
      <w:r w:rsidRPr="00311A7A">
        <w:rPr>
          <w:rFonts w:ascii="KaiTi" w:eastAsia="KaiTi" w:hAnsi="KaiTi" w:cs="PingFang TC" w:hint="eastAsia"/>
          <w:b/>
          <w:bCs/>
          <w:color w:val="FF0000"/>
          <w:kern w:val="0"/>
          <w:sz w:val="28"/>
          <w:szCs w:val="28"/>
          <w14:ligatures w14:val="none"/>
        </w:rPr>
        <w:t>短期的剧本，总是出人意料</w:t>
      </w:r>
    </w:p>
    <w:p w14:paraId="19663130" w14:textId="24DBEC31" w:rsidR="00D71483" w:rsidRPr="00D71483" w:rsidRDefault="00311A7A" w:rsidP="00D71483">
      <w:pPr>
        <w:spacing w:before="100" w:beforeAutospacing="1" w:after="100" w:afterAutospacing="1" w:line="240" w:lineRule="auto"/>
        <w:jc w:val="center"/>
        <w:rPr>
          <w:rFonts w:ascii="KaiTi" w:eastAsia="KaiTi" w:hAnsi="KaiTi" w:cs="Times New Roman"/>
          <w:b/>
          <w:bCs/>
          <w:color w:val="FF0000"/>
          <w:kern w:val="0"/>
          <w:sz w:val="28"/>
          <w:szCs w:val="28"/>
          <w14:ligatures w14:val="none"/>
        </w:rPr>
      </w:pPr>
      <w:r w:rsidRPr="00311A7A">
        <w:rPr>
          <w:rFonts w:ascii="KaiTi" w:eastAsia="KaiTi" w:hAnsi="KaiTi" w:cs="PingFang TC" w:hint="eastAsia"/>
          <w:b/>
          <w:bCs/>
          <w:color w:val="FF0000"/>
          <w:kern w:val="0"/>
          <w:sz w:val="28"/>
          <w:szCs w:val="28"/>
          <w14:ligatures w14:val="none"/>
        </w:rPr>
        <w:t>长期的底层结构，才是可控的护城河</w:t>
      </w:r>
    </w:p>
    <w:p w14:paraId="34A40B82" w14:textId="2FE3E786" w:rsidR="00F17581" w:rsidRPr="00F17581" w:rsidRDefault="00B5389B" w:rsidP="00F17581">
      <w:pPr>
        <w:rPr>
          <w:rFonts w:ascii="KaiTi" w:eastAsia="KaiTi" w:hAnsi="KaiTi" w:cs="PingFang TC"/>
          <w:kern w:val="0"/>
          <w14:ligatures w14:val="none"/>
        </w:rPr>
      </w:pPr>
      <w:r>
        <w:rPr>
          <w:rFonts w:ascii="KaiTi" w:eastAsia="KaiTi" w:hAnsi="KaiTi" w:cs="Times New Roman"/>
          <w:noProof/>
          <w:kern w:val="0"/>
        </w:rPr>
        <w:pict w14:anchorId="5DCE8C8E">
          <v:rect id="_x0000_i1026" alt="" style="width:468pt;height:.05pt;mso-width-percent:0;mso-height-percent:0;mso-width-percent:0;mso-height-percent:0" o:hralign="center" o:hrstd="t" o:hr="t" fillcolor="#a0a0a0" stroked="f"/>
        </w:pict>
      </w:r>
    </w:p>
    <w:p w14:paraId="0F4672F7" w14:textId="77777777" w:rsidR="00EE3204" w:rsidRPr="000C1D9B" w:rsidRDefault="00EE3204" w:rsidP="00EE3204">
      <w:pPr>
        <w:rPr>
          <w:rFonts w:ascii="KaiTi" w:eastAsia="KaiTi" w:hAnsi="KaiTi"/>
          <w:b/>
          <w:bCs/>
        </w:rPr>
      </w:pPr>
      <w:r w:rsidRPr="000C1D9B">
        <w:rPr>
          <w:rFonts w:ascii="KaiTi" w:eastAsia="KaiTi" w:hAnsi="KaiTi" w:hint="eastAsia"/>
          <w:b/>
          <w:bCs/>
        </w:rPr>
        <w:t>示例组合运行情况</w:t>
      </w:r>
    </w:p>
    <w:p w14:paraId="1CB53224" w14:textId="7649755F" w:rsidR="00EE3204" w:rsidRPr="000C1D9B" w:rsidRDefault="00EE3204" w:rsidP="00EE3204">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w:t>
      </w:r>
      <w:r w:rsidR="00CB362F">
        <w:rPr>
          <w:rFonts w:ascii="KaiTi" w:eastAsia="KaiTi" w:hAnsi="KaiTi" w:hint="eastAsia"/>
        </w:rPr>
        <w:t>2024年</w:t>
      </w:r>
      <w:r w:rsidRPr="000C1D9B">
        <w:rPr>
          <w:rFonts w:ascii="KaiTi" w:eastAsia="KaiTi" w:hAnsi="KaiTi" w:hint="eastAsia"/>
        </w:rPr>
        <w:t>10月24日完成建仓买入。</w:t>
      </w:r>
    </w:p>
    <w:p w14:paraId="39FB19F8" w14:textId="77777777" w:rsidR="00BD235C" w:rsidRPr="000E2963" w:rsidRDefault="00BD235C" w:rsidP="00BD235C">
      <w:pPr>
        <w:rPr>
          <w:rFonts w:ascii="KaiTi" w:eastAsia="KaiTi" w:hAnsi="KaiTi"/>
          <w:b/>
          <w:bCs/>
        </w:rPr>
      </w:pPr>
      <w:r w:rsidRPr="000C1D9B">
        <w:rPr>
          <w:rFonts w:ascii="KaiTi" w:eastAsia="KaiTi" w:hAnsi="KaiTi" w:hint="eastAsia"/>
          <w:b/>
          <w:bCs/>
        </w:rPr>
        <w:t>组合1: 长线增长 ILI Long Term Accumulation</w:t>
      </w:r>
    </w:p>
    <w:p w14:paraId="71200A52" w14:textId="77777777" w:rsidR="00BD235C" w:rsidRPr="000C1D9B" w:rsidRDefault="00BD235C" w:rsidP="00BD235C">
      <w:pPr>
        <w:rPr>
          <w:rFonts w:ascii="KaiTi" w:eastAsia="KaiTi" w:hAnsi="KaiTi"/>
        </w:rPr>
      </w:pPr>
      <w:r w:rsidRPr="000C1D9B">
        <w:rPr>
          <w:rFonts w:ascii="KaiTi" w:eastAsia="KaiTi" w:hAnsi="KaiTi" w:hint="eastAsia"/>
        </w:rPr>
        <w:lastRenderedPageBreak/>
        <w:t>其中第一个组合更关注长期的增长，通过固定收益、房地产</w:t>
      </w:r>
      <w:r>
        <w:rPr>
          <w:rFonts w:ascii="KaiTi" w:eastAsia="KaiTi" w:hAnsi="KaiTi" w:hint="eastAsia"/>
        </w:rPr>
        <w:t>信托基金</w:t>
      </w:r>
      <w:r w:rsidRPr="000C1D9B">
        <w:rPr>
          <w:rFonts w:ascii="KaiTi" w:eastAsia="KaiTi" w:hAnsi="KaiTi" w:hint="eastAsia"/>
        </w:rPr>
        <w:t>和优质股票的组合来实现，他们的配置比例为40%：25%：35%。</w:t>
      </w:r>
    </w:p>
    <w:p w14:paraId="7538D3B6" w14:textId="21DA6037" w:rsidR="00BD235C" w:rsidRDefault="00BD235C" w:rsidP="00BD235C">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sidR="00D71483">
        <w:rPr>
          <w:rFonts w:ascii="KaiTi" w:eastAsia="KaiTi" w:hAnsi="KaiTi" w:hint="eastAsia"/>
        </w:rPr>
        <w:t>6</w:t>
      </w:r>
      <w:r w:rsidRPr="000C1D9B">
        <w:rPr>
          <w:rFonts w:ascii="KaiTi" w:eastAsia="KaiTi" w:hAnsi="KaiTi" w:hint="eastAsia"/>
        </w:rPr>
        <w:t>月</w:t>
      </w:r>
      <w:r w:rsidR="00A73FEB">
        <w:rPr>
          <w:rFonts w:ascii="KaiTi" w:eastAsia="KaiTi" w:hAnsi="KaiTi"/>
        </w:rPr>
        <w:t>2</w:t>
      </w:r>
      <w:r w:rsidR="00D71483">
        <w:rPr>
          <w:rFonts w:ascii="KaiTi" w:eastAsia="KaiTi" w:hAnsi="KaiTi" w:hint="eastAsia"/>
        </w:rPr>
        <w:t>8</w:t>
      </w:r>
      <w:r w:rsidRPr="000C1D9B">
        <w:rPr>
          <w:rFonts w:ascii="KaiTi" w:eastAsia="KaiTi" w:hAnsi="KaiTi" w:hint="eastAsia"/>
        </w:rPr>
        <w:t>日，这个组合的运行情况如下：</w:t>
      </w:r>
    </w:p>
    <w:tbl>
      <w:tblPr>
        <w:tblStyle w:val="TableGrid"/>
        <w:tblW w:w="0" w:type="auto"/>
        <w:tblLook w:val="04A0" w:firstRow="1" w:lastRow="0" w:firstColumn="1" w:lastColumn="0" w:noHBand="0" w:noVBand="1"/>
      </w:tblPr>
      <w:tblGrid>
        <w:gridCol w:w="2344"/>
        <w:gridCol w:w="1326"/>
        <w:gridCol w:w="1145"/>
        <w:gridCol w:w="1640"/>
        <w:gridCol w:w="1038"/>
        <w:gridCol w:w="1857"/>
      </w:tblGrid>
      <w:tr w:rsidR="00B769EE" w:rsidRPr="00B769EE" w14:paraId="42D9D573" w14:textId="77777777" w:rsidTr="00B769EE">
        <w:trPr>
          <w:trHeight w:val="320"/>
        </w:trPr>
        <w:tc>
          <w:tcPr>
            <w:tcW w:w="2344" w:type="dxa"/>
            <w:noWrap/>
            <w:hideMark/>
          </w:tcPr>
          <w:p w14:paraId="49205503" w14:textId="77777777" w:rsidR="00B769EE" w:rsidRPr="00B769EE" w:rsidRDefault="00B769EE">
            <w:pPr>
              <w:rPr>
                <w:rFonts w:ascii="KaiTi" w:eastAsia="KaiTi" w:hAnsi="KaiTi"/>
                <w:sz w:val="21"/>
                <w:szCs w:val="21"/>
              </w:rPr>
            </w:pPr>
            <w:r w:rsidRPr="00B769EE">
              <w:rPr>
                <w:rFonts w:ascii="Calibri" w:eastAsia="KaiTi" w:hAnsi="Calibri" w:cs="Calibri"/>
                <w:sz w:val="21"/>
                <w:szCs w:val="21"/>
              </w:rPr>
              <w:t> </w:t>
            </w:r>
          </w:p>
        </w:tc>
        <w:tc>
          <w:tcPr>
            <w:tcW w:w="1326" w:type="dxa"/>
            <w:noWrap/>
            <w:hideMark/>
          </w:tcPr>
          <w:p w14:paraId="786A2E00" w14:textId="77777777" w:rsidR="00B769EE" w:rsidRPr="00B769EE" w:rsidRDefault="00B769EE">
            <w:pPr>
              <w:rPr>
                <w:rFonts w:ascii="KaiTi" w:eastAsia="KaiTi" w:hAnsi="KaiTi"/>
                <w:sz w:val="21"/>
                <w:szCs w:val="21"/>
              </w:rPr>
            </w:pPr>
            <w:r w:rsidRPr="00B769EE">
              <w:rPr>
                <w:rFonts w:ascii="KaiTi" w:eastAsia="KaiTi" w:hAnsi="KaiTi"/>
                <w:sz w:val="21"/>
                <w:szCs w:val="21"/>
              </w:rPr>
              <w:t>日期</w:t>
            </w:r>
          </w:p>
        </w:tc>
        <w:tc>
          <w:tcPr>
            <w:tcW w:w="1145" w:type="dxa"/>
            <w:noWrap/>
            <w:hideMark/>
          </w:tcPr>
          <w:p w14:paraId="1C73B502" w14:textId="77777777" w:rsidR="00B769EE" w:rsidRPr="00B769EE" w:rsidRDefault="00B769EE">
            <w:pPr>
              <w:rPr>
                <w:rFonts w:ascii="KaiTi" w:eastAsia="KaiTi" w:hAnsi="KaiTi"/>
                <w:sz w:val="21"/>
                <w:szCs w:val="21"/>
              </w:rPr>
            </w:pPr>
            <w:r w:rsidRPr="00B769EE">
              <w:rPr>
                <w:rFonts w:ascii="KaiTi" w:eastAsia="KaiTi" w:hAnsi="KaiTi"/>
                <w:sz w:val="21"/>
                <w:szCs w:val="21"/>
              </w:rPr>
              <w:t>价格</w:t>
            </w:r>
          </w:p>
        </w:tc>
        <w:tc>
          <w:tcPr>
            <w:tcW w:w="1640" w:type="dxa"/>
            <w:noWrap/>
            <w:hideMark/>
          </w:tcPr>
          <w:p w14:paraId="1DF3BCB6" w14:textId="77777777" w:rsidR="00B769EE" w:rsidRPr="00B769EE" w:rsidRDefault="00B769EE">
            <w:pPr>
              <w:rPr>
                <w:rFonts w:ascii="KaiTi" w:eastAsia="KaiTi" w:hAnsi="KaiTi"/>
                <w:sz w:val="21"/>
                <w:szCs w:val="21"/>
              </w:rPr>
            </w:pPr>
            <w:r w:rsidRPr="00B769EE">
              <w:rPr>
                <w:rFonts w:ascii="KaiTi" w:eastAsia="KaiTi" w:hAnsi="KaiTi"/>
                <w:sz w:val="21"/>
                <w:szCs w:val="21"/>
              </w:rPr>
              <w:t>金额</w:t>
            </w:r>
          </w:p>
        </w:tc>
        <w:tc>
          <w:tcPr>
            <w:tcW w:w="1038" w:type="dxa"/>
            <w:noWrap/>
            <w:hideMark/>
          </w:tcPr>
          <w:p w14:paraId="2A9B4153" w14:textId="77777777" w:rsidR="00B769EE" w:rsidRPr="00B769EE" w:rsidRDefault="00B769EE">
            <w:pPr>
              <w:rPr>
                <w:rFonts w:ascii="KaiTi" w:eastAsia="KaiTi" w:hAnsi="KaiTi"/>
                <w:sz w:val="21"/>
                <w:szCs w:val="21"/>
              </w:rPr>
            </w:pPr>
            <w:r w:rsidRPr="00B769EE">
              <w:rPr>
                <w:rFonts w:ascii="KaiTi" w:eastAsia="KaiTi" w:hAnsi="KaiTi"/>
                <w:sz w:val="21"/>
                <w:szCs w:val="21"/>
              </w:rPr>
              <w:t>占比</w:t>
            </w:r>
          </w:p>
        </w:tc>
        <w:tc>
          <w:tcPr>
            <w:tcW w:w="1857" w:type="dxa"/>
            <w:noWrap/>
            <w:hideMark/>
          </w:tcPr>
          <w:p w14:paraId="2125D144" w14:textId="59430280" w:rsidR="00B769EE" w:rsidRPr="00B769EE" w:rsidRDefault="00B769EE">
            <w:pPr>
              <w:rPr>
                <w:rFonts w:ascii="KaiTi" w:eastAsia="KaiTi" w:hAnsi="KaiTi"/>
                <w:sz w:val="21"/>
                <w:szCs w:val="21"/>
              </w:rPr>
            </w:pPr>
            <w:r w:rsidRPr="00B769EE">
              <w:rPr>
                <w:rFonts w:ascii="KaiTi" w:eastAsia="KaiTi" w:hAnsi="KaiTi"/>
                <w:sz w:val="21"/>
                <w:szCs w:val="21"/>
              </w:rPr>
              <w:t>组合</w:t>
            </w:r>
            <w:r w:rsidR="00344E79">
              <w:rPr>
                <w:rFonts w:ascii="KaiTi" w:eastAsia="KaiTi" w:hAnsi="KaiTi" w:hint="eastAsia"/>
                <w:sz w:val="21"/>
                <w:szCs w:val="21"/>
              </w:rPr>
              <w:t>净值</w:t>
            </w:r>
            <w:r w:rsidRPr="00B769EE">
              <w:rPr>
                <w:rFonts w:ascii="KaiTi" w:eastAsia="KaiTi" w:hAnsi="KaiTi"/>
                <w:sz w:val="21"/>
                <w:szCs w:val="21"/>
              </w:rPr>
              <w:t>增长</w:t>
            </w:r>
          </w:p>
        </w:tc>
      </w:tr>
      <w:tr w:rsidR="00F51BCD" w:rsidRPr="00B769EE" w14:paraId="38D908CC" w14:textId="77777777" w:rsidTr="00344E79">
        <w:trPr>
          <w:trHeight w:val="320"/>
        </w:trPr>
        <w:tc>
          <w:tcPr>
            <w:tcW w:w="2344" w:type="dxa"/>
            <w:noWrap/>
            <w:vAlign w:val="center"/>
            <w:hideMark/>
          </w:tcPr>
          <w:p w14:paraId="39DE7C03" w14:textId="77777777" w:rsidR="00F51BCD" w:rsidRPr="00B769EE" w:rsidRDefault="00F51BCD" w:rsidP="00344E79">
            <w:pPr>
              <w:rPr>
                <w:rFonts w:ascii="KaiTi" w:eastAsia="KaiTi" w:hAnsi="KaiTi"/>
                <w:sz w:val="21"/>
                <w:szCs w:val="21"/>
              </w:rPr>
            </w:pPr>
            <w:r w:rsidRPr="00B769EE">
              <w:rPr>
                <w:rFonts w:ascii="KaiTi" w:eastAsia="KaiTi" w:hAnsi="KaiTi"/>
                <w:sz w:val="21"/>
                <w:szCs w:val="21"/>
              </w:rPr>
              <w:t>I17 美国优质股权基金</w:t>
            </w:r>
          </w:p>
        </w:tc>
        <w:tc>
          <w:tcPr>
            <w:tcW w:w="1326" w:type="dxa"/>
            <w:noWrap/>
            <w:vAlign w:val="center"/>
            <w:hideMark/>
          </w:tcPr>
          <w:p w14:paraId="274853C3"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6/28/25</w:t>
            </w:r>
          </w:p>
        </w:tc>
        <w:tc>
          <w:tcPr>
            <w:tcW w:w="1145" w:type="dxa"/>
            <w:noWrap/>
            <w:vAlign w:val="center"/>
            <w:hideMark/>
          </w:tcPr>
          <w:p w14:paraId="1CC21D0F"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23.49</w:t>
            </w:r>
          </w:p>
        </w:tc>
        <w:tc>
          <w:tcPr>
            <w:tcW w:w="1640" w:type="dxa"/>
            <w:noWrap/>
            <w:vAlign w:val="center"/>
            <w:hideMark/>
          </w:tcPr>
          <w:p w14:paraId="5DE18B49" w14:textId="70419031" w:rsidR="00F51BCD" w:rsidRPr="00F51BCD" w:rsidRDefault="00F51BCD" w:rsidP="00344E79">
            <w:pPr>
              <w:jc w:val="center"/>
              <w:rPr>
                <w:rFonts w:ascii="KaiTi" w:eastAsia="KaiTi" w:hAnsi="KaiTi"/>
                <w:sz w:val="22"/>
                <w:szCs w:val="22"/>
              </w:rPr>
            </w:pPr>
            <w:r w:rsidRPr="00F51BCD">
              <w:rPr>
                <w:rFonts w:ascii="KaiTi" w:eastAsia="KaiTi" w:hAnsi="KaiTi"/>
                <w:color w:val="000000"/>
                <w:sz w:val="22"/>
                <w:szCs w:val="22"/>
              </w:rPr>
              <w:t>370,226</w:t>
            </w:r>
          </w:p>
        </w:tc>
        <w:tc>
          <w:tcPr>
            <w:tcW w:w="1038" w:type="dxa"/>
            <w:noWrap/>
            <w:vAlign w:val="center"/>
            <w:hideMark/>
          </w:tcPr>
          <w:p w14:paraId="30A94A42"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35.7%</w:t>
            </w:r>
          </w:p>
        </w:tc>
        <w:tc>
          <w:tcPr>
            <w:tcW w:w="1857" w:type="dxa"/>
            <w:noWrap/>
            <w:vAlign w:val="center"/>
            <w:hideMark/>
          </w:tcPr>
          <w:p w14:paraId="69929E8A"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7.45%</w:t>
            </w:r>
          </w:p>
        </w:tc>
      </w:tr>
      <w:tr w:rsidR="00F51BCD" w:rsidRPr="00B769EE" w14:paraId="513833AC" w14:textId="77777777" w:rsidTr="00344E79">
        <w:trPr>
          <w:trHeight w:val="320"/>
        </w:trPr>
        <w:tc>
          <w:tcPr>
            <w:tcW w:w="2344" w:type="dxa"/>
            <w:noWrap/>
            <w:vAlign w:val="center"/>
            <w:hideMark/>
          </w:tcPr>
          <w:p w14:paraId="79334CD4" w14:textId="77777777" w:rsidR="00F51BCD" w:rsidRPr="00B769EE" w:rsidRDefault="00F51BCD" w:rsidP="00344E79">
            <w:pPr>
              <w:rPr>
                <w:rFonts w:ascii="KaiTi" w:eastAsia="KaiTi" w:hAnsi="KaiTi"/>
                <w:sz w:val="21"/>
                <w:szCs w:val="21"/>
              </w:rPr>
            </w:pPr>
            <w:r w:rsidRPr="00B769EE">
              <w:rPr>
                <w:rFonts w:ascii="KaiTi" w:eastAsia="KaiTi" w:hAnsi="KaiTi"/>
                <w:sz w:val="21"/>
                <w:szCs w:val="21"/>
              </w:rPr>
              <w:t>R01 美国房地产基金</w:t>
            </w:r>
          </w:p>
        </w:tc>
        <w:tc>
          <w:tcPr>
            <w:tcW w:w="1326" w:type="dxa"/>
            <w:noWrap/>
            <w:vAlign w:val="center"/>
            <w:hideMark/>
          </w:tcPr>
          <w:p w14:paraId="40174F3C"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6/28/25</w:t>
            </w:r>
          </w:p>
        </w:tc>
        <w:tc>
          <w:tcPr>
            <w:tcW w:w="1145" w:type="dxa"/>
            <w:noWrap/>
            <w:vAlign w:val="center"/>
            <w:hideMark/>
          </w:tcPr>
          <w:p w14:paraId="59479221"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25.01</w:t>
            </w:r>
          </w:p>
        </w:tc>
        <w:tc>
          <w:tcPr>
            <w:tcW w:w="1640" w:type="dxa"/>
            <w:noWrap/>
            <w:vAlign w:val="center"/>
            <w:hideMark/>
          </w:tcPr>
          <w:p w14:paraId="29BDD3F5" w14:textId="71E918EB" w:rsidR="00F51BCD" w:rsidRPr="00F51BCD" w:rsidRDefault="00F51BCD" w:rsidP="00344E79">
            <w:pPr>
              <w:jc w:val="center"/>
              <w:rPr>
                <w:rFonts w:ascii="KaiTi" w:eastAsia="KaiTi" w:hAnsi="KaiTi"/>
                <w:sz w:val="22"/>
                <w:szCs w:val="22"/>
              </w:rPr>
            </w:pPr>
            <w:r w:rsidRPr="00F51BCD">
              <w:rPr>
                <w:rFonts w:ascii="KaiTi" w:eastAsia="KaiTi" w:hAnsi="KaiTi"/>
                <w:color w:val="000000"/>
                <w:sz w:val="22"/>
                <w:szCs w:val="22"/>
              </w:rPr>
              <w:t>257,078</w:t>
            </w:r>
          </w:p>
        </w:tc>
        <w:tc>
          <w:tcPr>
            <w:tcW w:w="1038" w:type="dxa"/>
            <w:noWrap/>
            <w:vAlign w:val="center"/>
            <w:hideMark/>
          </w:tcPr>
          <w:p w14:paraId="72791AEB"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24.8%</w:t>
            </w:r>
          </w:p>
        </w:tc>
        <w:tc>
          <w:tcPr>
            <w:tcW w:w="1857" w:type="dxa"/>
            <w:noWrap/>
            <w:vAlign w:val="center"/>
            <w:hideMark/>
          </w:tcPr>
          <w:p w14:paraId="2B0A9D10"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-3.07%</w:t>
            </w:r>
          </w:p>
        </w:tc>
      </w:tr>
      <w:tr w:rsidR="00F51BCD" w:rsidRPr="00B769EE" w14:paraId="321FF38D" w14:textId="77777777" w:rsidTr="00344E79">
        <w:trPr>
          <w:trHeight w:val="320"/>
        </w:trPr>
        <w:tc>
          <w:tcPr>
            <w:tcW w:w="2344" w:type="dxa"/>
            <w:noWrap/>
            <w:vAlign w:val="center"/>
            <w:hideMark/>
          </w:tcPr>
          <w:p w14:paraId="7423248C" w14:textId="77777777" w:rsidR="00F51BCD" w:rsidRPr="00B769EE" w:rsidRDefault="00F51BCD" w:rsidP="00344E79">
            <w:pPr>
              <w:rPr>
                <w:rFonts w:ascii="KaiTi" w:eastAsia="KaiTi" w:hAnsi="KaiTi"/>
                <w:sz w:val="21"/>
                <w:szCs w:val="21"/>
              </w:rPr>
            </w:pPr>
            <w:r w:rsidRPr="00B769EE">
              <w:rPr>
                <w:rFonts w:ascii="KaiTi" w:eastAsia="KaiTi" w:hAnsi="KaiTi"/>
                <w:sz w:val="21"/>
                <w:szCs w:val="21"/>
              </w:rPr>
              <w:t>F16 美国中高等级债券基金</w:t>
            </w:r>
          </w:p>
        </w:tc>
        <w:tc>
          <w:tcPr>
            <w:tcW w:w="1326" w:type="dxa"/>
            <w:noWrap/>
            <w:vAlign w:val="center"/>
            <w:hideMark/>
          </w:tcPr>
          <w:p w14:paraId="033E119D"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6/28/25</w:t>
            </w:r>
          </w:p>
        </w:tc>
        <w:tc>
          <w:tcPr>
            <w:tcW w:w="1145" w:type="dxa"/>
            <w:noWrap/>
            <w:vAlign w:val="center"/>
            <w:hideMark/>
          </w:tcPr>
          <w:p w14:paraId="7F366629"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141.1</w:t>
            </w:r>
          </w:p>
        </w:tc>
        <w:tc>
          <w:tcPr>
            <w:tcW w:w="1640" w:type="dxa"/>
            <w:noWrap/>
            <w:vAlign w:val="center"/>
            <w:hideMark/>
          </w:tcPr>
          <w:p w14:paraId="64FA2097" w14:textId="130286C6" w:rsidR="00F51BCD" w:rsidRPr="00F51BCD" w:rsidRDefault="00F51BCD" w:rsidP="00344E79">
            <w:pPr>
              <w:jc w:val="center"/>
              <w:rPr>
                <w:rFonts w:ascii="KaiTi" w:eastAsia="KaiTi" w:hAnsi="KaiTi"/>
                <w:sz w:val="22"/>
                <w:szCs w:val="22"/>
              </w:rPr>
            </w:pPr>
            <w:r w:rsidRPr="00F51BCD">
              <w:rPr>
                <w:rFonts w:ascii="KaiTi" w:eastAsia="KaiTi" w:hAnsi="KaiTi"/>
                <w:color w:val="000000"/>
                <w:sz w:val="22"/>
                <w:szCs w:val="22"/>
              </w:rPr>
              <w:t>409,190</w:t>
            </w:r>
          </w:p>
        </w:tc>
        <w:tc>
          <w:tcPr>
            <w:tcW w:w="1038" w:type="dxa"/>
            <w:noWrap/>
            <w:vAlign w:val="center"/>
            <w:hideMark/>
          </w:tcPr>
          <w:p w14:paraId="6AC12EA0"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39.5%</w:t>
            </w:r>
          </w:p>
        </w:tc>
        <w:tc>
          <w:tcPr>
            <w:tcW w:w="1857" w:type="dxa"/>
            <w:noWrap/>
            <w:vAlign w:val="center"/>
            <w:hideMark/>
          </w:tcPr>
          <w:p w14:paraId="10268DF0"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4.13%</w:t>
            </w:r>
          </w:p>
        </w:tc>
      </w:tr>
      <w:tr w:rsidR="00F51BCD" w:rsidRPr="00B769EE" w14:paraId="05CA840E" w14:textId="77777777" w:rsidTr="00344E79">
        <w:trPr>
          <w:trHeight w:val="320"/>
        </w:trPr>
        <w:tc>
          <w:tcPr>
            <w:tcW w:w="2344" w:type="dxa"/>
            <w:noWrap/>
            <w:vAlign w:val="center"/>
            <w:hideMark/>
          </w:tcPr>
          <w:p w14:paraId="0ECF2704" w14:textId="7F52F311" w:rsidR="00F51BCD" w:rsidRPr="00B769EE" w:rsidRDefault="00F51BCD" w:rsidP="00344E79">
            <w:pPr>
              <w:jc w:val="center"/>
              <w:rPr>
                <w:rFonts w:ascii="KaiTi" w:eastAsia="KaiTi" w:hAnsi="KaiTi" w:hint="eastAsia"/>
                <w:sz w:val="21"/>
                <w:szCs w:val="21"/>
              </w:rPr>
            </w:pPr>
            <w:r>
              <w:rPr>
                <w:rFonts w:ascii="KaiTi" w:eastAsia="KaiTi" w:hAnsi="KaiTi" w:hint="eastAsia"/>
                <w:sz w:val="21"/>
                <w:szCs w:val="21"/>
              </w:rPr>
              <w:t>合计</w:t>
            </w:r>
          </w:p>
        </w:tc>
        <w:tc>
          <w:tcPr>
            <w:tcW w:w="1326" w:type="dxa"/>
            <w:noWrap/>
            <w:vAlign w:val="center"/>
            <w:hideMark/>
          </w:tcPr>
          <w:p w14:paraId="3C18802C" w14:textId="4713924D" w:rsidR="00F51BCD" w:rsidRPr="00B769EE" w:rsidRDefault="00F51BCD" w:rsidP="00344E79">
            <w:pPr>
              <w:jc w:val="center"/>
              <w:rPr>
                <w:rFonts w:ascii="KaiTi" w:eastAsia="KaiTi" w:hAnsi="KaiTi"/>
                <w:sz w:val="21"/>
                <w:szCs w:val="21"/>
              </w:rPr>
            </w:pPr>
          </w:p>
        </w:tc>
        <w:tc>
          <w:tcPr>
            <w:tcW w:w="1145" w:type="dxa"/>
            <w:noWrap/>
            <w:vAlign w:val="center"/>
            <w:hideMark/>
          </w:tcPr>
          <w:p w14:paraId="12F9E8E9" w14:textId="54E07E12" w:rsidR="00F51BCD" w:rsidRPr="00B769EE" w:rsidRDefault="00F51BCD" w:rsidP="00344E79">
            <w:pPr>
              <w:jc w:val="center"/>
              <w:rPr>
                <w:rFonts w:ascii="KaiTi" w:eastAsia="KaiTi" w:hAnsi="KaiTi"/>
                <w:sz w:val="21"/>
                <w:szCs w:val="21"/>
              </w:rPr>
            </w:pPr>
          </w:p>
        </w:tc>
        <w:tc>
          <w:tcPr>
            <w:tcW w:w="1640" w:type="dxa"/>
            <w:noWrap/>
            <w:vAlign w:val="center"/>
            <w:hideMark/>
          </w:tcPr>
          <w:p w14:paraId="1868ECB7" w14:textId="0ADF99CA" w:rsidR="00F51BCD" w:rsidRPr="00F51BCD" w:rsidRDefault="00F51BCD" w:rsidP="00344E79">
            <w:pPr>
              <w:jc w:val="center"/>
              <w:rPr>
                <w:rFonts w:ascii="KaiTi" w:eastAsia="KaiTi" w:hAnsi="KaiTi"/>
                <w:sz w:val="22"/>
                <w:szCs w:val="22"/>
              </w:rPr>
            </w:pPr>
            <w:r w:rsidRPr="00F51BCD">
              <w:rPr>
                <w:rFonts w:ascii="KaiTi" w:eastAsia="KaiTi" w:hAnsi="KaiTi"/>
                <w:color w:val="000000"/>
                <w:sz w:val="22"/>
                <w:szCs w:val="22"/>
              </w:rPr>
              <w:t>1,036,494</w:t>
            </w:r>
          </w:p>
        </w:tc>
        <w:tc>
          <w:tcPr>
            <w:tcW w:w="1038" w:type="dxa"/>
            <w:noWrap/>
            <w:vAlign w:val="center"/>
            <w:hideMark/>
          </w:tcPr>
          <w:p w14:paraId="0C4DF98E"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100.0%</w:t>
            </w:r>
          </w:p>
        </w:tc>
        <w:tc>
          <w:tcPr>
            <w:tcW w:w="1857" w:type="dxa"/>
            <w:noWrap/>
            <w:vAlign w:val="center"/>
            <w:hideMark/>
          </w:tcPr>
          <w:p w14:paraId="266B8498"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3.66%</w:t>
            </w:r>
          </w:p>
        </w:tc>
      </w:tr>
    </w:tbl>
    <w:p w14:paraId="0976B928" w14:textId="08A5EAAD" w:rsidR="00460A14" w:rsidRDefault="00331F36" w:rsidP="00BD235C">
      <w:pPr>
        <w:rPr>
          <w:rFonts w:ascii="KaiTi" w:eastAsia="KaiTi" w:hAnsi="KaiTi"/>
        </w:rPr>
      </w:pPr>
      <w:r w:rsidRPr="00331F36">
        <w:rPr>
          <w:rFonts w:ascii="KaiTi" w:eastAsia="KaiTi" w:hAnsi="KaiTi" w:hint="eastAsia"/>
          <w:sz w:val="21"/>
          <w:szCs w:val="21"/>
        </w:rPr>
        <w:t>注：本月因晨星系统改版，该组合数据由人工整理获得</w:t>
      </w:r>
      <w:r>
        <w:rPr>
          <w:rFonts w:ascii="KaiTi" w:eastAsia="KaiTi" w:hAnsi="KaiTi" w:hint="eastAsia"/>
        </w:rPr>
        <w:t>。</w:t>
      </w:r>
    </w:p>
    <w:p w14:paraId="4CA54988" w14:textId="029CAB5D" w:rsidR="00EE3204" w:rsidRDefault="00A42826" w:rsidP="00EE3204">
      <w:pPr>
        <w:rPr>
          <w:rFonts w:ascii="KaiTi" w:eastAsia="KaiTi" w:hAnsi="KaiTi"/>
        </w:rPr>
      </w:pPr>
      <w:r>
        <w:rPr>
          <w:rFonts w:ascii="KaiTi" w:eastAsia="KaiTi" w:hAnsi="KaiTi" w:hint="eastAsia"/>
        </w:rPr>
        <w:t>组合在5月份经历了中旬小小的过山车后，截止本月28号的收盘数据，组合累计增长</w:t>
      </w:r>
      <w:r w:rsidR="00460A14">
        <w:rPr>
          <w:rFonts w:ascii="KaiTi" w:eastAsia="KaiTi" w:hAnsi="KaiTi" w:hint="eastAsia"/>
        </w:rPr>
        <w:t>3.</w:t>
      </w:r>
      <w:r>
        <w:rPr>
          <w:rFonts w:ascii="KaiTi" w:eastAsia="KaiTi" w:hAnsi="KaiTi" w:hint="eastAsia"/>
        </w:rPr>
        <w:t>66</w:t>
      </w:r>
      <w:r w:rsidR="00460A14">
        <w:rPr>
          <w:rFonts w:ascii="KaiTi" w:eastAsia="KaiTi" w:hAnsi="KaiTi" w:hint="eastAsia"/>
        </w:rPr>
        <w:t>%。</w:t>
      </w:r>
    </w:p>
    <w:p w14:paraId="4BD8ACF0" w14:textId="77777777" w:rsidR="00300E28" w:rsidRPr="00300E28" w:rsidRDefault="00300E28" w:rsidP="00EE3204">
      <w:pPr>
        <w:rPr>
          <w:rFonts w:ascii="KaiTi" w:eastAsia="KaiTi" w:hAnsi="KaiTi"/>
        </w:rPr>
      </w:pPr>
    </w:p>
    <w:p w14:paraId="7C02C1BE" w14:textId="77777777" w:rsidR="00EE3204" w:rsidRPr="00B14E80" w:rsidRDefault="00EE3204" w:rsidP="00EE3204">
      <w:pPr>
        <w:rPr>
          <w:rFonts w:ascii="KaiTi" w:eastAsia="KaiTi" w:hAnsi="KaiTi"/>
          <w:b/>
          <w:bCs/>
        </w:rPr>
      </w:pPr>
      <w:r w:rsidRPr="000C1D9B">
        <w:rPr>
          <w:rFonts w:ascii="KaiTi" w:eastAsia="KaiTi" w:hAnsi="KaiTi" w:hint="eastAsia"/>
          <w:b/>
          <w:bCs/>
        </w:rPr>
        <w:t>组合2: 收息现金流 ILI CASH GENERATOR</w:t>
      </w:r>
    </w:p>
    <w:p w14:paraId="10CF7FFA" w14:textId="06D1E6F6" w:rsidR="00EE3204" w:rsidRPr="000C1D9B" w:rsidRDefault="00300E28" w:rsidP="00EE3204">
      <w:pPr>
        <w:rPr>
          <w:rFonts w:ascii="KaiTi" w:eastAsia="KaiTi" w:hAnsi="KaiTi"/>
        </w:rPr>
      </w:pPr>
      <w:r>
        <w:rPr>
          <w:rFonts w:ascii="KaiTi" w:eastAsia="KaiTi" w:hAnsi="KaiTi" w:hint="eastAsia"/>
        </w:rPr>
        <w:t>该组合</w:t>
      </w:r>
      <w:r w:rsidR="00EE3204" w:rsidRPr="000C1D9B">
        <w:rPr>
          <w:rFonts w:ascii="KaiTi" w:eastAsia="KaiTi" w:hAnsi="KaiTi" w:hint="eastAsia"/>
        </w:rPr>
        <w:t>选择派息型的基金，可以在投入后第一个月就开始收取分红，在储蓄分红险之外打造一个即时产生的被动现金流工具</w:t>
      </w:r>
      <w:r w:rsidR="00EE3204">
        <w:rPr>
          <w:rFonts w:ascii="KaiTi" w:eastAsia="KaiTi" w:hAnsi="KaiTi" w:hint="eastAsia"/>
        </w:rPr>
        <w:t>。该组合</w:t>
      </w:r>
      <w:r w:rsidR="00EE3204" w:rsidRPr="000C1D9B">
        <w:rPr>
          <w:rFonts w:ascii="KaiTi" w:eastAsia="KaiTi" w:hAnsi="KaiTi" w:hint="eastAsia"/>
        </w:rPr>
        <w:t>通过固定收益和</w:t>
      </w:r>
      <w:r w:rsidR="00EE3204">
        <w:rPr>
          <w:rFonts w:ascii="KaiTi" w:eastAsia="KaiTi" w:hAnsi="KaiTi" w:hint="eastAsia"/>
        </w:rPr>
        <w:t>美国</w:t>
      </w:r>
      <w:r w:rsidR="00EE3204" w:rsidRPr="000C1D9B">
        <w:rPr>
          <w:rFonts w:ascii="KaiTi" w:eastAsia="KaiTi" w:hAnsi="KaiTi" w:hint="eastAsia"/>
        </w:rPr>
        <w:t>优质股票的组合来实现，他们的配置比例为40%：</w:t>
      </w:r>
      <w:r w:rsidR="00EE3204">
        <w:rPr>
          <w:rFonts w:ascii="KaiTi" w:eastAsia="KaiTi" w:hAnsi="KaiTi" w:hint="eastAsia"/>
        </w:rPr>
        <w:t>60</w:t>
      </w:r>
      <w:r w:rsidR="00EE3204" w:rsidRPr="000C1D9B">
        <w:rPr>
          <w:rFonts w:ascii="KaiTi" w:eastAsia="KaiTi" w:hAnsi="KaiTi" w:hint="eastAsia"/>
        </w:rPr>
        <w:t>%。</w:t>
      </w:r>
    </w:p>
    <w:p w14:paraId="036D4728" w14:textId="77777777" w:rsidR="00EE3204" w:rsidRPr="000C1D9B" w:rsidRDefault="00EE3204" w:rsidP="00EE3204">
      <w:pPr>
        <w:rPr>
          <w:rFonts w:ascii="KaiTi" w:eastAsia="KaiTi" w:hAnsi="KaiTi"/>
        </w:rPr>
      </w:pPr>
      <w:r w:rsidRPr="000C1D9B">
        <w:rPr>
          <w:rFonts w:ascii="KaiTi" w:eastAsia="KaiTi" w:hAnsi="KaiTi" w:hint="eastAsia"/>
        </w:rPr>
        <w:t>初始投入约100万美金</w:t>
      </w:r>
      <w:r>
        <w:rPr>
          <w:rFonts w:ascii="KaiTi" w:eastAsia="KaiTi" w:hAnsi="KaiTi" w:hint="eastAsia"/>
        </w:rPr>
        <w:t>。</w:t>
      </w:r>
      <w:r w:rsidRPr="000C1D9B">
        <w:rPr>
          <w:rFonts w:ascii="KaiTi" w:eastAsia="KaiTi" w:hAnsi="KaiTi" w:hint="eastAsia"/>
        </w:rPr>
        <w:t>按照买入价格，大约可以产生年化6.5%的分红收益，并按月派发。</w:t>
      </w:r>
    </w:p>
    <w:p w14:paraId="124F78E4" w14:textId="0B62200B" w:rsidR="00EE3204" w:rsidRDefault="00EE3204" w:rsidP="00EE3204">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sidR="00A42826">
        <w:rPr>
          <w:rFonts w:ascii="KaiTi" w:eastAsia="KaiTi" w:hAnsi="KaiTi" w:hint="eastAsia"/>
        </w:rPr>
        <w:t>6</w:t>
      </w:r>
      <w:r w:rsidRPr="000C1D9B">
        <w:rPr>
          <w:rFonts w:ascii="KaiTi" w:eastAsia="KaiTi" w:hAnsi="KaiTi" w:hint="eastAsia"/>
        </w:rPr>
        <w:t>月</w:t>
      </w:r>
      <w:r w:rsidR="00460A14">
        <w:rPr>
          <w:rFonts w:ascii="KaiTi" w:eastAsia="KaiTi" w:hAnsi="KaiTi" w:hint="eastAsia"/>
        </w:rPr>
        <w:t>2</w:t>
      </w:r>
      <w:r w:rsidR="00331F36">
        <w:rPr>
          <w:rFonts w:ascii="KaiTi" w:eastAsia="KaiTi" w:hAnsi="KaiTi" w:hint="eastAsia"/>
        </w:rPr>
        <w:t>7</w:t>
      </w:r>
      <w:r w:rsidRPr="000C1D9B">
        <w:rPr>
          <w:rFonts w:ascii="KaiTi" w:eastAsia="KaiTi" w:hAnsi="KaiTi" w:hint="eastAsia"/>
        </w:rPr>
        <w:t>日，组合运行情况：</w:t>
      </w:r>
    </w:p>
    <w:tbl>
      <w:tblPr>
        <w:tblStyle w:val="TableGrid"/>
        <w:tblW w:w="0" w:type="auto"/>
        <w:tblLook w:val="04A0" w:firstRow="1" w:lastRow="0" w:firstColumn="1" w:lastColumn="0" w:noHBand="0" w:noVBand="1"/>
      </w:tblPr>
      <w:tblGrid>
        <w:gridCol w:w="2772"/>
        <w:gridCol w:w="1265"/>
        <w:gridCol w:w="1518"/>
        <w:gridCol w:w="1265"/>
        <w:gridCol w:w="1265"/>
        <w:gridCol w:w="1265"/>
      </w:tblGrid>
      <w:tr w:rsidR="00344E79" w:rsidRPr="00344E79" w14:paraId="0335F543" w14:textId="77777777" w:rsidTr="00344E79">
        <w:trPr>
          <w:trHeight w:val="320"/>
        </w:trPr>
        <w:tc>
          <w:tcPr>
            <w:tcW w:w="2772" w:type="dxa"/>
            <w:noWrap/>
            <w:vAlign w:val="center"/>
            <w:hideMark/>
          </w:tcPr>
          <w:p w14:paraId="546A19D0" w14:textId="2662FB33" w:rsidR="00344E79" w:rsidRPr="00344E79" w:rsidRDefault="00344E79" w:rsidP="00344E79">
            <w:pPr>
              <w:jc w:val="center"/>
              <w:rPr>
                <w:rFonts w:ascii="KaiTi" w:eastAsia="KaiTi" w:hAnsi="KaiTi"/>
                <w:sz w:val="22"/>
                <w:szCs w:val="22"/>
              </w:rPr>
            </w:pPr>
          </w:p>
        </w:tc>
        <w:tc>
          <w:tcPr>
            <w:tcW w:w="1265" w:type="dxa"/>
            <w:noWrap/>
            <w:vAlign w:val="center"/>
            <w:hideMark/>
          </w:tcPr>
          <w:p w14:paraId="056D2F4F"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日期</w:t>
            </w:r>
          </w:p>
        </w:tc>
        <w:tc>
          <w:tcPr>
            <w:tcW w:w="1518" w:type="dxa"/>
            <w:noWrap/>
            <w:vAlign w:val="center"/>
            <w:hideMark/>
          </w:tcPr>
          <w:p w14:paraId="48BCAF02"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价格</w:t>
            </w:r>
          </w:p>
        </w:tc>
        <w:tc>
          <w:tcPr>
            <w:tcW w:w="1265" w:type="dxa"/>
            <w:noWrap/>
            <w:vAlign w:val="center"/>
            <w:hideMark/>
          </w:tcPr>
          <w:p w14:paraId="0992BA3E"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金额</w:t>
            </w:r>
          </w:p>
        </w:tc>
        <w:tc>
          <w:tcPr>
            <w:tcW w:w="1265" w:type="dxa"/>
            <w:noWrap/>
            <w:vAlign w:val="center"/>
            <w:hideMark/>
          </w:tcPr>
          <w:p w14:paraId="5CFFA02F"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占比</w:t>
            </w:r>
          </w:p>
        </w:tc>
        <w:tc>
          <w:tcPr>
            <w:tcW w:w="1265" w:type="dxa"/>
            <w:noWrap/>
            <w:vAlign w:val="center"/>
            <w:hideMark/>
          </w:tcPr>
          <w:p w14:paraId="55B105BD"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组合净值增长</w:t>
            </w:r>
          </w:p>
        </w:tc>
      </w:tr>
      <w:tr w:rsidR="00344E79" w:rsidRPr="00344E79" w14:paraId="3C0AC1ED" w14:textId="77777777" w:rsidTr="00344E79">
        <w:trPr>
          <w:trHeight w:val="320"/>
        </w:trPr>
        <w:tc>
          <w:tcPr>
            <w:tcW w:w="2772" w:type="dxa"/>
            <w:noWrap/>
            <w:vAlign w:val="center"/>
            <w:hideMark/>
          </w:tcPr>
          <w:p w14:paraId="480EB766" w14:textId="77777777" w:rsidR="00344E79" w:rsidRPr="00344E79" w:rsidRDefault="00344E79" w:rsidP="00344E79">
            <w:pPr>
              <w:rPr>
                <w:rFonts w:ascii="KaiTi" w:eastAsia="KaiTi" w:hAnsi="KaiTi"/>
                <w:sz w:val="22"/>
                <w:szCs w:val="22"/>
              </w:rPr>
            </w:pPr>
            <w:r w:rsidRPr="00344E79">
              <w:rPr>
                <w:rFonts w:ascii="KaiTi" w:eastAsia="KaiTi" w:hAnsi="KaiTi"/>
                <w:sz w:val="22"/>
                <w:szCs w:val="22"/>
              </w:rPr>
              <w:t>Z12美国中高等级债券基金</w:t>
            </w:r>
          </w:p>
        </w:tc>
        <w:tc>
          <w:tcPr>
            <w:tcW w:w="1265" w:type="dxa"/>
            <w:noWrap/>
            <w:vAlign w:val="center"/>
            <w:hideMark/>
          </w:tcPr>
          <w:p w14:paraId="779E9666" w14:textId="77777777" w:rsidR="00344E79" w:rsidRPr="00344E79" w:rsidRDefault="00344E79" w:rsidP="00344E79">
            <w:pPr>
              <w:jc w:val="center"/>
              <w:rPr>
                <w:rFonts w:ascii="KaiTi" w:eastAsia="KaiTi" w:hAnsi="KaiTi"/>
                <w:sz w:val="22"/>
                <w:szCs w:val="22"/>
                <w:u w:val="single"/>
              </w:rPr>
            </w:pPr>
            <w:r w:rsidRPr="00344E79">
              <w:rPr>
                <w:rFonts w:ascii="KaiTi" w:eastAsia="KaiTi" w:hAnsi="KaiTi"/>
                <w:sz w:val="22"/>
                <w:szCs w:val="22"/>
                <w:u w:val="single"/>
              </w:rPr>
              <w:t>6/28/25</w:t>
            </w:r>
          </w:p>
        </w:tc>
        <w:tc>
          <w:tcPr>
            <w:tcW w:w="1518" w:type="dxa"/>
            <w:noWrap/>
            <w:vAlign w:val="center"/>
            <w:hideMark/>
          </w:tcPr>
          <w:p w14:paraId="19FCCFCD"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7.82</w:t>
            </w:r>
          </w:p>
        </w:tc>
        <w:tc>
          <w:tcPr>
            <w:tcW w:w="1265" w:type="dxa"/>
            <w:noWrap/>
            <w:vAlign w:val="center"/>
            <w:hideMark/>
          </w:tcPr>
          <w:p w14:paraId="12BCB1FC" w14:textId="75D9DCC0" w:rsidR="00344E79" w:rsidRPr="00344E79" w:rsidRDefault="00344E79" w:rsidP="00344E79">
            <w:pPr>
              <w:jc w:val="center"/>
              <w:rPr>
                <w:rFonts w:ascii="KaiTi" w:eastAsia="KaiTi" w:hAnsi="KaiTi"/>
                <w:sz w:val="22"/>
                <w:szCs w:val="22"/>
              </w:rPr>
            </w:pPr>
            <w:r w:rsidRPr="00344E79">
              <w:rPr>
                <w:rFonts w:ascii="KaiTi" w:eastAsia="KaiTi" w:hAnsi="KaiTi"/>
                <w:sz w:val="22"/>
                <w:szCs w:val="22"/>
              </w:rPr>
              <w:t>600,772</w:t>
            </w:r>
          </w:p>
        </w:tc>
        <w:tc>
          <w:tcPr>
            <w:tcW w:w="1265" w:type="dxa"/>
            <w:noWrap/>
            <w:vAlign w:val="center"/>
            <w:hideMark/>
          </w:tcPr>
          <w:p w14:paraId="6C04C119"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59%</w:t>
            </w:r>
          </w:p>
        </w:tc>
        <w:tc>
          <w:tcPr>
            <w:tcW w:w="1265" w:type="dxa"/>
            <w:noWrap/>
            <w:vAlign w:val="center"/>
            <w:hideMark/>
          </w:tcPr>
          <w:p w14:paraId="0D70D0E6"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0.13%</w:t>
            </w:r>
          </w:p>
        </w:tc>
      </w:tr>
      <w:tr w:rsidR="00344E79" w:rsidRPr="00344E79" w14:paraId="5C2B21FD" w14:textId="77777777" w:rsidTr="00344E79">
        <w:trPr>
          <w:trHeight w:val="320"/>
        </w:trPr>
        <w:tc>
          <w:tcPr>
            <w:tcW w:w="2772" w:type="dxa"/>
            <w:noWrap/>
            <w:vAlign w:val="center"/>
            <w:hideMark/>
          </w:tcPr>
          <w:p w14:paraId="03BE67AF" w14:textId="77777777" w:rsidR="00344E79" w:rsidRPr="00344E79" w:rsidRDefault="00344E79" w:rsidP="00344E79">
            <w:pPr>
              <w:rPr>
                <w:rFonts w:ascii="KaiTi" w:eastAsia="KaiTi" w:hAnsi="KaiTi"/>
                <w:sz w:val="22"/>
                <w:szCs w:val="22"/>
              </w:rPr>
            </w:pPr>
            <w:r w:rsidRPr="00344E79">
              <w:rPr>
                <w:rFonts w:ascii="KaiTi" w:eastAsia="KaiTi" w:hAnsi="KaiTi"/>
                <w:sz w:val="22"/>
                <w:szCs w:val="22"/>
              </w:rPr>
              <w:t>Z17美国优质股权基金</w:t>
            </w:r>
          </w:p>
        </w:tc>
        <w:tc>
          <w:tcPr>
            <w:tcW w:w="1265" w:type="dxa"/>
            <w:noWrap/>
            <w:vAlign w:val="center"/>
            <w:hideMark/>
          </w:tcPr>
          <w:p w14:paraId="3A9C5C19" w14:textId="77777777" w:rsidR="00344E79" w:rsidRPr="00344E79" w:rsidRDefault="00344E79" w:rsidP="00344E79">
            <w:pPr>
              <w:jc w:val="center"/>
              <w:rPr>
                <w:rFonts w:ascii="KaiTi" w:eastAsia="KaiTi" w:hAnsi="KaiTi"/>
                <w:sz w:val="22"/>
                <w:szCs w:val="22"/>
                <w:u w:val="single"/>
              </w:rPr>
            </w:pPr>
            <w:r w:rsidRPr="00344E79">
              <w:rPr>
                <w:rFonts w:ascii="KaiTi" w:eastAsia="KaiTi" w:hAnsi="KaiTi"/>
                <w:sz w:val="22"/>
                <w:szCs w:val="22"/>
                <w:u w:val="single"/>
              </w:rPr>
              <w:t>6/28/25</w:t>
            </w:r>
          </w:p>
        </w:tc>
        <w:tc>
          <w:tcPr>
            <w:tcW w:w="1518" w:type="dxa"/>
            <w:noWrap/>
            <w:vAlign w:val="center"/>
            <w:hideMark/>
          </w:tcPr>
          <w:p w14:paraId="1B85F56A"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9.25</w:t>
            </w:r>
          </w:p>
        </w:tc>
        <w:tc>
          <w:tcPr>
            <w:tcW w:w="1265" w:type="dxa"/>
            <w:noWrap/>
            <w:vAlign w:val="center"/>
            <w:hideMark/>
          </w:tcPr>
          <w:p w14:paraId="7D249E2C" w14:textId="312F62B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410,191</w:t>
            </w:r>
          </w:p>
        </w:tc>
        <w:tc>
          <w:tcPr>
            <w:tcW w:w="1265" w:type="dxa"/>
            <w:noWrap/>
            <w:vAlign w:val="center"/>
            <w:hideMark/>
          </w:tcPr>
          <w:p w14:paraId="00D506CF"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41%</w:t>
            </w:r>
          </w:p>
        </w:tc>
        <w:tc>
          <w:tcPr>
            <w:tcW w:w="1265" w:type="dxa"/>
            <w:noWrap/>
            <w:vAlign w:val="center"/>
            <w:hideMark/>
          </w:tcPr>
          <w:p w14:paraId="0772DA3E"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2.55%</w:t>
            </w:r>
          </w:p>
        </w:tc>
      </w:tr>
      <w:tr w:rsidR="00344E79" w:rsidRPr="00344E79" w14:paraId="59FC25F2" w14:textId="77777777" w:rsidTr="00344E79">
        <w:trPr>
          <w:trHeight w:val="320"/>
        </w:trPr>
        <w:tc>
          <w:tcPr>
            <w:tcW w:w="2772" w:type="dxa"/>
            <w:noWrap/>
            <w:vAlign w:val="center"/>
            <w:hideMark/>
          </w:tcPr>
          <w:p w14:paraId="7DC3C55B"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合计</w:t>
            </w:r>
          </w:p>
        </w:tc>
        <w:tc>
          <w:tcPr>
            <w:tcW w:w="1265" w:type="dxa"/>
            <w:noWrap/>
            <w:vAlign w:val="center"/>
            <w:hideMark/>
          </w:tcPr>
          <w:p w14:paraId="5A771F81" w14:textId="01EAD29D" w:rsidR="00344E79" w:rsidRPr="00344E79" w:rsidRDefault="00344E79" w:rsidP="00344E79">
            <w:pPr>
              <w:jc w:val="center"/>
              <w:rPr>
                <w:rFonts w:ascii="KaiTi" w:eastAsia="KaiTi" w:hAnsi="KaiTi"/>
                <w:sz w:val="22"/>
                <w:szCs w:val="22"/>
              </w:rPr>
            </w:pPr>
          </w:p>
        </w:tc>
        <w:tc>
          <w:tcPr>
            <w:tcW w:w="1518" w:type="dxa"/>
            <w:noWrap/>
            <w:vAlign w:val="center"/>
            <w:hideMark/>
          </w:tcPr>
          <w:p w14:paraId="270083D6" w14:textId="289E7321" w:rsidR="00344E79" w:rsidRPr="00344E79" w:rsidRDefault="00344E79" w:rsidP="00344E79">
            <w:pPr>
              <w:jc w:val="center"/>
              <w:rPr>
                <w:rFonts w:ascii="KaiTi" w:eastAsia="KaiTi" w:hAnsi="KaiTi"/>
                <w:sz w:val="22"/>
                <w:szCs w:val="22"/>
              </w:rPr>
            </w:pPr>
          </w:p>
        </w:tc>
        <w:tc>
          <w:tcPr>
            <w:tcW w:w="1265" w:type="dxa"/>
            <w:noWrap/>
            <w:vAlign w:val="center"/>
            <w:hideMark/>
          </w:tcPr>
          <w:p w14:paraId="59CE78C4" w14:textId="3F0C6F19" w:rsidR="00344E79" w:rsidRPr="00344E79" w:rsidRDefault="00344E79" w:rsidP="00344E79">
            <w:pPr>
              <w:jc w:val="center"/>
              <w:rPr>
                <w:rFonts w:ascii="KaiTi" w:eastAsia="KaiTi" w:hAnsi="KaiTi"/>
                <w:sz w:val="22"/>
                <w:szCs w:val="22"/>
              </w:rPr>
            </w:pPr>
            <w:r w:rsidRPr="00344E79">
              <w:rPr>
                <w:rFonts w:ascii="KaiTi" w:eastAsia="KaiTi" w:hAnsi="KaiTi"/>
                <w:sz w:val="22"/>
                <w:szCs w:val="22"/>
              </w:rPr>
              <w:t>1,010,963</w:t>
            </w:r>
          </w:p>
        </w:tc>
        <w:tc>
          <w:tcPr>
            <w:tcW w:w="1265" w:type="dxa"/>
            <w:noWrap/>
            <w:vAlign w:val="center"/>
            <w:hideMark/>
          </w:tcPr>
          <w:p w14:paraId="60FBD0BE"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100%</w:t>
            </w:r>
          </w:p>
        </w:tc>
        <w:tc>
          <w:tcPr>
            <w:tcW w:w="1265" w:type="dxa"/>
            <w:noWrap/>
            <w:vAlign w:val="center"/>
            <w:hideMark/>
          </w:tcPr>
          <w:p w14:paraId="3783E530"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1.10%</w:t>
            </w:r>
          </w:p>
        </w:tc>
      </w:tr>
    </w:tbl>
    <w:p w14:paraId="57CF9273" w14:textId="77777777" w:rsidR="00344E79" w:rsidRPr="00344E79" w:rsidRDefault="00344E79" w:rsidP="00EE3204">
      <w:pPr>
        <w:rPr>
          <w:rFonts w:ascii="KaiTi" w:eastAsia="KaiTi" w:hAnsi="KaiTi"/>
          <w:sz w:val="22"/>
          <w:szCs w:val="22"/>
        </w:rPr>
      </w:pPr>
    </w:p>
    <w:p w14:paraId="02E56D76" w14:textId="5D25657E" w:rsidR="00EE3204" w:rsidRDefault="00EE3204" w:rsidP="00EE3204">
      <w:pPr>
        <w:rPr>
          <w:rFonts w:ascii="KaiTi" w:eastAsia="KaiTi" w:hAnsi="KaiTi"/>
        </w:rPr>
      </w:pPr>
      <w:r w:rsidRPr="000C1D9B">
        <w:rPr>
          <w:rFonts w:ascii="KaiTi" w:eastAsia="KaiTi" w:hAnsi="KaiTi" w:hint="eastAsia"/>
        </w:rPr>
        <w:t>从账面价格来看，本组合</w:t>
      </w:r>
      <w:r>
        <w:rPr>
          <w:rFonts w:ascii="KaiTi" w:eastAsia="KaiTi" w:hAnsi="KaiTi" w:hint="eastAsia"/>
        </w:rPr>
        <w:t>累计</w:t>
      </w:r>
      <w:r w:rsidRPr="000C1D9B">
        <w:rPr>
          <w:rFonts w:ascii="KaiTi" w:eastAsia="KaiTi" w:hAnsi="KaiTi" w:hint="eastAsia"/>
        </w:rPr>
        <w:t>表现为</w:t>
      </w:r>
      <w:r w:rsidR="004517D6">
        <w:rPr>
          <w:rFonts w:ascii="KaiTi" w:eastAsia="KaiTi" w:hAnsi="KaiTi"/>
        </w:rPr>
        <w:t>1.</w:t>
      </w:r>
      <w:r w:rsidR="00B769EE">
        <w:rPr>
          <w:rFonts w:ascii="KaiTi" w:eastAsia="KaiTi" w:hAnsi="KaiTi" w:hint="eastAsia"/>
        </w:rPr>
        <w:t>1</w:t>
      </w:r>
      <w:r w:rsidRPr="000C1D9B">
        <w:rPr>
          <w:rFonts w:ascii="KaiTi" w:eastAsia="KaiTi" w:hAnsi="KaiTi" w:hint="eastAsia"/>
        </w:rPr>
        <w:t>%，但如果加上本组合</w:t>
      </w:r>
      <w:r>
        <w:rPr>
          <w:rFonts w:ascii="KaiTi" w:eastAsia="KaiTi" w:hAnsi="KaiTi" w:hint="eastAsia"/>
        </w:rPr>
        <w:t>累计</w:t>
      </w:r>
      <w:r w:rsidRPr="000C1D9B">
        <w:rPr>
          <w:rFonts w:ascii="KaiTi" w:eastAsia="KaiTi" w:hAnsi="KaiTi" w:hint="eastAsia"/>
        </w:rPr>
        <w:t>发放</w:t>
      </w:r>
      <w:r>
        <w:rPr>
          <w:rFonts w:ascii="KaiTi" w:eastAsia="KaiTi" w:hAnsi="KaiTi" w:hint="eastAsia"/>
        </w:rPr>
        <w:t>的</w:t>
      </w:r>
      <w:r w:rsidRPr="000C1D9B">
        <w:rPr>
          <w:rFonts w:ascii="KaiTi" w:eastAsia="KaiTi" w:hAnsi="KaiTi" w:hint="eastAsia"/>
        </w:rPr>
        <w:t>分红，整体</w:t>
      </w:r>
      <w:r>
        <w:rPr>
          <w:rFonts w:ascii="KaiTi" w:eastAsia="KaiTi" w:hAnsi="KaiTi" w:hint="eastAsia"/>
        </w:rPr>
        <w:t>累积收益为</w:t>
      </w:r>
      <w:r w:rsidR="00BC62AF" w:rsidRPr="00BC62AF">
        <w:rPr>
          <w:rFonts w:ascii="KaiTi" w:eastAsia="KaiTi" w:hAnsi="KaiTi" w:hint="eastAsia"/>
          <w:color w:val="FF0000"/>
        </w:rPr>
        <w:t>5.49</w:t>
      </w:r>
      <w:r w:rsidRPr="00BC62AF">
        <w:rPr>
          <w:rFonts w:ascii="KaiTi" w:eastAsia="KaiTi" w:hAnsi="KaiTi" w:hint="eastAsia"/>
          <w:b/>
          <w:bCs/>
          <w:color w:val="FF0000"/>
        </w:rPr>
        <w:t>%</w:t>
      </w:r>
      <w:r w:rsidRPr="000C1D9B">
        <w:rPr>
          <w:rFonts w:ascii="KaiTi" w:eastAsia="KaiTi" w:hAnsi="KaiTi" w:hint="eastAsia"/>
        </w:rPr>
        <w:t>。</w:t>
      </w:r>
    </w:p>
    <w:p w14:paraId="55219365" w14:textId="096E4D52" w:rsidR="00BD235C" w:rsidRDefault="00EE3204" w:rsidP="00EE3204">
      <w:pPr>
        <w:rPr>
          <w:rFonts w:ascii="KaiTi" w:eastAsia="KaiTi" w:hAnsi="KaiTi"/>
        </w:rPr>
      </w:pPr>
      <w:r>
        <w:rPr>
          <w:rFonts w:ascii="KaiTi" w:eastAsia="KaiTi" w:hAnsi="KaiTi" w:hint="eastAsia"/>
        </w:rPr>
        <w:t>自2024年10月到25年</w:t>
      </w:r>
      <w:r w:rsidR="00BC62AF">
        <w:rPr>
          <w:rFonts w:ascii="KaiTi" w:eastAsia="KaiTi" w:hAnsi="KaiTi" w:hint="eastAsia"/>
        </w:rPr>
        <w:t>6</w:t>
      </w:r>
      <w:r>
        <w:rPr>
          <w:rFonts w:ascii="KaiTi" w:eastAsia="KaiTi" w:hAnsi="KaiTi" w:hint="eastAsia"/>
        </w:rPr>
        <w:t>月，</w:t>
      </w:r>
      <w:r w:rsidRPr="000C1D9B">
        <w:rPr>
          <w:rFonts w:ascii="KaiTi" w:eastAsia="KaiTi" w:hAnsi="KaiTi" w:hint="eastAsia"/>
        </w:rPr>
        <w:t>Z12美国中高等级债券基金</w:t>
      </w:r>
      <w:r>
        <w:rPr>
          <w:rFonts w:ascii="KaiTi" w:eastAsia="KaiTi" w:hAnsi="KaiTi" w:hint="eastAsia"/>
        </w:rPr>
        <w:t>每月</w:t>
      </w:r>
      <w:r w:rsidRPr="000C1D9B">
        <w:rPr>
          <w:rFonts w:ascii="KaiTi" w:eastAsia="KaiTi" w:hAnsi="KaiTi" w:hint="eastAsia"/>
        </w:rPr>
        <w:t>派发</w:t>
      </w:r>
      <w:r>
        <w:rPr>
          <w:rFonts w:ascii="KaiTi" w:eastAsia="KaiTi" w:hAnsi="KaiTi" w:hint="eastAsia"/>
        </w:rPr>
        <w:t>分红</w:t>
      </w:r>
      <w:r w:rsidRPr="000C1D9B">
        <w:rPr>
          <w:rFonts w:ascii="KaiTi" w:eastAsia="KaiTi" w:hAnsi="KaiTi" w:hint="eastAsia"/>
        </w:rPr>
        <w:t>$0.04/股</w:t>
      </w:r>
      <w:r>
        <w:rPr>
          <w:rFonts w:ascii="KaiTi" w:eastAsia="KaiTi" w:hAnsi="KaiTi" w:hint="eastAsia"/>
        </w:rPr>
        <w:t>。</w:t>
      </w:r>
      <w:r w:rsidRPr="000C1D9B">
        <w:rPr>
          <w:rFonts w:ascii="KaiTi" w:eastAsia="KaiTi" w:hAnsi="KaiTi" w:hint="eastAsia"/>
        </w:rPr>
        <w:t>Z17美国优质股权基金</w:t>
      </w:r>
      <w:r>
        <w:rPr>
          <w:rFonts w:ascii="KaiTi" w:eastAsia="KaiTi" w:hAnsi="KaiTi" w:hint="eastAsia"/>
        </w:rPr>
        <w:t>现时月度分红派发</w:t>
      </w:r>
      <w:r w:rsidRPr="000C1D9B">
        <w:rPr>
          <w:rFonts w:ascii="KaiTi" w:eastAsia="KaiTi" w:hAnsi="KaiTi" w:hint="eastAsia"/>
        </w:rPr>
        <w:t>$0.05</w:t>
      </w:r>
      <w:r w:rsidR="00BC62AF">
        <w:rPr>
          <w:rFonts w:ascii="KaiTi" w:eastAsia="KaiTi" w:hAnsi="KaiTi" w:hint="eastAsia"/>
        </w:rPr>
        <w:t>65</w:t>
      </w:r>
      <w:r w:rsidRPr="000C1D9B">
        <w:rPr>
          <w:rFonts w:ascii="KaiTi" w:eastAsia="KaiTi" w:hAnsi="KaiTi" w:hint="eastAsia"/>
        </w:rPr>
        <w:t>/股</w:t>
      </w:r>
      <w:r w:rsidR="00BC62AF">
        <w:rPr>
          <w:rFonts w:ascii="KaiTi" w:eastAsia="KaiTi" w:hAnsi="KaiTi" w:hint="eastAsia"/>
        </w:rPr>
        <w:t>（较上月有所增长）</w:t>
      </w:r>
      <w:r w:rsidRPr="000C1D9B">
        <w:rPr>
          <w:rFonts w:ascii="KaiTi" w:eastAsia="KaiTi" w:hAnsi="KaiTi" w:hint="eastAsia"/>
        </w:rPr>
        <w:t>。</w:t>
      </w:r>
    </w:p>
    <w:p w14:paraId="0FF1A690" w14:textId="529ED8B5" w:rsidR="00BD235C" w:rsidRDefault="00EE3204" w:rsidP="00EE3204">
      <w:pPr>
        <w:rPr>
          <w:rFonts w:ascii="KaiTi" w:eastAsia="KaiTi" w:hAnsi="KaiTi"/>
        </w:rPr>
      </w:pPr>
      <w:r w:rsidRPr="000C1D9B">
        <w:rPr>
          <w:rFonts w:ascii="KaiTi" w:eastAsia="KaiTi" w:hAnsi="KaiTi" w:hint="eastAsia"/>
        </w:rPr>
        <w:lastRenderedPageBreak/>
        <w:t>合计投资者</w:t>
      </w:r>
      <w:r>
        <w:rPr>
          <w:rFonts w:ascii="KaiTi" w:eastAsia="KaiTi" w:hAnsi="KaiTi" w:hint="eastAsia"/>
        </w:rPr>
        <w:t>已累计</w:t>
      </w:r>
      <w:r w:rsidRPr="000C1D9B">
        <w:rPr>
          <w:rFonts w:ascii="KaiTi" w:eastAsia="KaiTi" w:hAnsi="KaiTi" w:hint="eastAsia"/>
        </w:rPr>
        <w:t>获得$</w:t>
      </w:r>
      <w:r w:rsidR="00BC62AF">
        <w:rPr>
          <w:rFonts w:ascii="KaiTi" w:eastAsia="KaiTi" w:hAnsi="KaiTi" w:hint="eastAsia"/>
        </w:rPr>
        <w:t>43918</w:t>
      </w:r>
      <w:r>
        <w:rPr>
          <w:rFonts w:ascii="KaiTi" w:eastAsia="KaiTi" w:hAnsi="KaiTi" w:hint="eastAsia"/>
        </w:rPr>
        <w:t>（折合人民币</w:t>
      </w:r>
      <w:r w:rsidR="00BC62AF">
        <w:rPr>
          <w:rFonts w:ascii="KaiTi" w:eastAsia="KaiTi" w:hAnsi="KaiTi" w:hint="eastAsia"/>
        </w:rPr>
        <w:t>316210</w:t>
      </w:r>
      <w:r>
        <w:rPr>
          <w:rFonts w:ascii="KaiTi" w:eastAsia="KaiTi" w:hAnsi="KaiTi" w:hint="eastAsia"/>
        </w:rPr>
        <w:t>元，汇率按照7.2计算）</w:t>
      </w:r>
      <w:r w:rsidRPr="000C1D9B">
        <w:rPr>
          <w:rFonts w:ascii="KaiTi" w:eastAsia="KaiTi" w:hAnsi="KaiTi" w:hint="eastAsia"/>
        </w:rPr>
        <w:t>的现金流收入，年化派息收益率为</w:t>
      </w:r>
      <w:r w:rsidRPr="00F51BCD">
        <w:rPr>
          <w:rFonts w:ascii="KaiTi" w:eastAsia="KaiTi" w:hAnsi="KaiTi" w:hint="eastAsia"/>
          <w:color w:val="FF0000"/>
        </w:rPr>
        <w:t>6.5</w:t>
      </w:r>
      <w:r w:rsidR="00BC62AF" w:rsidRPr="00F51BCD">
        <w:rPr>
          <w:rFonts w:ascii="KaiTi" w:eastAsia="KaiTi" w:hAnsi="KaiTi" w:hint="eastAsia"/>
          <w:color w:val="FF0000"/>
        </w:rPr>
        <w:t>9</w:t>
      </w:r>
      <w:r w:rsidRPr="00F51BCD">
        <w:rPr>
          <w:rFonts w:ascii="KaiTi" w:eastAsia="KaiTi" w:hAnsi="KaiTi" w:hint="eastAsia"/>
          <w:color w:val="FF0000"/>
        </w:rPr>
        <w:t>%</w:t>
      </w:r>
      <w:r w:rsidR="00F51BCD" w:rsidRPr="00F51BCD">
        <w:rPr>
          <w:rFonts w:ascii="KaiTi" w:eastAsia="KaiTi" w:hAnsi="KaiTi" w:hint="eastAsia"/>
          <w:color w:val="000000" w:themeColor="text1"/>
        </w:rPr>
        <w:t>（按照初始投资金额计算）</w:t>
      </w:r>
      <w:r w:rsidRPr="000C1D9B">
        <w:rPr>
          <w:rFonts w:ascii="KaiTi" w:eastAsia="KaiTi" w:hAnsi="KaiTi" w:hint="eastAsia"/>
        </w:rPr>
        <w:t>。</w:t>
      </w:r>
    </w:p>
    <w:tbl>
      <w:tblPr>
        <w:tblStyle w:val="TableGrid"/>
        <w:tblW w:w="0" w:type="auto"/>
        <w:jc w:val="center"/>
        <w:tblLook w:val="04A0" w:firstRow="1" w:lastRow="0" w:firstColumn="1" w:lastColumn="0" w:noHBand="0" w:noVBand="1"/>
      </w:tblPr>
      <w:tblGrid>
        <w:gridCol w:w="2589"/>
        <w:gridCol w:w="958"/>
        <w:gridCol w:w="958"/>
        <w:gridCol w:w="958"/>
        <w:gridCol w:w="1013"/>
        <w:gridCol w:w="958"/>
        <w:gridCol w:w="958"/>
        <w:gridCol w:w="958"/>
      </w:tblGrid>
      <w:tr w:rsidR="00BC62AF" w:rsidRPr="00BC62AF" w14:paraId="36C7BA3C" w14:textId="77777777" w:rsidTr="00BC62AF">
        <w:trPr>
          <w:trHeight w:val="320"/>
          <w:jc w:val="center"/>
        </w:trPr>
        <w:tc>
          <w:tcPr>
            <w:tcW w:w="3680" w:type="dxa"/>
            <w:noWrap/>
            <w:vAlign w:val="center"/>
            <w:hideMark/>
          </w:tcPr>
          <w:p w14:paraId="455D3C5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PingFang TC" w:eastAsia="PingFang TC" w:hAnsi="PingFang TC" w:cs="PingFang TC" w:hint="eastAsia"/>
                <w:kern w:val="0"/>
                <w:sz w:val="20"/>
                <w:szCs w:val="20"/>
                <w14:ligatures w14:val="none"/>
              </w:rPr>
              <w:t>基金名称</w:t>
            </w:r>
          </w:p>
        </w:tc>
        <w:tc>
          <w:tcPr>
            <w:tcW w:w="1300" w:type="dxa"/>
            <w:noWrap/>
            <w:vAlign w:val="center"/>
            <w:hideMark/>
          </w:tcPr>
          <w:p w14:paraId="24E0D6E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PingFang TC" w:eastAsia="PingFang TC" w:hAnsi="PingFang TC" w:cs="PingFang TC" w:hint="eastAsia"/>
                <w:kern w:val="0"/>
                <w:sz w:val="20"/>
                <w:szCs w:val="20"/>
                <w14:ligatures w14:val="none"/>
              </w:rPr>
              <w:t>除净日期</w:t>
            </w:r>
          </w:p>
        </w:tc>
        <w:tc>
          <w:tcPr>
            <w:tcW w:w="1300" w:type="dxa"/>
            <w:noWrap/>
            <w:vAlign w:val="center"/>
            <w:hideMark/>
          </w:tcPr>
          <w:p w14:paraId="60A255EE"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PingFang TC" w:eastAsia="PingFang TC" w:hAnsi="PingFang TC" w:cs="PingFang TC" w:hint="eastAsia"/>
                <w:kern w:val="0"/>
                <w:sz w:val="20"/>
                <w:szCs w:val="20"/>
                <w14:ligatures w14:val="none"/>
              </w:rPr>
              <w:t>每单位派发</w:t>
            </w:r>
          </w:p>
        </w:tc>
        <w:tc>
          <w:tcPr>
            <w:tcW w:w="1300" w:type="dxa"/>
            <w:noWrap/>
            <w:vAlign w:val="center"/>
            <w:hideMark/>
          </w:tcPr>
          <w:p w14:paraId="4EC773C3"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PingFang TC" w:eastAsia="PingFang TC" w:hAnsi="PingFang TC" w:cs="PingFang TC" w:hint="eastAsia"/>
                <w:kern w:val="0"/>
                <w:sz w:val="20"/>
                <w:szCs w:val="20"/>
                <w14:ligatures w14:val="none"/>
              </w:rPr>
              <w:t>持有份额</w:t>
            </w:r>
          </w:p>
        </w:tc>
        <w:tc>
          <w:tcPr>
            <w:tcW w:w="1380" w:type="dxa"/>
            <w:noWrap/>
            <w:vAlign w:val="center"/>
            <w:hideMark/>
          </w:tcPr>
          <w:p w14:paraId="54B0D3A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PingFang TC" w:eastAsia="PingFang TC" w:hAnsi="PingFang TC" w:cs="PingFang TC" w:hint="eastAsia"/>
                <w:kern w:val="0"/>
                <w:sz w:val="20"/>
                <w:szCs w:val="20"/>
                <w14:ligatures w14:val="none"/>
              </w:rPr>
              <w:t>派发合计</w:t>
            </w:r>
          </w:p>
        </w:tc>
        <w:tc>
          <w:tcPr>
            <w:tcW w:w="1300" w:type="dxa"/>
            <w:noWrap/>
            <w:vAlign w:val="center"/>
            <w:hideMark/>
          </w:tcPr>
          <w:p w14:paraId="1EB5C43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PingFang TC" w:eastAsia="PingFang TC" w:hAnsi="PingFang TC" w:cs="PingFang TC" w:hint="eastAsia"/>
                <w:kern w:val="0"/>
                <w:sz w:val="20"/>
                <w:szCs w:val="20"/>
                <w14:ligatures w14:val="none"/>
              </w:rPr>
              <w:t>初始投资额</w:t>
            </w:r>
          </w:p>
        </w:tc>
        <w:tc>
          <w:tcPr>
            <w:tcW w:w="1300" w:type="dxa"/>
            <w:noWrap/>
            <w:vAlign w:val="center"/>
            <w:hideMark/>
          </w:tcPr>
          <w:p w14:paraId="3E35D53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PingFang TC" w:eastAsia="PingFang TC" w:hAnsi="PingFang TC" w:cs="PingFang TC" w:hint="eastAsia"/>
                <w:kern w:val="0"/>
                <w:sz w:val="20"/>
                <w:szCs w:val="20"/>
                <w14:ligatures w14:val="none"/>
              </w:rPr>
              <w:t>月度派息收益率</w:t>
            </w:r>
          </w:p>
        </w:tc>
        <w:tc>
          <w:tcPr>
            <w:tcW w:w="1300" w:type="dxa"/>
            <w:noWrap/>
            <w:vAlign w:val="center"/>
            <w:hideMark/>
          </w:tcPr>
          <w:p w14:paraId="32425BC7"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PingFang TC" w:eastAsia="PingFang TC" w:hAnsi="PingFang TC" w:cs="PingFang TC" w:hint="eastAsia"/>
                <w:kern w:val="0"/>
                <w:sz w:val="20"/>
                <w:szCs w:val="20"/>
                <w14:ligatures w14:val="none"/>
              </w:rPr>
              <w:t>年化派息收益率</w:t>
            </w:r>
          </w:p>
        </w:tc>
      </w:tr>
      <w:tr w:rsidR="00BC62AF" w:rsidRPr="00BC62AF" w14:paraId="4C694EA6" w14:textId="77777777" w:rsidTr="00BC62AF">
        <w:trPr>
          <w:trHeight w:val="320"/>
          <w:jc w:val="center"/>
        </w:trPr>
        <w:tc>
          <w:tcPr>
            <w:tcW w:w="3680" w:type="dxa"/>
            <w:vMerge w:val="restart"/>
            <w:noWrap/>
            <w:vAlign w:val="center"/>
            <w:hideMark/>
          </w:tcPr>
          <w:p w14:paraId="27405A9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 xml:space="preserve">Z12 </w:t>
            </w:r>
            <w:r w:rsidRPr="00BC62AF">
              <w:rPr>
                <w:rFonts w:ascii="PingFang TC" w:eastAsia="PingFang TC" w:hAnsi="PingFang TC" w:cs="PingFang TC" w:hint="eastAsia"/>
                <w:kern w:val="0"/>
                <w:sz w:val="20"/>
                <w:szCs w:val="20"/>
                <w14:ligatures w14:val="none"/>
              </w:rPr>
              <w:t>美国中高等级债券基金</w:t>
            </w:r>
          </w:p>
        </w:tc>
        <w:tc>
          <w:tcPr>
            <w:tcW w:w="1300" w:type="dxa"/>
            <w:noWrap/>
            <w:vAlign w:val="center"/>
            <w:hideMark/>
          </w:tcPr>
          <w:p w14:paraId="6ADF9DE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11/1/24</w:t>
            </w:r>
          </w:p>
        </w:tc>
        <w:tc>
          <w:tcPr>
            <w:tcW w:w="1300" w:type="dxa"/>
            <w:noWrap/>
            <w:vAlign w:val="center"/>
            <w:hideMark/>
          </w:tcPr>
          <w:p w14:paraId="1FB8B0D5"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0.04</w:t>
            </w:r>
          </w:p>
        </w:tc>
        <w:tc>
          <w:tcPr>
            <w:tcW w:w="1300" w:type="dxa"/>
            <w:noWrap/>
            <w:vAlign w:val="center"/>
            <w:hideMark/>
          </w:tcPr>
          <w:p w14:paraId="0B64AB0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76825</w:t>
            </w:r>
          </w:p>
        </w:tc>
        <w:tc>
          <w:tcPr>
            <w:tcW w:w="1380" w:type="dxa"/>
            <w:noWrap/>
            <w:vAlign w:val="center"/>
            <w:hideMark/>
          </w:tcPr>
          <w:p w14:paraId="3002089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3073</w:t>
            </w:r>
          </w:p>
        </w:tc>
        <w:tc>
          <w:tcPr>
            <w:tcW w:w="1300" w:type="dxa"/>
            <w:noWrap/>
            <w:vAlign w:val="center"/>
            <w:hideMark/>
          </w:tcPr>
          <w:p w14:paraId="5910ECB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600003</w:t>
            </w:r>
          </w:p>
        </w:tc>
        <w:tc>
          <w:tcPr>
            <w:tcW w:w="1300" w:type="dxa"/>
            <w:noWrap/>
            <w:vAlign w:val="center"/>
            <w:hideMark/>
          </w:tcPr>
          <w:p w14:paraId="7955EA1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0.51%</w:t>
            </w:r>
          </w:p>
        </w:tc>
        <w:tc>
          <w:tcPr>
            <w:tcW w:w="1300" w:type="dxa"/>
            <w:noWrap/>
            <w:vAlign w:val="center"/>
            <w:hideMark/>
          </w:tcPr>
          <w:p w14:paraId="70035F3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6.15%</w:t>
            </w:r>
          </w:p>
        </w:tc>
      </w:tr>
      <w:tr w:rsidR="00BC62AF" w:rsidRPr="00BC62AF" w14:paraId="2D04C94B" w14:textId="77777777" w:rsidTr="00BC62AF">
        <w:trPr>
          <w:trHeight w:val="320"/>
          <w:jc w:val="center"/>
        </w:trPr>
        <w:tc>
          <w:tcPr>
            <w:tcW w:w="3680" w:type="dxa"/>
            <w:vMerge/>
            <w:vAlign w:val="center"/>
            <w:hideMark/>
          </w:tcPr>
          <w:p w14:paraId="7EFB05A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7F14BF37"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12/2/24</w:t>
            </w:r>
          </w:p>
        </w:tc>
        <w:tc>
          <w:tcPr>
            <w:tcW w:w="1300" w:type="dxa"/>
            <w:noWrap/>
            <w:vAlign w:val="center"/>
            <w:hideMark/>
          </w:tcPr>
          <w:p w14:paraId="59F8A23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0.04</w:t>
            </w:r>
          </w:p>
        </w:tc>
        <w:tc>
          <w:tcPr>
            <w:tcW w:w="1300" w:type="dxa"/>
            <w:noWrap/>
            <w:vAlign w:val="center"/>
            <w:hideMark/>
          </w:tcPr>
          <w:p w14:paraId="32749803"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76825</w:t>
            </w:r>
          </w:p>
        </w:tc>
        <w:tc>
          <w:tcPr>
            <w:tcW w:w="1380" w:type="dxa"/>
            <w:noWrap/>
            <w:vAlign w:val="center"/>
            <w:hideMark/>
          </w:tcPr>
          <w:p w14:paraId="3DF8781E"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3073</w:t>
            </w:r>
          </w:p>
        </w:tc>
        <w:tc>
          <w:tcPr>
            <w:tcW w:w="1300" w:type="dxa"/>
            <w:noWrap/>
            <w:vAlign w:val="center"/>
            <w:hideMark/>
          </w:tcPr>
          <w:p w14:paraId="0024E640"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600003</w:t>
            </w:r>
          </w:p>
        </w:tc>
        <w:tc>
          <w:tcPr>
            <w:tcW w:w="1300" w:type="dxa"/>
            <w:noWrap/>
            <w:vAlign w:val="center"/>
            <w:hideMark/>
          </w:tcPr>
          <w:p w14:paraId="22A1E67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0.51%</w:t>
            </w:r>
          </w:p>
        </w:tc>
        <w:tc>
          <w:tcPr>
            <w:tcW w:w="1300" w:type="dxa"/>
            <w:noWrap/>
            <w:vAlign w:val="center"/>
            <w:hideMark/>
          </w:tcPr>
          <w:p w14:paraId="3812319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6.15%</w:t>
            </w:r>
          </w:p>
        </w:tc>
      </w:tr>
      <w:tr w:rsidR="00BC62AF" w:rsidRPr="00BC62AF" w14:paraId="7AF99092" w14:textId="77777777" w:rsidTr="00BC62AF">
        <w:trPr>
          <w:trHeight w:val="320"/>
          <w:jc w:val="center"/>
        </w:trPr>
        <w:tc>
          <w:tcPr>
            <w:tcW w:w="3680" w:type="dxa"/>
            <w:vMerge/>
            <w:vAlign w:val="center"/>
            <w:hideMark/>
          </w:tcPr>
          <w:p w14:paraId="2BAB0383"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5AB27415"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12/30/24</w:t>
            </w:r>
          </w:p>
        </w:tc>
        <w:tc>
          <w:tcPr>
            <w:tcW w:w="1300" w:type="dxa"/>
            <w:noWrap/>
            <w:vAlign w:val="center"/>
            <w:hideMark/>
          </w:tcPr>
          <w:p w14:paraId="0B1C2C03"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0.04</w:t>
            </w:r>
          </w:p>
        </w:tc>
        <w:tc>
          <w:tcPr>
            <w:tcW w:w="1300" w:type="dxa"/>
            <w:noWrap/>
            <w:vAlign w:val="center"/>
            <w:hideMark/>
          </w:tcPr>
          <w:p w14:paraId="52D1358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76825</w:t>
            </w:r>
          </w:p>
        </w:tc>
        <w:tc>
          <w:tcPr>
            <w:tcW w:w="1380" w:type="dxa"/>
            <w:noWrap/>
            <w:vAlign w:val="center"/>
            <w:hideMark/>
          </w:tcPr>
          <w:p w14:paraId="3EFF25A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3073</w:t>
            </w:r>
          </w:p>
        </w:tc>
        <w:tc>
          <w:tcPr>
            <w:tcW w:w="1300" w:type="dxa"/>
            <w:noWrap/>
            <w:vAlign w:val="center"/>
            <w:hideMark/>
          </w:tcPr>
          <w:p w14:paraId="5D53640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600003</w:t>
            </w:r>
          </w:p>
        </w:tc>
        <w:tc>
          <w:tcPr>
            <w:tcW w:w="1300" w:type="dxa"/>
            <w:noWrap/>
            <w:vAlign w:val="center"/>
            <w:hideMark/>
          </w:tcPr>
          <w:p w14:paraId="633273B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0.51%</w:t>
            </w:r>
          </w:p>
        </w:tc>
        <w:tc>
          <w:tcPr>
            <w:tcW w:w="1300" w:type="dxa"/>
            <w:noWrap/>
            <w:vAlign w:val="center"/>
            <w:hideMark/>
          </w:tcPr>
          <w:p w14:paraId="218EB66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6.15%</w:t>
            </w:r>
          </w:p>
        </w:tc>
      </w:tr>
      <w:tr w:rsidR="00BC62AF" w:rsidRPr="00BC62AF" w14:paraId="18EF59CC" w14:textId="77777777" w:rsidTr="00BC62AF">
        <w:trPr>
          <w:trHeight w:val="320"/>
          <w:jc w:val="center"/>
        </w:trPr>
        <w:tc>
          <w:tcPr>
            <w:tcW w:w="3680" w:type="dxa"/>
            <w:vMerge/>
            <w:vAlign w:val="center"/>
            <w:hideMark/>
          </w:tcPr>
          <w:p w14:paraId="532C1F7C"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5EC0A7D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1/31/25</w:t>
            </w:r>
          </w:p>
        </w:tc>
        <w:tc>
          <w:tcPr>
            <w:tcW w:w="1300" w:type="dxa"/>
            <w:noWrap/>
            <w:vAlign w:val="center"/>
            <w:hideMark/>
          </w:tcPr>
          <w:p w14:paraId="1FF3F47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0.04</w:t>
            </w:r>
          </w:p>
        </w:tc>
        <w:tc>
          <w:tcPr>
            <w:tcW w:w="1300" w:type="dxa"/>
            <w:noWrap/>
            <w:vAlign w:val="center"/>
            <w:hideMark/>
          </w:tcPr>
          <w:p w14:paraId="6CF661C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76825</w:t>
            </w:r>
          </w:p>
        </w:tc>
        <w:tc>
          <w:tcPr>
            <w:tcW w:w="1380" w:type="dxa"/>
            <w:noWrap/>
            <w:vAlign w:val="center"/>
            <w:hideMark/>
          </w:tcPr>
          <w:p w14:paraId="431111D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3073</w:t>
            </w:r>
          </w:p>
        </w:tc>
        <w:tc>
          <w:tcPr>
            <w:tcW w:w="1300" w:type="dxa"/>
            <w:noWrap/>
            <w:vAlign w:val="center"/>
            <w:hideMark/>
          </w:tcPr>
          <w:p w14:paraId="00E72295"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600003</w:t>
            </w:r>
          </w:p>
        </w:tc>
        <w:tc>
          <w:tcPr>
            <w:tcW w:w="1300" w:type="dxa"/>
            <w:noWrap/>
            <w:vAlign w:val="center"/>
            <w:hideMark/>
          </w:tcPr>
          <w:p w14:paraId="3E2652B2"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0.51%</w:t>
            </w:r>
          </w:p>
        </w:tc>
        <w:tc>
          <w:tcPr>
            <w:tcW w:w="1300" w:type="dxa"/>
            <w:noWrap/>
            <w:vAlign w:val="center"/>
            <w:hideMark/>
          </w:tcPr>
          <w:p w14:paraId="5F3F42B7"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6.15%</w:t>
            </w:r>
          </w:p>
        </w:tc>
      </w:tr>
      <w:tr w:rsidR="00BC62AF" w:rsidRPr="00BC62AF" w14:paraId="560025ED" w14:textId="77777777" w:rsidTr="00BC62AF">
        <w:trPr>
          <w:trHeight w:val="320"/>
          <w:jc w:val="center"/>
        </w:trPr>
        <w:tc>
          <w:tcPr>
            <w:tcW w:w="3680" w:type="dxa"/>
            <w:vMerge/>
            <w:vAlign w:val="center"/>
            <w:hideMark/>
          </w:tcPr>
          <w:p w14:paraId="3154AF7E"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18DD3A1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3/3/25</w:t>
            </w:r>
          </w:p>
        </w:tc>
        <w:tc>
          <w:tcPr>
            <w:tcW w:w="1300" w:type="dxa"/>
            <w:noWrap/>
            <w:vAlign w:val="center"/>
            <w:hideMark/>
          </w:tcPr>
          <w:p w14:paraId="7A0A122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0.04</w:t>
            </w:r>
          </w:p>
        </w:tc>
        <w:tc>
          <w:tcPr>
            <w:tcW w:w="1300" w:type="dxa"/>
            <w:noWrap/>
            <w:vAlign w:val="center"/>
            <w:hideMark/>
          </w:tcPr>
          <w:p w14:paraId="6F66D919"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76825</w:t>
            </w:r>
          </w:p>
        </w:tc>
        <w:tc>
          <w:tcPr>
            <w:tcW w:w="1380" w:type="dxa"/>
            <w:noWrap/>
            <w:vAlign w:val="center"/>
            <w:hideMark/>
          </w:tcPr>
          <w:p w14:paraId="57A3952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3073</w:t>
            </w:r>
          </w:p>
        </w:tc>
        <w:tc>
          <w:tcPr>
            <w:tcW w:w="1300" w:type="dxa"/>
            <w:noWrap/>
            <w:vAlign w:val="center"/>
            <w:hideMark/>
          </w:tcPr>
          <w:p w14:paraId="399F04B7"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600003</w:t>
            </w:r>
          </w:p>
        </w:tc>
        <w:tc>
          <w:tcPr>
            <w:tcW w:w="1300" w:type="dxa"/>
            <w:noWrap/>
            <w:vAlign w:val="center"/>
            <w:hideMark/>
          </w:tcPr>
          <w:p w14:paraId="2484B5C0"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0.51%</w:t>
            </w:r>
          </w:p>
        </w:tc>
        <w:tc>
          <w:tcPr>
            <w:tcW w:w="1300" w:type="dxa"/>
            <w:noWrap/>
            <w:vAlign w:val="center"/>
            <w:hideMark/>
          </w:tcPr>
          <w:p w14:paraId="123D555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6.15%</w:t>
            </w:r>
          </w:p>
        </w:tc>
      </w:tr>
      <w:tr w:rsidR="00BC62AF" w:rsidRPr="00BC62AF" w14:paraId="6D1116D9" w14:textId="77777777" w:rsidTr="00BC62AF">
        <w:trPr>
          <w:trHeight w:val="320"/>
          <w:jc w:val="center"/>
        </w:trPr>
        <w:tc>
          <w:tcPr>
            <w:tcW w:w="3680" w:type="dxa"/>
            <w:vMerge/>
            <w:vAlign w:val="center"/>
            <w:hideMark/>
          </w:tcPr>
          <w:p w14:paraId="5EBBD2D5"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66941822"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4/1/25</w:t>
            </w:r>
          </w:p>
        </w:tc>
        <w:tc>
          <w:tcPr>
            <w:tcW w:w="1300" w:type="dxa"/>
            <w:noWrap/>
            <w:vAlign w:val="center"/>
            <w:hideMark/>
          </w:tcPr>
          <w:p w14:paraId="5A6EB9A0"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0.04</w:t>
            </w:r>
          </w:p>
        </w:tc>
        <w:tc>
          <w:tcPr>
            <w:tcW w:w="1300" w:type="dxa"/>
            <w:noWrap/>
            <w:vAlign w:val="center"/>
            <w:hideMark/>
          </w:tcPr>
          <w:p w14:paraId="64D410D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76825</w:t>
            </w:r>
          </w:p>
        </w:tc>
        <w:tc>
          <w:tcPr>
            <w:tcW w:w="1380" w:type="dxa"/>
            <w:noWrap/>
            <w:vAlign w:val="center"/>
            <w:hideMark/>
          </w:tcPr>
          <w:p w14:paraId="36968FD3"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3073</w:t>
            </w:r>
          </w:p>
        </w:tc>
        <w:tc>
          <w:tcPr>
            <w:tcW w:w="1300" w:type="dxa"/>
            <w:noWrap/>
            <w:vAlign w:val="center"/>
            <w:hideMark/>
          </w:tcPr>
          <w:p w14:paraId="4918605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600003</w:t>
            </w:r>
          </w:p>
        </w:tc>
        <w:tc>
          <w:tcPr>
            <w:tcW w:w="1300" w:type="dxa"/>
            <w:noWrap/>
            <w:vAlign w:val="center"/>
            <w:hideMark/>
          </w:tcPr>
          <w:p w14:paraId="473445B7"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0.51%</w:t>
            </w:r>
          </w:p>
        </w:tc>
        <w:tc>
          <w:tcPr>
            <w:tcW w:w="1300" w:type="dxa"/>
            <w:noWrap/>
            <w:vAlign w:val="center"/>
            <w:hideMark/>
          </w:tcPr>
          <w:p w14:paraId="3B63571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6.15%</w:t>
            </w:r>
          </w:p>
        </w:tc>
      </w:tr>
      <w:tr w:rsidR="00BC62AF" w:rsidRPr="00BC62AF" w14:paraId="73A15057" w14:textId="77777777" w:rsidTr="00BC62AF">
        <w:trPr>
          <w:trHeight w:val="320"/>
          <w:jc w:val="center"/>
        </w:trPr>
        <w:tc>
          <w:tcPr>
            <w:tcW w:w="3680" w:type="dxa"/>
            <w:vMerge/>
            <w:vAlign w:val="center"/>
            <w:hideMark/>
          </w:tcPr>
          <w:p w14:paraId="43A6689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62070F97"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5/1/25</w:t>
            </w:r>
          </w:p>
        </w:tc>
        <w:tc>
          <w:tcPr>
            <w:tcW w:w="1300" w:type="dxa"/>
            <w:noWrap/>
            <w:vAlign w:val="center"/>
            <w:hideMark/>
          </w:tcPr>
          <w:p w14:paraId="43EE1089"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0.04</w:t>
            </w:r>
          </w:p>
        </w:tc>
        <w:tc>
          <w:tcPr>
            <w:tcW w:w="1300" w:type="dxa"/>
            <w:noWrap/>
            <w:vAlign w:val="center"/>
            <w:hideMark/>
          </w:tcPr>
          <w:p w14:paraId="1EFD3B3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76825</w:t>
            </w:r>
          </w:p>
        </w:tc>
        <w:tc>
          <w:tcPr>
            <w:tcW w:w="1380" w:type="dxa"/>
            <w:noWrap/>
            <w:vAlign w:val="center"/>
            <w:hideMark/>
          </w:tcPr>
          <w:p w14:paraId="73D4EEC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3073</w:t>
            </w:r>
          </w:p>
        </w:tc>
        <w:tc>
          <w:tcPr>
            <w:tcW w:w="1300" w:type="dxa"/>
            <w:noWrap/>
            <w:vAlign w:val="center"/>
            <w:hideMark/>
          </w:tcPr>
          <w:p w14:paraId="4AD99E5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600003</w:t>
            </w:r>
          </w:p>
        </w:tc>
        <w:tc>
          <w:tcPr>
            <w:tcW w:w="1300" w:type="dxa"/>
            <w:noWrap/>
            <w:vAlign w:val="center"/>
            <w:hideMark/>
          </w:tcPr>
          <w:p w14:paraId="199D2DAE"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0.51%</w:t>
            </w:r>
          </w:p>
        </w:tc>
        <w:tc>
          <w:tcPr>
            <w:tcW w:w="1300" w:type="dxa"/>
            <w:noWrap/>
            <w:vAlign w:val="center"/>
            <w:hideMark/>
          </w:tcPr>
          <w:p w14:paraId="3DEE2229"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6.15%</w:t>
            </w:r>
          </w:p>
        </w:tc>
      </w:tr>
      <w:tr w:rsidR="00BC62AF" w:rsidRPr="00BC62AF" w14:paraId="7980D339" w14:textId="77777777" w:rsidTr="00BC62AF">
        <w:trPr>
          <w:trHeight w:val="320"/>
          <w:jc w:val="center"/>
        </w:trPr>
        <w:tc>
          <w:tcPr>
            <w:tcW w:w="3680" w:type="dxa"/>
            <w:vMerge/>
            <w:vAlign w:val="center"/>
            <w:hideMark/>
          </w:tcPr>
          <w:p w14:paraId="0E940475"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5F7BB0B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6/2/25</w:t>
            </w:r>
          </w:p>
        </w:tc>
        <w:tc>
          <w:tcPr>
            <w:tcW w:w="1300" w:type="dxa"/>
            <w:noWrap/>
            <w:vAlign w:val="center"/>
            <w:hideMark/>
          </w:tcPr>
          <w:p w14:paraId="2737C090"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0.04</w:t>
            </w:r>
          </w:p>
        </w:tc>
        <w:tc>
          <w:tcPr>
            <w:tcW w:w="1300" w:type="dxa"/>
            <w:noWrap/>
            <w:vAlign w:val="center"/>
            <w:hideMark/>
          </w:tcPr>
          <w:p w14:paraId="20E32AD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76825</w:t>
            </w:r>
          </w:p>
        </w:tc>
        <w:tc>
          <w:tcPr>
            <w:tcW w:w="1380" w:type="dxa"/>
            <w:noWrap/>
            <w:vAlign w:val="center"/>
            <w:hideMark/>
          </w:tcPr>
          <w:p w14:paraId="45EFE58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3073</w:t>
            </w:r>
          </w:p>
        </w:tc>
        <w:tc>
          <w:tcPr>
            <w:tcW w:w="1300" w:type="dxa"/>
            <w:noWrap/>
            <w:vAlign w:val="center"/>
            <w:hideMark/>
          </w:tcPr>
          <w:p w14:paraId="1F45614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600003</w:t>
            </w:r>
          </w:p>
        </w:tc>
        <w:tc>
          <w:tcPr>
            <w:tcW w:w="1300" w:type="dxa"/>
            <w:noWrap/>
            <w:vAlign w:val="center"/>
            <w:hideMark/>
          </w:tcPr>
          <w:p w14:paraId="43B2D17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0.51%</w:t>
            </w:r>
          </w:p>
        </w:tc>
        <w:tc>
          <w:tcPr>
            <w:tcW w:w="1300" w:type="dxa"/>
            <w:noWrap/>
            <w:vAlign w:val="center"/>
            <w:hideMark/>
          </w:tcPr>
          <w:p w14:paraId="3E19A94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6.15%</w:t>
            </w:r>
          </w:p>
        </w:tc>
      </w:tr>
      <w:tr w:rsidR="00BC62AF" w:rsidRPr="00BC62AF" w14:paraId="4993953E" w14:textId="77777777" w:rsidTr="00BC62AF">
        <w:trPr>
          <w:trHeight w:val="320"/>
          <w:jc w:val="center"/>
        </w:trPr>
        <w:tc>
          <w:tcPr>
            <w:tcW w:w="3680" w:type="dxa"/>
            <w:vMerge w:val="restart"/>
            <w:noWrap/>
            <w:vAlign w:val="center"/>
            <w:hideMark/>
          </w:tcPr>
          <w:p w14:paraId="5E343342"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 xml:space="preserve">Z17 </w:t>
            </w:r>
            <w:r w:rsidRPr="00BC62AF">
              <w:rPr>
                <w:rFonts w:ascii="PingFang TC" w:eastAsia="PingFang TC" w:hAnsi="PingFang TC" w:cs="PingFang TC" w:hint="eastAsia"/>
                <w:kern w:val="0"/>
                <w:sz w:val="20"/>
                <w:szCs w:val="20"/>
                <w14:ligatures w14:val="none"/>
              </w:rPr>
              <w:t>美国优质股权基金</w:t>
            </w:r>
          </w:p>
        </w:tc>
        <w:tc>
          <w:tcPr>
            <w:tcW w:w="1300" w:type="dxa"/>
            <w:noWrap/>
            <w:vAlign w:val="center"/>
            <w:hideMark/>
          </w:tcPr>
          <w:p w14:paraId="139F471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10/30/24</w:t>
            </w:r>
          </w:p>
        </w:tc>
        <w:tc>
          <w:tcPr>
            <w:tcW w:w="1300" w:type="dxa"/>
            <w:noWrap/>
            <w:vAlign w:val="center"/>
            <w:hideMark/>
          </w:tcPr>
          <w:p w14:paraId="607613B7"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0.054</w:t>
            </w:r>
          </w:p>
        </w:tc>
        <w:tc>
          <w:tcPr>
            <w:tcW w:w="1300" w:type="dxa"/>
            <w:noWrap/>
            <w:vAlign w:val="center"/>
            <w:hideMark/>
          </w:tcPr>
          <w:p w14:paraId="2CDF4AB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44345</w:t>
            </w:r>
          </w:p>
        </w:tc>
        <w:tc>
          <w:tcPr>
            <w:tcW w:w="1380" w:type="dxa"/>
            <w:noWrap/>
            <w:vAlign w:val="center"/>
            <w:hideMark/>
          </w:tcPr>
          <w:p w14:paraId="0D4141C5"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2395</w:t>
            </w:r>
          </w:p>
        </w:tc>
        <w:tc>
          <w:tcPr>
            <w:tcW w:w="1300" w:type="dxa"/>
            <w:noWrap/>
            <w:vAlign w:val="center"/>
            <w:hideMark/>
          </w:tcPr>
          <w:p w14:paraId="1B84D16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399992</w:t>
            </w:r>
          </w:p>
        </w:tc>
        <w:tc>
          <w:tcPr>
            <w:tcW w:w="1300" w:type="dxa"/>
            <w:noWrap/>
            <w:vAlign w:val="center"/>
            <w:hideMark/>
          </w:tcPr>
          <w:p w14:paraId="5161FDA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0.60%</w:t>
            </w:r>
          </w:p>
        </w:tc>
        <w:tc>
          <w:tcPr>
            <w:tcW w:w="1300" w:type="dxa"/>
            <w:noWrap/>
            <w:vAlign w:val="center"/>
            <w:hideMark/>
          </w:tcPr>
          <w:p w14:paraId="374E154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7.18%</w:t>
            </w:r>
          </w:p>
        </w:tc>
      </w:tr>
      <w:tr w:rsidR="00BC62AF" w:rsidRPr="00BC62AF" w14:paraId="0DC2BE3A" w14:textId="77777777" w:rsidTr="00BC62AF">
        <w:trPr>
          <w:trHeight w:val="320"/>
          <w:jc w:val="center"/>
        </w:trPr>
        <w:tc>
          <w:tcPr>
            <w:tcW w:w="3680" w:type="dxa"/>
            <w:vMerge/>
            <w:vAlign w:val="center"/>
            <w:hideMark/>
          </w:tcPr>
          <w:p w14:paraId="3DD151C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223BFCFE"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11/28/24</w:t>
            </w:r>
          </w:p>
        </w:tc>
        <w:tc>
          <w:tcPr>
            <w:tcW w:w="1300" w:type="dxa"/>
            <w:noWrap/>
            <w:vAlign w:val="center"/>
            <w:hideMark/>
          </w:tcPr>
          <w:p w14:paraId="726555BE"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0.054</w:t>
            </w:r>
          </w:p>
        </w:tc>
        <w:tc>
          <w:tcPr>
            <w:tcW w:w="1300" w:type="dxa"/>
            <w:noWrap/>
            <w:vAlign w:val="center"/>
            <w:hideMark/>
          </w:tcPr>
          <w:p w14:paraId="3497401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44345</w:t>
            </w:r>
          </w:p>
        </w:tc>
        <w:tc>
          <w:tcPr>
            <w:tcW w:w="1380" w:type="dxa"/>
            <w:noWrap/>
            <w:vAlign w:val="center"/>
            <w:hideMark/>
          </w:tcPr>
          <w:p w14:paraId="298201E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2395</w:t>
            </w:r>
          </w:p>
        </w:tc>
        <w:tc>
          <w:tcPr>
            <w:tcW w:w="1300" w:type="dxa"/>
            <w:noWrap/>
            <w:vAlign w:val="center"/>
            <w:hideMark/>
          </w:tcPr>
          <w:p w14:paraId="7B8EDA9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399992</w:t>
            </w:r>
          </w:p>
        </w:tc>
        <w:tc>
          <w:tcPr>
            <w:tcW w:w="1300" w:type="dxa"/>
            <w:noWrap/>
            <w:vAlign w:val="center"/>
            <w:hideMark/>
          </w:tcPr>
          <w:p w14:paraId="3263F7F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0.60%</w:t>
            </w:r>
          </w:p>
        </w:tc>
        <w:tc>
          <w:tcPr>
            <w:tcW w:w="1300" w:type="dxa"/>
            <w:noWrap/>
            <w:vAlign w:val="center"/>
            <w:hideMark/>
          </w:tcPr>
          <w:p w14:paraId="402CB25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7.18%</w:t>
            </w:r>
          </w:p>
        </w:tc>
      </w:tr>
      <w:tr w:rsidR="00BC62AF" w:rsidRPr="00BC62AF" w14:paraId="78124B1B" w14:textId="77777777" w:rsidTr="00BC62AF">
        <w:trPr>
          <w:trHeight w:val="320"/>
          <w:jc w:val="center"/>
        </w:trPr>
        <w:tc>
          <w:tcPr>
            <w:tcW w:w="3680" w:type="dxa"/>
            <w:vMerge/>
            <w:vAlign w:val="center"/>
            <w:hideMark/>
          </w:tcPr>
          <w:p w14:paraId="03086BE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75200C33"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12/24/24</w:t>
            </w:r>
          </w:p>
        </w:tc>
        <w:tc>
          <w:tcPr>
            <w:tcW w:w="1300" w:type="dxa"/>
            <w:noWrap/>
            <w:vAlign w:val="center"/>
            <w:hideMark/>
          </w:tcPr>
          <w:p w14:paraId="698102D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0.054</w:t>
            </w:r>
          </w:p>
        </w:tc>
        <w:tc>
          <w:tcPr>
            <w:tcW w:w="1300" w:type="dxa"/>
            <w:noWrap/>
            <w:vAlign w:val="center"/>
            <w:hideMark/>
          </w:tcPr>
          <w:p w14:paraId="15566AF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44345</w:t>
            </w:r>
          </w:p>
        </w:tc>
        <w:tc>
          <w:tcPr>
            <w:tcW w:w="1380" w:type="dxa"/>
            <w:noWrap/>
            <w:vAlign w:val="center"/>
            <w:hideMark/>
          </w:tcPr>
          <w:p w14:paraId="2F533BE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2395</w:t>
            </w:r>
          </w:p>
        </w:tc>
        <w:tc>
          <w:tcPr>
            <w:tcW w:w="1300" w:type="dxa"/>
            <w:noWrap/>
            <w:vAlign w:val="center"/>
            <w:hideMark/>
          </w:tcPr>
          <w:p w14:paraId="272F195E"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399992</w:t>
            </w:r>
          </w:p>
        </w:tc>
        <w:tc>
          <w:tcPr>
            <w:tcW w:w="1300" w:type="dxa"/>
            <w:noWrap/>
            <w:vAlign w:val="center"/>
            <w:hideMark/>
          </w:tcPr>
          <w:p w14:paraId="54ECE0F2"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0.60%</w:t>
            </w:r>
          </w:p>
        </w:tc>
        <w:tc>
          <w:tcPr>
            <w:tcW w:w="1300" w:type="dxa"/>
            <w:noWrap/>
            <w:vAlign w:val="center"/>
            <w:hideMark/>
          </w:tcPr>
          <w:p w14:paraId="1E7E8DC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7.18%</w:t>
            </w:r>
          </w:p>
        </w:tc>
      </w:tr>
      <w:tr w:rsidR="00BC62AF" w:rsidRPr="00BC62AF" w14:paraId="1C8EC643" w14:textId="77777777" w:rsidTr="00BC62AF">
        <w:trPr>
          <w:trHeight w:val="320"/>
          <w:jc w:val="center"/>
        </w:trPr>
        <w:tc>
          <w:tcPr>
            <w:tcW w:w="3680" w:type="dxa"/>
            <w:vMerge/>
            <w:vAlign w:val="center"/>
            <w:hideMark/>
          </w:tcPr>
          <w:p w14:paraId="70D84B02"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34C283D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1/31/25</w:t>
            </w:r>
          </w:p>
        </w:tc>
        <w:tc>
          <w:tcPr>
            <w:tcW w:w="1300" w:type="dxa"/>
            <w:noWrap/>
            <w:vAlign w:val="center"/>
            <w:hideMark/>
          </w:tcPr>
          <w:p w14:paraId="2548892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0.054</w:t>
            </w:r>
          </w:p>
        </w:tc>
        <w:tc>
          <w:tcPr>
            <w:tcW w:w="1300" w:type="dxa"/>
            <w:noWrap/>
            <w:vAlign w:val="center"/>
            <w:hideMark/>
          </w:tcPr>
          <w:p w14:paraId="6AC3546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44345</w:t>
            </w:r>
          </w:p>
        </w:tc>
        <w:tc>
          <w:tcPr>
            <w:tcW w:w="1380" w:type="dxa"/>
            <w:noWrap/>
            <w:vAlign w:val="center"/>
            <w:hideMark/>
          </w:tcPr>
          <w:p w14:paraId="628A7B3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2395</w:t>
            </w:r>
          </w:p>
        </w:tc>
        <w:tc>
          <w:tcPr>
            <w:tcW w:w="1300" w:type="dxa"/>
            <w:noWrap/>
            <w:vAlign w:val="center"/>
            <w:hideMark/>
          </w:tcPr>
          <w:p w14:paraId="75A6C25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399992</w:t>
            </w:r>
          </w:p>
        </w:tc>
        <w:tc>
          <w:tcPr>
            <w:tcW w:w="1300" w:type="dxa"/>
            <w:noWrap/>
            <w:vAlign w:val="center"/>
            <w:hideMark/>
          </w:tcPr>
          <w:p w14:paraId="197AE5D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0.60%</w:t>
            </w:r>
          </w:p>
        </w:tc>
        <w:tc>
          <w:tcPr>
            <w:tcW w:w="1300" w:type="dxa"/>
            <w:noWrap/>
            <w:vAlign w:val="center"/>
            <w:hideMark/>
          </w:tcPr>
          <w:p w14:paraId="1ACF44C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7.18%</w:t>
            </w:r>
          </w:p>
        </w:tc>
      </w:tr>
      <w:tr w:rsidR="00BC62AF" w:rsidRPr="00BC62AF" w14:paraId="60F20121" w14:textId="77777777" w:rsidTr="00BC62AF">
        <w:trPr>
          <w:trHeight w:val="320"/>
          <w:jc w:val="center"/>
        </w:trPr>
        <w:tc>
          <w:tcPr>
            <w:tcW w:w="3680" w:type="dxa"/>
            <w:vMerge/>
            <w:vAlign w:val="center"/>
            <w:hideMark/>
          </w:tcPr>
          <w:p w14:paraId="2C58B9C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62DAEA8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2/28/25</w:t>
            </w:r>
          </w:p>
        </w:tc>
        <w:tc>
          <w:tcPr>
            <w:tcW w:w="1300" w:type="dxa"/>
            <w:noWrap/>
            <w:vAlign w:val="center"/>
            <w:hideMark/>
          </w:tcPr>
          <w:p w14:paraId="0364B0A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0.0545</w:t>
            </w:r>
          </w:p>
        </w:tc>
        <w:tc>
          <w:tcPr>
            <w:tcW w:w="1300" w:type="dxa"/>
            <w:noWrap/>
            <w:vAlign w:val="center"/>
            <w:hideMark/>
          </w:tcPr>
          <w:p w14:paraId="48D9246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44345</w:t>
            </w:r>
          </w:p>
        </w:tc>
        <w:tc>
          <w:tcPr>
            <w:tcW w:w="1380" w:type="dxa"/>
            <w:noWrap/>
            <w:vAlign w:val="center"/>
            <w:hideMark/>
          </w:tcPr>
          <w:p w14:paraId="4D5625F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2417</w:t>
            </w:r>
          </w:p>
        </w:tc>
        <w:tc>
          <w:tcPr>
            <w:tcW w:w="1300" w:type="dxa"/>
            <w:noWrap/>
            <w:vAlign w:val="center"/>
            <w:hideMark/>
          </w:tcPr>
          <w:p w14:paraId="7CFB1E16"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399992</w:t>
            </w:r>
          </w:p>
        </w:tc>
        <w:tc>
          <w:tcPr>
            <w:tcW w:w="1300" w:type="dxa"/>
            <w:noWrap/>
            <w:vAlign w:val="center"/>
            <w:hideMark/>
          </w:tcPr>
          <w:p w14:paraId="48BE3C62"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0.60%</w:t>
            </w:r>
          </w:p>
        </w:tc>
        <w:tc>
          <w:tcPr>
            <w:tcW w:w="1300" w:type="dxa"/>
            <w:noWrap/>
            <w:vAlign w:val="center"/>
            <w:hideMark/>
          </w:tcPr>
          <w:p w14:paraId="451F6853"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7.25%</w:t>
            </w:r>
          </w:p>
        </w:tc>
      </w:tr>
      <w:tr w:rsidR="00BC62AF" w:rsidRPr="00BC62AF" w14:paraId="0D3B36BC" w14:textId="77777777" w:rsidTr="00BC62AF">
        <w:trPr>
          <w:trHeight w:val="320"/>
          <w:jc w:val="center"/>
        </w:trPr>
        <w:tc>
          <w:tcPr>
            <w:tcW w:w="3680" w:type="dxa"/>
            <w:vMerge/>
            <w:vAlign w:val="center"/>
            <w:hideMark/>
          </w:tcPr>
          <w:p w14:paraId="3F224C0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21CC21E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3/31/25</w:t>
            </w:r>
          </w:p>
        </w:tc>
        <w:tc>
          <w:tcPr>
            <w:tcW w:w="1300" w:type="dxa"/>
            <w:noWrap/>
            <w:vAlign w:val="center"/>
            <w:hideMark/>
          </w:tcPr>
          <w:p w14:paraId="2F3D87F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0.0545</w:t>
            </w:r>
          </w:p>
        </w:tc>
        <w:tc>
          <w:tcPr>
            <w:tcW w:w="1300" w:type="dxa"/>
            <w:noWrap/>
            <w:vAlign w:val="center"/>
            <w:hideMark/>
          </w:tcPr>
          <w:p w14:paraId="6694E70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44345</w:t>
            </w:r>
          </w:p>
        </w:tc>
        <w:tc>
          <w:tcPr>
            <w:tcW w:w="1380" w:type="dxa"/>
            <w:noWrap/>
            <w:vAlign w:val="center"/>
            <w:hideMark/>
          </w:tcPr>
          <w:p w14:paraId="79705733"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2417</w:t>
            </w:r>
          </w:p>
        </w:tc>
        <w:tc>
          <w:tcPr>
            <w:tcW w:w="1300" w:type="dxa"/>
            <w:noWrap/>
            <w:vAlign w:val="center"/>
            <w:hideMark/>
          </w:tcPr>
          <w:p w14:paraId="65CE474C"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399992</w:t>
            </w:r>
          </w:p>
        </w:tc>
        <w:tc>
          <w:tcPr>
            <w:tcW w:w="1300" w:type="dxa"/>
            <w:noWrap/>
            <w:vAlign w:val="center"/>
            <w:hideMark/>
          </w:tcPr>
          <w:p w14:paraId="35920D8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0.60%</w:t>
            </w:r>
          </w:p>
        </w:tc>
        <w:tc>
          <w:tcPr>
            <w:tcW w:w="1300" w:type="dxa"/>
            <w:noWrap/>
            <w:vAlign w:val="center"/>
            <w:hideMark/>
          </w:tcPr>
          <w:p w14:paraId="3F1E6CA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7.25%</w:t>
            </w:r>
          </w:p>
        </w:tc>
      </w:tr>
      <w:tr w:rsidR="00BC62AF" w:rsidRPr="00BC62AF" w14:paraId="507FFE8C" w14:textId="77777777" w:rsidTr="00BC62AF">
        <w:trPr>
          <w:trHeight w:val="320"/>
          <w:jc w:val="center"/>
        </w:trPr>
        <w:tc>
          <w:tcPr>
            <w:tcW w:w="3680" w:type="dxa"/>
            <w:vMerge/>
            <w:vAlign w:val="center"/>
            <w:hideMark/>
          </w:tcPr>
          <w:p w14:paraId="33AF8BA3"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708CAEAC"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4/30/25</w:t>
            </w:r>
          </w:p>
        </w:tc>
        <w:tc>
          <w:tcPr>
            <w:tcW w:w="1300" w:type="dxa"/>
            <w:noWrap/>
            <w:vAlign w:val="center"/>
            <w:hideMark/>
          </w:tcPr>
          <w:p w14:paraId="6016011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0.0545</w:t>
            </w:r>
          </w:p>
        </w:tc>
        <w:tc>
          <w:tcPr>
            <w:tcW w:w="1300" w:type="dxa"/>
            <w:noWrap/>
            <w:vAlign w:val="center"/>
            <w:hideMark/>
          </w:tcPr>
          <w:p w14:paraId="473555FB"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44345</w:t>
            </w:r>
          </w:p>
        </w:tc>
        <w:tc>
          <w:tcPr>
            <w:tcW w:w="1380" w:type="dxa"/>
            <w:noWrap/>
            <w:vAlign w:val="center"/>
            <w:hideMark/>
          </w:tcPr>
          <w:p w14:paraId="64304A9C"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2417</w:t>
            </w:r>
          </w:p>
        </w:tc>
        <w:tc>
          <w:tcPr>
            <w:tcW w:w="1300" w:type="dxa"/>
            <w:noWrap/>
            <w:vAlign w:val="center"/>
            <w:hideMark/>
          </w:tcPr>
          <w:p w14:paraId="2BAB270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399992</w:t>
            </w:r>
          </w:p>
        </w:tc>
        <w:tc>
          <w:tcPr>
            <w:tcW w:w="1300" w:type="dxa"/>
            <w:noWrap/>
            <w:vAlign w:val="center"/>
            <w:hideMark/>
          </w:tcPr>
          <w:p w14:paraId="60040D28"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0.60%</w:t>
            </w:r>
          </w:p>
        </w:tc>
        <w:tc>
          <w:tcPr>
            <w:tcW w:w="1300" w:type="dxa"/>
            <w:noWrap/>
            <w:vAlign w:val="center"/>
            <w:hideMark/>
          </w:tcPr>
          <w:p w14:paraId="16798F6D"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7.25%</w:t>
            </w:r>
          </w:p>
        </w:tc>
      </w:tr>
      <w:tr w:rsidR="00BC62AF" w:rsidRPr="00BC62AF" w14:paraId="37B0ED83" w14:textId="77777777" w:rsidTr="00BC62AF">
        <w:trPr>
          <w:trHeight w:val="320"/>
          <w:jc w:val="center"/>
        </w:trPr>
        <w:tc>
          <w:tcPr>
            <w:tcW w:w="3680" w:type="dxa"/>
            <w:vMerge/>
            <w:vAlign w:val="center"/>
            <w:hideMark/>
          </w:tcPr>
          <w:p w14:paraId="5955124E"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p>
        </w:tc>
        <w:tc>
          <w:tcPr>
            <w:tcW w:w="1300" w:type="dxa"/>
            <w:noWrap/>
            <w:vAlign w:val="center"/>
            <w:hideMark/>
          </w:tcPr>
          <w:p w14:paraId="2FAC252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5/30/25</w:t>
            </w:r>
          </w:p>
        </w:tc>
        <w:tc>
          <w:tcPr>
            <w:tcW w:w="1300" w:type="dxa"/>
            <w:noWrap/>
            <w:vAlign w:val="center"/>
            <w:hideMark/>
          </w:tcPr>
          <w:p w14:paraId="7A1B56A9"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0.0565</w:t>
            </w:r>
          </w:p>
        </w:tc>
        <w:tc>
          <w:tcPr>
            <w:tcW w:w="1300" w:type="dxa"/>
            <w:noWrap/>
            <w:vAlign w:val="center"/>
            <w:hideMark/>
          </w:tcPr>
          <w:p w14:paraId="05D88264"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44345</w:t>
            </w:r>
          </w:p>
        </w:tc>
        <w:tc>
          <w:tcPr>
            <w:tcW w:w="1380" w:type="dxa"/>
            <w:noWrap/>
            <w:vAlign w:val="center"/>
            <w:hideMark/>
          </w:tcPr>
          <w:p w14:paraId="5E0EE681"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2505</w:t>
            </w:r>
          </w:p>
        </w:tc>
        <w:tc>
          <w:tcPr>
            <w:tcW w:w="1300" w:type="dxa"/>
            <w:noWrap/>
            <w:vAlign w:val="center"/>
            <w:hideMark/>
          </w:tcPr>
          <w:p w14:paraId="7CADDB32"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399992</w:t>
            </w:r>
          </w:p>
        </w:tc>
        <w:tc>
          <w:tcPr>
            <w:tcW w:w="1300" w:type="dxa"/>
            <w:noWrap/>
            <w:vAlign w:val="center"/>
            <w:hideMark/>
          </w:tcPr>
          <w:p w14:paraId="34BF026E"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0.63%</w:t>
            </w:r>
          </w:p>
        </w:tc>
        <w:tc>
          <w:tcPr>
            <w:tcW w:w="1300" w:type="dxa"/>
            <w:noWrap/>
            <w:vAlign w:val="center"/>
            <w:hideMark/>
          </w:tcPr>
          <w:p w14:paraId="1ECCF3C7"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7.52%</w:t>
            </w:r>
          </w:p>
        </w:tc>
      </w:tr>
      <w:tr w:rsidR="00BC62AF" w:rsidRPr="00BC62AF" w14:paraId="298284E0" w14:textId="77777777" w:rsidTr="00BC62AF">
        <w:trPr>
          <w:trHeight w:val="320"/>
          <w:jc w:val="center"/>
        </w:trPr>
        <w:tc>
          <w:tcPr>
            <w:tcW w:w="7580" w:type="dxa"/>
            <w:gridSpan w:val="4"/>
            <w:noWrap/>
            <w:vAlign w:val="center"/>
            <w:hideMark/>
          </w:tcPr>
          <w:p w14:paraId="19949AB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PingFang TC" w:eastAsia="PingFang TC" w:hAnsi="PingFang TC" w:cs="PingFang TC" w:hint="eastAsia"/>
                <w:kern w:val="0"/>
                <w:sz w:val="20"/>
                <w:szCs w:val="20"/>
                <w14:ligatures w14:val="none"/>
              </w:rPr>
              <w:t>合计</w:t>
            </w:r>
          </w:p>
        </w:tc>
        <w:tc>
          <w:tcPr>
            <w:tcW w:w="1380" w:type="dxa"/>
            <w:noWrap/>
            <w:vAlign w:val="center"/>
            <w:hideMark/>
          </w:tcPr>
          <w:p w14:paraId="750086C4" w14:textId="39B29154" w:rsidR="00BC62AF" w:rsidRPr="00F51BCD" w:rsidRDefault="00BC62AF" w:rsidP="00BC62AF">
            <w:pPr>
              <w:jc w:val="center"/>
              <w:rPr>
                <w:rFonts w:ascii="Times New Roman" w:eastAsia="Times New Roman" w:hAnsi="Times New Roman" w:cs="Times New Roman"/>
                <w:b/>
                <w:bCs/>
                <w:kern w:val="0"/>
                <w:sz w:val="20"/>
                <w:szCs w:val="20"/>
                <w14:ligatures w14:val="none"/>
              </w:rPr>
            </w:pPr>
            <w:r w:rsidRPr="00F51BCD">
              <w:rPr>
                <w:rFonts w:ascii="Times New Roman" w:eastAsia="Times New Roman" w:hAnsi="Times New Roman" w:cs="Times New Roman"/>
                <w:b/>
                <w:bCs/>
                <w:kern w:val="0"/>
                <w:sz w:val="20"/>
                <w:szCs w:val="20"/>
                <w14:ligatures w14:val="none"/>
              </w:rPr>
              <w:t>43,918</w:t>
            </w:r>
          </w:p>
        </w:tc>
        <w:tc>
          <w:tcPr>
            <w:tcW w:w="1300" w:type="dxa"/>
            <w:noWrap/>
            <w:vAlign w:val="center"/>
            <w:hideMark/>
          </w:tcPr>
          <w:p w14:paraId="303F0C0F" w14:textId="0A336981"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999,995</w:t>
            </w:r>
          </w:p>
        </w:tc>
        <w:tc>
          <w:tcPr>
            <w:tcW w:w="1300" w:type="dxa"/>
            <w:noWrap/>
            <w:vAlign w:val="center"/>
            <w:hideMark/>
          </w:tcPr>
          <w:p w14:paraId="7DBE62DA"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0.55%</w:t>
            </w:r>
          </w:p>
        </w:tc>
        <w:tc>
          <w:tcPr>
            <w:tcW w:w="1300" w:type="dxa"/>
            <w:noWrap/>
            <w:vAlign w:val="center"/>
            <w:hideMark/>
          </w:tcPr>
          <w:p w14:paraId="0BE3495F" w14:textId="77777777" w:rsidR="00BC62AF" w:rsidRPr="00BC62AF" w:rsidRDefault="00BC62AF" w:rsidP="00BC62AF">
            <w:pPr>
              <w:jc w:val="center"/>
              <w:rPr>
                <w:rFonts w:ascii="Times New Roman" w:eastAsia="Times New Roman" w:hAnsi="Times New Roman" w:cs="Times New Roman"/>
                <w:kern w:val="0"/>
                <w:sz w:val="20"/>
                <w:szCs w:val="20"/>
                <w14:ligatures w14:val="none"/>
              </w:rPr>
            </w:pPr>
            <w:r w:rsidRPr="00BC62AF">
              <w:rPr>
                <w:rFonts w:ascii="Times New Roman" w:eastAsia="Times New Roman" w:hAnsi="Times New Roman" w:cs="Times New Roman"/>
                <w:kern w:val="0"/>
                <w:sz w:val="20"/>
                <w:szCs w:val="20"/>
                <w14:ligatures w14:val="none"/>
              </w:rPr>
              <w:t>6.59%</w:t>
            </w:r>
          </w:p>
        </w:tc>
      </w:tr>
    </w:tbl>
    <w:p w14:paraId="22BB8A77" w14:textId="77777777" w:rsidR="00A73FEB" w:rsidRDefault="00A73FEB" w:rsidP="00A07C6F">
      <w:pPr>
        <w:spacing w:after="0" w:line="240" w:lineRule="auto"/>
        <w:rPr>
          <w:rFonts w:ascii="Times New Roman" w:eastAsia="Times New Roman" w:hAnsi="Times New Roman" w:cs="Times New Roman"/>
          <w:kern w:val="0"/>
          <w14:ligatures w14:val="none"/>
        </w:rPr>
      </w:pPr>
    </w:p>
    <w:p w14:paraId="2F3D0028" w14:textId="77777777" w:rsidR="00A73FEB" w:rsidRDefault="00A73FEB" w:rsidP="00A07C6F">
      <w:pPr>
        <w:spacing w:after="0" w:line="240" w:lineRule="auto"/>
        <w:rPr>
          <w:rFonts w:ascii="Times New Roman" w:eastAsia="Times New Roman" w:hAnsi="Times New Roman" w:cs="Times New Roman"/>
          <w:kern w:val="0"/>
          <w14:ligatures w14:val="none"/>
        </w:rPr>
      </w:pPr>
    </w:p>
    <w:p w14:paraId="78C5010B" w14:textId="0FBBB5E0" w:rsidR="00A07C6F" w:rsidRPr="00A07C6F" w:rsidRDefault="00B5389B" w:rsidP="00A07C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E2E528">
          <v:rect id="_x0000_i1025" alt="" style="width:468pt;height:.05pt;mso-width-percent:0;mso-height-percent:0;mso-width-percent:0;mso-height-percent:0" o:hralign="center" o:hrstd="t" o:hr="t" fillcolor="#a0a0a0" stroked="f"/>
        </w:pict>
      </w:r>
    </w:p>
    <w:p w14:paraId="4F9C0828" w14:textId="516629B8" w:rsid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7AD588C7" w14:textId="77777777" w:rsidR="00BC62AF" w:rsidRDefault="00BC62AF" w:rsidP="00A07C6F">
      <w:pPr>
        <w:spacing w:before="100" w:beforeAutospacing="1" w:after="100" w:afterAutospacing="1" w:line="240" w:lineRule="auto"/>
        <w:rPr>
          <w:rFonts w:ascii="Times New Roman" w:eastAsia="Times New Roman" w:hAnsi="Times New Roman" w:cs="Times New Roman"/>
          <w:kern w:val="0"/>
          <w14:ligatures w14:val="none"/>
        </w:rPr>
      </w:pPr>
    </w:p>
    <w:p w14:paraId="6348F320" w14:textId="77777777" w:rsidR="00BC62AF" w:rsidRPr="00A07C6F" w:rsidRDefault="00BC62AF" w:rsidP="00A07C6F">
      <w:pPr>
        <w:spacing w:before="100" w:beforeAutospacing="1" w:after="100" w:afterAutospacing="1" w:line="240" w:lineRule="auto"/>
        <w:rPr>
          <w:rFonts w:ascii="Times New Roman" w:eastAsia="Times New Roman" w:hAnsi="Times New Roman" w:cs="Times New Roman"/>
          <w:kern w:val="0"/>
          <w14:ligatures w14:val="none"/>
        </w:rPr>
      </w:pPr>
    </w:p>
    <w:p w14:paraId="2FF1D6DA"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r w:rsidRPr="00A07C6F">
        <w:rPr>
          <w:rFonts w:ascii="PingFang TC" w:eastAsia="PingFang TC" w:hAnsi="PingFang TC" w:cs="PingFang TC" w:hint="eastAsia"/>
          <w:b/>
          <w:bCs/>
          <w:kern w:val="0"/>
          <w14:ligatures w14:val="none"/>
        </w:rPr>
        <w:t>旺达财智团</w:t>
      </w:r>
      <w:r w:rsidRPr="00A07C6F">
        <w:rPr>
          <w:rFonts w:ascii="PingFang TC" w:eastAsia="PingFang TC" w:hAnsi="PingFang TC" w:cs="PingFang TC"/>
          <w:b/>
          <w:bCs/>
          <w:kern w:val="0"/>
          <w14:ligatures w14:val="none"/>
        </w:rPr>
        <w:t>队</w:t>
      </w:r>
    </w:p>
    <w:p w14:paraId="6BCC2762" w14:textId="23ADD070"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r w:rsidRPr="00A07C6F">
        <w:rPr>
          <w:rFonts w:ascii="Times New Roman" w:eastAsia="Times New Roman" w:hAnsi="Times New Roman" w:cs="Times New Roman"/>
          <w:kern w:val="0"/>
          <w14:ligatures w14:val="none"/>
        </w:rPr>
        <w:t>2025</w:t>
      </w:r>
      <w:r w:rsidRPr="00A07C6F">
        <w:rPr>
          <w:rFonts w:ascii="PingFang TC" w:eastAsia="PingFang TC" w:hAnsi="PingFang TC" w:cs="PingFang TC" w:hint="eastAsia"/>
          <w:kern w:val="0"/>
          <w14:ligatures w14:val="none"/>
        </w:rPr>
        <w:t>年</w:t>
      </w:r>
      <w:r w:rsidR="00300E28">
        <w:rPr>
          <w:rFonts w:ascii="Times New Roman" w:eastAsia="Times New Roman" w:hAnsi="Times New Roman" w:cs="Times New Roman" w:hint="eastAsia"/>
          <w:kern w:val="0"/>
          <w14:ligatures w14:val="none"/>
        </w:rPr>
        <w:t>5</w:t>
      </w:r>
      <w:r w:rsidRPr="00A07C6F">
        <w:rPr>
          <w:rFonts w:ascii="PingFang TC" w:eastAsia="PingFang TC" w:hAnsi="PingFang TC" w:cs="PingFang TC"/>
          <w:kern w:val="0"/>
          <w14:ligatures w14:val="none"/>
        </w:rPr>
        <w:t>月</w:t>
      </w:r>
    </w:p>
    <w:p w14:paraId="66BB0664"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2FF11780"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客户通讯第一期</w:t>
      </w:r>
      <w:r>
        <w:rPr>
          <w:rFonts w:ascii="System Font" w:hAnsi="System Font" w:cs="System Font" w:hint="eastAsia"/>
          <w:color w:val="0E0E0E"/>
          <w:kern w:val="0"/>
          <w:sz w:val="20"/>
          <w:szCs w:val="20"/>
        </w:rPr>
        <w:t>241030</w:t>
      </w:r>
    </w:p>
    <w:p w14:paraId="4F1F55ED"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lastRenderedPageBreak/>
        <w:t>客户通讯第二期</w:t>
      </w:r>
      <w:r>
        <w:rPr>
          <w:rFonts w:ascii="System Font" w:hAnsi="System Font" w:cs="System Font" w:hint="eastAsia"/>
          <w:color w:val="0E0E0E"/>
          <w:kern w:val="0"/>
          <w:sz w:val="20"/>
          <w:szCs w:val="20"/>
        </w:rPr>
        <w:t>241130</w:t>
      </w:r>
    </w:p>
    <w:p w14:paraId="0030496E" w14:textId="1E70ACE8" w:rsidR="00394D13" w:rsidRDefault="004517D6"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w:t>
      </w:r>
    </w:p>
    <w:p w14:paraId="577DBCC1"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0DBF1002"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美国大选倒计时：政策风暴如何重塑你的投资版图</w:t>
      </w:r>
    </w:p>
    <w:p w14:paraId="75D5E10F" w14:textId="77777777" w:rsidR="00394D13" w:rsidRDefault="00000000" w:rsidP="00394D13">
      <w:pPr>
        <w:rPr>
          <w:rFonts w:ascii="System Font" w:hAnsi="System Font" w:cs="System Font"/>
          <w:color w:val="0E0E0E"/>
          <w:kern w:val="0"/>
          <w:sz w:val="20"/>
          <w:szCs w:val="20"/>
        </w:rPr>
      </w:pPr>
      <w:hyperlink r:id="rId5" w:anchor="rd" w:history="1">
        <w:r w:rsidR="00394D13" w:rsidRPr="00621667">
          <w:rPr>
            <w:rStyle w:val="Hyperlink"/>
            <w:rFonts w:ascii="System Font" w:hAnsi="System Font" w:cs="System Font"/>
            <w:kern w:val="0"/>
            <w:sz w:val="20"/>
            <w:szCs w:val="20"/>
          </w:rPr>
          <w:t>海外投资系列</w:t>
        </w:r>
        <w:r w:rsidR="00394D13" w:rsidRPr="00621667">
          <w:rPr>
            <w:rStyle w:val="Hyperlink"/>
            <w:rFonts w:ascii="System Font" w:hAnsi="System Font" w:cs="System Font"/>
            <w:kern w:val="0"/>
            <w:sz w:val="20"/>
            <w:szCs w:val="20"/>
          </w:rPr>
          <w:t>1</w:t>
        </w:r>
        <w:r w:rsidR="00394D13" w:rsidRPr="00621667">
          <w:rPr>
            <w:rStyle w:val="Hyperlink"/>
            <w:rFonts w:ascii="System Font" w:hAnsi="System Font" w:cs="System Font"/>
            <w:kern w:val="0"/>
            <w:sz w:val="20"/>
            <w:szCs w:val="20"/>
          </w:rPr>
          <w:t>：什么是投资？探讨投资的底层逻辑与终极目标</w:t>
        </w:r>
      </w:hyperlink>
    </w:p>
    <w:p w14:paraId="2927EF77" w14:textId="77777777" w:rsidR="00394D13" w:rsidRDefault="00000000" w:rsidP="00394D13">
      <w:pPr>
        <w:rPr>
          <w:rFonts w:ascii="System Font" w:hAnsi="System Font" w:cs="System Font"/>
          <w:color w:val="0E0E0E"/>
          <w:kern w:val="0"/>
          <w:sz w:val="20"/>
          <w:szCs w:val="20"/>
        </w:rPr>
      </w:pPr>
      <w:hyperlink r:id="rId6" w:anchor="rd" w:history="1">
        <w:r w:rsidR="00394D13" w:rsidRPr="00621667">
          <w:rPr>
            <w:rStyle w:val="Hyperlink"/>
            <w:rFonts w:ascii="System Font" w:hAnsi="System Font" w:cs="System Font"/>
            <w:kern w:val="0"/>
            <w:sz w:val="20"/>
            <w:szCs w:val="20"/>
          </w:rPr>
          <w:t>海外投资系列</w:t>
        </w:r>
        <w:r w:rsidR="00394D13" w:rsidRPr="00621667">
          <w:rPr>
            <w:rStyle w:val="Hyperlink"/>
            <w:rFonts w:ascii="System Font" w:hAnsi="System Font" w:cs="System Font"/>
            <w:kern w:val="0"/>
            <w:sz w:val="20"/>
            <w:szCs w:val="20"/>
          </w:rPr>
          <w:t>2</w:t>
        </w:r>
        <w:r w:rsidR="00394D13" w:rsidRPr="00621667">
          <w:rPr>
            <w:rStyle w:val="Hyperlink"/>
            <w:rFonts w:ascii="System Font" w:hAnsi="System Font" w:cs="System Font"/>
            <w:kern w:val="0"/>
            <w:sz w:val="20"/>
            <w:szCs w:val="20"/>
          </w:rPr>
          <w:t>：如何在波涛汹涌的投资市场中获得长期稳健收益？</w:t>
        </w:r>
      </w:hyperlink>
    </w:p>
    <w:p w14:paraId="7C1A7B2C" w14:textId="77777777" w:rsidR="00394D13" w:rsidRDefault="00394D13" w:rsidP="00394D13">
      <w:pPr>
        <w:rPr>
          <w:rFonts w:ascii="KaiTi" w:eastAsia="KaiTi" w:hAnsi="KaiTi" w:cs="Arial"/>
        </w:rPr>
      </w:pPr>
    </w:p>
    <w:p w14:paraId="1EF44A1C" w14:textId="77777777" w:rsidR="00394D13" w:rsidRDefault="00394D13" w:rsidP="00394D13">
      <w:pPr>
        <w:rPr>
          <w:rFonts w:ascii="KaiTi" w:eastAsia="KaiTi" w:hAnsi="KaiTi" w:cs="Arial"/>
        </w:rPr>
      </w:pPr>
    </w:p>
    <w:p w14:paraId="1CCBE911"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t>免责声明</w:t>
      </w:r>
    </w:p>
    <w:p w14:paraId="55B9034C"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35C05772"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2EE78C47"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03FD4DCC" w14:textId="77777777" w:rsidR="00394D13" w:rsidRDefault="00394D13" w:rsidP="00394D13">
      <w:pPr>
        <w:rPr>
          <w:rFonts w:ascii="System Font" w:hAnsi="System Font" w:cs="System Font"/>
          <w:color w:val="0E0E0E"/>
          <w:kern w:val="0"/>
          <w:sz w:val="20"/>
          <w:szCs w:val="20"/>
        </w:rPr>
      </w:pPr>
      <w:r w:rsidRPr="00403097">
        <w:rPr>
          <w:rFonts w:ascii="System Font" w:hAnsi="System Font" w:cs="System Font"/>
          <w:color w:val="0E0E0E"/>
          <w:kern w:val="0"/>
          <w:sz w:val="20"/>
          <w:szCs w:val="20"/>
        </w:rPr>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279E41F5" w14:textId="77777777" w:rsidR="00394D13" w:rsidRDefault="00394D13" w:rsidP="00394D13">
      <w:pPr>
        <w:rPr>
          <w:rFonts w:ascii="System Font" w:hAnsi="System Font" w:cs="System Font"/>
          <w:color w:val="0E0E0E"/>
          <w:kern w:val="0"/>
          <w:sz w:val="20"/>
          <w:szCs w:val="20"/>
        </w:rPr>
      </w:pPr>
    </w:p>
    <w:p w14:paraId="7D552C57" w14:textId="77777777" w:rsidR="00394D13" w:rsidRPr="00433533" w:rsidRDefault="00394D13" w:rsidP="00394D13">
      <w:pPr>
        <w:rPr>
          <w:rFonts w:ascii="KaiTi" w:eastAsia="KaiTi" w:hAnsi="KaiTi" w:cs="Arial"/>
        </w:rPr>
      </w:pPr>
    </w:p>
    <w:p w14:paraId="62439EC5" w14:textId="77777777" w:rsidR="009C5CB2" w:rsidRDefault="009C5CB2"/>
    <w:sectPr w:rsidR="009C5C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ingFang TC">
    <w:altName w:val="Microsoft JhengHei"/>
    <w:panose1 w:val="020B0400000000000000"/>
    <w:charset w:val="88"/>
    <w:family w:val="swiss"/>
    <w:pitch w:val="variable"/>
    <w:sig w:usb0="A00002FF" w:usb1="7ACFFDFB" w:usb2="00000017" w:usb3="00000000" w:csb0="00100001" w:csb1="00000000"/>
  </w:font>
  <w:font w:name="KaiTi">
    <w:altName w:val="楷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169E2"/>
    <w:multiLevelType w:val="multilevel"/>
    <w:tmpl w:val="90B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052C"/>
    <w:multiLevelType w:val="multilevel"/>
    <w:tmpl w:val="211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0BBB"/>
    <w:multiLevelType w:val="multilevel"/>
    <w:tmpl w:val="7BE8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96970"/>
    <w:multiLevelType w:val="multilevel"/>
    <w:tmpl w:val="8C2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73B74"/>
    <w:multiLevelType w:val="multilevel"/>
    <w:tmpl w:val="0F96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87722"/>
    <w:multiLevelType w:val="multilevel"/>
    <w:tmpl w:val="447A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52473"/>
    <w:multiLevelType w:val="multilevel"/>
    <w:tmpl w:val="209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A25CA"/>
    <w:multiLevelType w:val="multilevel"/>
    <w:tmpl w:val="F580D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6A2C70"/>
    <w:multiLevelType w:val="multilevel"/>
    <w:tmpl w:val="209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0784B"/>
    <w:multiLevelType w:val="multilevel"/>
    <w:tmpl w:val="5CCA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3B40AC"/>
    <w:multiLevelType w:val="multilevel"/>
    <w:tmpl w:val="87C6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A926A0"/>
    <w:multiLevelType w:val="multilevel"/>
    <w:tmpl w:val="F6FC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65C47"/>
    <w:multiLevelType w:val="multilevel"/>
    <w:tmpl w:val="8FB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550CC"/>
    <w:multiLevelType w:val="multilevel"/>
    <w:tmpl w:val="C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808655">
    <w:abstractNumId w:val="0"/>
  </w:num>
  <w:num w:numId="2" w16cid:durableId="1242523601">
    <w:abstractNumId w:val="1"/>
  </w:num>
  <w:num w:numId="3" w16cid:durableId="117338290">
    <w:abstractNumId w:val="5"/>
  </w:num>
  <w:num w:numId="4" w16cid:durableId="676269359">
    <w:abstractNumId w:val="8"/>
  </w:num>
  <w:num w:numId="5" w16cid:durableId="1409811598">
    <w:abstractNumId w:val="13"/>
  </w:num>
  <w:num w:numId="6" w16cid:durableId="1201746766">
    <w:abstractNumId w:val="12"/>
  </w:num>
  <w:num w:numId="7" w16cid:durableId="1012295041">
    <w:abstractNumId w:val="7"/>
  </w:num>
  <w:num w:numId="8" w16cid:durableId="1792934884">
    <w:abstractNumId w:val="11"/>
  </w:num>
  <w:num w:numId="9" w16cid:durableId="1886788855">
    <w:abstractNumId w:val="9"/>
  </w:num>
  <w:num w:numId="10" w16cid:durableId="299304568">
    <w:abstractNumId w:val="2"/>
  </w:num>
  <w:num w:numId="11" w16cid:durableId="570117282">
    <w:abstractNumId w:val="6"/>
  </w:num>
  <w:num w:numId="12" w16cid:durableId="1412583095">
    <w:abstractNumId w:val="10"/>
  </w:num>
  <w:num w:numId="13" w16cid:durableId="490558032">
    <w:abstractNumId w:val="4"/>
  </w:num>
  <w:num w:numId="14" w16cid:durableId="313798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B2"/>
    <w:rsid w:val="00044D66"/>
    <w:rsid w:val="00083DF1"/>
    <w:rsid w:val="001D4EDF"/>
    <w:rsid w:val="001F02E5"/>
    <w:rsid w:val="00214F37"/>
    <w:rsid w:val="00257760"/>
    <w:rsid w:val="002F3363"/>
    <w:rsid w:val="00300E28"/>
    <w:rsid w:val="00311A7A"/>
    <w:rsid w:val="00331F36"/>
    <w:rsid w:val="00344E79"/>
    <w:rsid w:val="0034739A"/>
    <w:rsid w:val="00375B02"/>
    <w:rsid w:val="00394D13"/>
    <w:rsid w:val="004517D6"/>
    <w:rsid w:val="00460A14"/>
    <w:rsid w:val="00485224"/>
    <w:rsid w:val="00544845"/>
    <w:rsid w:val="006B6A60"/>
    <w:rsid w:val="006C7B3E"/>
    <w:rsid w:val="007C49F5"/>
    <w:rsid w:val="008A5D18"/>
    <w:rsid w:val="00983EE6"/>
    <w:rsid w:val="00994258"/>
    <w:rsid w:val="009C5CB2"/>
    <w:rsid w:val="00A07C6F"/>
    <w:rsid w:val="00A42826"/>
    <w:rsid w:val="00A73FEB"/>
    <w:rsid w:val="00AD24F5"/>
    <w:rsid w:val="00AF0458"/>
    <w:rsid w:val="00B10A97"/>
    <w:rsid w:val="00B409DE"/>
    <w:rsid w:val="00B42553"/>
    <w:rsid w:val="00B5389B"/>
    <w:rsid w:val="00B62BEF"/>
    <w:rsid w:val="00B769EE"/>
    <w:rsid w:val="00B82FA9"/>
    <w:rsid w:val="00B855E4"/>
    <w:rsid w:val="00BC62AF"/>
    <w:rsid w:val="00BD230F"/>
    <w:rsid w:val="00BD235C"/>
    <w:rsid w:val="00C62E2C"/>
    <w:rsid w:val="00C8109E"/>
    <w:rsid w:val="00C90DC8"/>
    <w:rsid w:val="00CB362F"/>
    <w:rsid w:val="00D71483"/>
    <w:rsid w:val="00D96041"/>
    <w:rsid w:val="00DA5B06"/>
    <w:rsid w:val="00EB08D8"/>
    <w:rsid w:val="00EE3204"/>
    <w:rsid w:val="00F16CC2"/>
    <w:rsid w:val="00F17581"/>
    <w:rsid w:val="00F51BCD"/>
    <w:rsid w:val="00FC6225"/>
    <w:rsid w:val="00FE21A7"/>
    <w:rsid w:val="00FE5B92"/>
    <w:rsid w:val="00FF1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0650"/>
  <w15:chartTrackingRefBased/>
  <w15:docId w15:val="{6A39A652-B252-454D-A51A-9928225A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5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CB2"/>
    <w:rPr>
      <w:rFonts w:eastAsiaTheme="majorEastAsia" w:cstheme="majorBidi"/>
      <w:color w:val="272727" w:themeColor="text1" w:themeTint="D8"/>
    </w:rPr>
  </w:style>
  <w:style w:type="paragraph" w:styleId="Title">
    <w:name w:val="Title"/>
    <w:basedOn w:val="Normal"/>
    <w:next w:val="Normal"/>
    <w:link w:val="TitleChar"/>
    <w:uiPriority w:val="10"/>
    <w:qFormat/>
    <w:rsid w:val="009C5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CB2"/>
    <w:pPr>
      <w:spacing w:before="160"/>
      <w:jc w:val="center"/>
    </w:pPr>
    <w:rPr>
      <w:i/>
      <w:iCs/>
      <w:color w:val="404040" w:themeColor="text1" w:themeTint="BF"/>
    </w:rPr>
  </w:style>
  <w:style w:type="character" w:customStyle="1" w:styleId="QuoteChar">
    <w:name w:val="Quote Char"/>
    <w:basedOn w:val="DefaultParagraphFont"/>
    <w:link w:val="Quote"/>
    <w:uiPriority w:val="29"/>
    <w:rsid w:val="009C5CB2"/>
    <w:rPr>
      <w:i/>
      <w:iCs/>
      <w:color w:val="404040" w:themeColor="text1" w:themeTint="BF"/>
    </w:rPr>
  </w:style>
  <w:style w:type="paragraph" w:styleId="ListParagraph">
    <w:name w:val="List Paragraph"/>
    <w:basedOn w:val="Normal"/>
    <w:uiPriority w:val="34"/>
    <w:qFormat/>
    <w:rsid w:val="009C5CB2"/>
    <w:pPr>
      <w:ind w:left="720"/>
      <w:contextualSpacing/>
    </w:pPr>
  </w:style>
  <w:style w:type="character" w:styleId="IntenseEmphasis">
    <w:name w:val="Intense Emphasis"/>
    <w:basedOn w:val="DefaultParagraphFont"/>
    <w:uiPriority w:val="21"/>
    <w:qFormat/>
    <w:rsid w:val="009C5CB2"/>
    <w:rPr>
      <w:i/>
      <w:iCs/>
      <w:color w:val="0F4761" w:themeColor="accent1" w:themeShade="BF"/>
    </w:rPr>
  </w:style>
  <w:style w:type="paragraph" w:styleId="IntenseQuote">
    <w:name w:val="Intense Quote"/>
    <w:basedOn w:val="Normal"/>
    <w:next w:val="Normal"/>
    <w:link w:val="IntenseQuoteChar"/>
    <w:uiPriority w:val="30"/>
    <w:qFormat/>
    <w:rsid w:val="009C5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CB2"/>
    <w:rPr>
      <w:i/>
      <w:iCs/>
      <w:color w:val="0F4761" w:themeColor="accent1" w:themeShade="BF"/>
    </w:rPr>
  </w:style>
  <w:style w:type="character" w:styleId="IntenseReference">
    <w:name w:val="Intense Reference"/>
    <w:basedOn w:val="DefaultParagraphFont"/>
    <w:uiPriority w:val="32"/>
    <w:qFormat/>
    <w:rsid w:val="009C5CB2"/>
    <w:rPr>
      <w:b/>
      <w:bCs/>
      <w:smallCaps/>
      <w:color w:val="0F4761" w:themeColor="accent1" w:themeShade="BF"/>
      <w:spacing w:val="5"/>
    </w:rPr>
  </w:style>
  <w:style w:type="paragraph" w:customStyle="1" w:styleId="mdc-story-bodyparagraphmdc">
    <w:name w:val="mdc-story-body__paragraph__mdc"/>
    <w:basedOn w:val="Normal"/>
    <w:rsid w:val="009C5C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C5CB2"/>
  </w:style>
  <w:style w:type="character" w:styleId="Hyperlink">
    <w:name w:val="Hyperlink"/>
    <w:basedOn w:val="DefaultParagraphFont"/>
    <w:uiPriority w:val="99"/>
    <w:semiHidden/>
    <w:unhideWhenUsed/>
    <w:rsid w:val="009C5CB2"/>
    <w:rPr>
      <w:color w:val="0000FF"/>
      <w:u w:val="single"/>
    </w:rPr>
  </w:style>
  <w:style w:type="paragraph" w:customStyle="1" w:styleId="p1">
    <w:name w:val="p1"/>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07C6F"/>
  </w:style>
  <w:style w:type="paragraph" w:customStyle="1" w:styleId="p3">
    <w:name w:val="p3"/>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07C6F"/>
  </w:style>
  <w:style w:type="character" w:customStyle="1" w:styleId="s3">
    <w:name w:val="s3"/>
    <w:basedOn w:val="DefaultParagraphFont"/>
    <w:rsid w:val="00A07C6F"/>
  </w:style>
  <w:style w:type="paragraph" w:customStyle="1" w:styleId="p2">
    <w:name w:val="p2"/>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E3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14F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1417">
      <w:bodyDiv w:val="1"/>
      <w:marLeft w:val="0"/>
      <w:marRight w:val="0"/>
      <w:marTop w:val="0"/>
      <w:marBottom w:val="0"/>
      <w:divBdr>
        <w:top w:val="none" w:sz="0" w:space="0" w:color="auto"/>
        <w:left w:val="none" w:sz="0" w:space="0" w:color="auto"/>
        <w:bottom w:val="none" w:sz="0" w:space="0" w:color="auto"/>
        <w:right w:val="none" w:sz="0" w:space="0" w:color="auto"/>
      </w:divBdr>
    </w:div>
    <w:div w:id="36979465">
      <w:bodyDiv w:val="1"/>
      <w:marLeft w:val="0"/>
      <w:marRight w:val="0"/>
      <w:marTop w:val="0"/>
      <w:marBottom w:val="0"/>
      <w:divBdr>
        <w:top w:val="none" w:sz="0" w:space="0" w:color="auto"/>
        <w:left w:val="none" w:sz="0" w:space="0" w:color="auto"/>
        <w:bottom w:val="none" w:sz="0" w:space="0" w:color="auto"/>
        <w:right w:val="none" w:sz="0" w:space="0" w:color="auto"/>
      </w:divBdr>
    </w:div>
    <w:div w:id="52774237">
      <w:bodyDiv w:val="1"/>
      <w:marLeft w:val="0"/>
      <w:marRight w:val="0"/>
      <w:marTop w:val="0"/>
      <w:marBottom w:val="0"/>
      <w:divBdr>
        <w:top w:val="none" w:sz="0" w:space="0" w:color="auto"/>
        <w:left w:val="none" w:sz="0" w:space="0" w:color="auto"/>
        <w:bottom w:val="none" w:sz="0" w:space="0" w:color="auto"/>
        <w:right w:val="none" w:sz="0" w:space="0" w:color="auto"/>
      </w:divBdr>
    </w:div>
    <w:div w:id="59836176">
      <w:bodyDiv w:val="1"/>
      <w:marLeft w:val="0"/>
      <w:marRight w:val="0"/>
      <w:marTop w:val="0"/>
      <w:marBottom w:val="0"/>
      <w:divBdr>
        <w:top w:val="none" w:sz="0" w:space="0" w:color="auto"/>
        <w:left w:val="none" w:sz="0" w:space="0" w:color="auto"/>
        <w:bottom w:val="none" w:sz="0" w:space="0" w:color="auto"/>
        <w:right w:val="none" w:sz="0" w:space="0" w:color="auto"/>
      </w:divBdr>
    </w:div>
    <w:div w:id="68383973">
      <w:bodyDiv w:val="1"/>
      <w:marLeft w:val="0"/>
      <w:marRight w:val="0"/>
      <w:marTop w:val="0"/>
      <w:marBottom w:val="0"/>
      <w:divBdr>
        <w:top w:val="none" w:sz="0" w:space="0" w:color="auto"/>
        <w:left w:val="none" w:sz="0" w:space="0" w:color="auto"/>
        <w:bottom w:val="none" w:sz="0" w:space="0" w:color="auto"/>
        <w:right w:val="none" w:sz="0" w:space="0" w:color="auto"/>
      </w:divBdr>
    </w:div>
    <w:div w:id="69930633">
      <w:bodyDiv w:val="1"/>
      <w:marLeft w:val="0"/>
      <w:marRight w:val="0"/>
      <w:marTop w:val="0"/>
      <w:marBottom w:val="0"/>
      <w:divBdr>
        <w:top w:val="none" w:sz="0" w:space="0" w:color="auto"/>
        <w:left w:val="none" w:sz="0" w:space="0" w:color="auto"/>
        <w:bottom w:val="none" w:sz="0" w:space="0" w:color="auto"/>
        <w:right w:val="none" w:sz="0" w:space="0" w:color="auto"/>
      </w:divBdr>
    </w:div>
    <w:div w:id="170876999">
      <w:bodyDiv w:val="1"/>
      <w:marLeft w:val="0"/>
      <w:marRight w:val="0"/>
      <w:marTop w:val="0"/>
      <w:marBottom w:val="0"/>
      <w:divBdr>
        <w:top w:val="none" w:sz="0" w:space="0" w:color="auto"/>
        <w:left w:val="none" w:sz="0" w:space="0" w:color="auto"/>
        <w:bottom w:val="none" w:sz="0" w:space="0" w:color="auto"/>
        <w:right w:val="none" w:sz="0" w:space="0" w:color="auto"/>
      </w:divBdr>
    </w:div>
    <w:div w:id="196819324">
      <w:bodyDiv w:val="1"/>
      <w:marLeft w:val="0"/>
      <w:marRight w:val="0"/>
      <w:marTop w:val="0"/>
      <w:marBottom w:val="0"/>
      <w:divBdr>
        <w:top w:val="none" w:sz="0" w:space="0" w:color="auto"/>
        <w:left w:val="none" w:sz="0" w:space="0" w:color="auto"/>
        <w:bottom w:val="none" w:sz="0" w:space="0" w:color="auto"/>
        <w:right w:val="none" w:sz="0" w:space="0" w:color="auto"/>
      </w:divBdr>
    </w:div>
    <w:div w:id="203443597">
      <w:bodyDiv w:val="1"/>
      <w:marLeft w:val="0"/>
      <w:marRight w:val="0"/>
      <w:marTop w:val="0"/>
      <w:marBottom w:val="0"/>
      <w:divBdr>
        <w:top w:val="none" w:sz="0" w:space="0" w:color="auto"/>
        <w:left w:val="none" w:sz="0" w:space="0" w:color="auto"/>
        <w:bottom w:val="none" w:sz="0" w:space="0" w:color="auto"/>
        <w:right w:val="none" w:sz="0" w:space="0" w:color="auto"/>
      </w:divBdr>
    </w:div>
    <w:div w:id="384303423">
      <w:bodyDiv w:val="1"/>
      <w:marLeft w:val="0"/>
      <w:marRight w:val="0"/>
      <w:marTop w:val="0"/>
      <w:marBottom w:val="0"/>
      <w:divBdr>
        <w:top w:val="none" w:sz="0" w:space="0" w:color="auto"/>
        <w:left w:val="none" w:sz="0" w:space="0" w:color="auto"/>
        <w:bottom w:val="none" w:sz="0" w:space="0" w:color="auto"/>
        <w:right w:val="none" w:sz="0" w:space="0" w:color="auto"/>
      </w:divBdr>
    </w:div>
    <w:div w:id="509875265">
      <w:bodyDiv w:val="1"/>
      <w:marLeft w:val="0"/>
      <w:marRight w:val="0"/>
      <w:marTop w:val="0"/>
      <w:marBottom w:val="0"/>
      <w:divBdr>
        <w:top w:val="none" w:sz="0" w:space="0" w:color="auto"/>
        <w:left w:val="none" w:sz="0" w:space="0" w:color="auto"/>
        <w:bottom w:val="none" w:sz="0" w:space="0" w:color="auto"/>
        <w:right w:val="none" w:sz="0" w:space="0" w:color="auto"/>
      </w:divBdr>
    </w:div>
    <w:div w:id="660933534">
      <w:bodyDiv w:val="1"/>
      <w:marLeft w:val="0"/>
      <w:marRight w:val="0"/>
      <w:marTop w:val="0"/>
      <w:marBottom w:val="0"/>
      <w:divBdr>
        <w:top w:val="none" w:sz="0" w:space="0" w:color="auto"/>
        <w:left w:val="none" w:sz="0" w:space="0" w:color="auto"/>
        <w:bottom w:val="none" w:sz="0" w:space="0" w:color="auto"/>
        <w:right w:val="none" w:sz="0" w:space="0" w:color="auto"/>
      </w:divBdr>
    </w:div>
    <w:div w:id="715858653">
      <w:bodyDiv w:val="1"/>
      <w:marLeft w:val="0"/>
      <w:marRight w:val="0"/>
      <w:marTop w:val="0"/>
      <w:marBottom w:val="0"/>
      <w:divBdr>
        <w:top w:val="none" w:sz="0" w:space="0" w:color="auto"/>
        <w:left w:val="none" w:sz="0" w:space="0" w:color="auto"/>
        <w:bottom w:val="none" w:sz="0" w:space="0" w:color="auto"/>
        <w:right w:val="none" w:sz="0" w:space="0" w:color="auto"/>
      </w:divBdr>
    </w:div>
    <w:div w:id="727458595">
      <w:bodyDiv w:val="1"/>
      <w:marLeft w:val="0"/>
      <w:marRight w:val="0"/>
      <w:marTop w:val="0"/>
      <w:marBottom w:val="0"/>
      <w:divBdr>
        <w:top w:val="none" w:sz="0" w:space="0" w:color="auto"/>
        <w:left w:val="none" w:sz="0" w:space="0" w:color="auto"/>
        <w:bottom w:val="none" w:sz="0" w:space="0" w:color="auto"/>
        <w:right w:val="none" w:sz="0" w:space="0" w:color="auto"/>
      </w:divBdr>
    </w:div>
    <w:div w:id="830415947">
      <w:bodyDiv w:val="1"/>
      <w:marLeft w:val="0"/>
      <w:marRight w:val="0"/>
      <w:marTop w:val="0"/>
      <w:marBottom w:val="0"/>
      <w:divBdr>
        <w:top w:val="none" w:sz="0" w:space="0" w:color="auto"/>
        <w:left w:val="none" w:sz="0" w:space="0" w:color="auto"/>
        <w:bottom w:val="none" w:sz="0" w:space="0" w:color="auto"/>
        <w:right w:val="none" w:sz="0" w:space="0" w:color="auto"/>
      </w:divBdr>
    </w:div>
    <w:div w:id="885337598">
      <w:bodyDiv w:val="1"/>
      <w:marLeft w:val="0"/>
      <w:marRight w:val="0"/>
      <w:marTop w:val="0"/>
      <w:marBottom w:val="0"/>
      <w:divBdr>
        <w:top w:val="none" w:sz="0" w:space="0" w:color="auto"/>
        <w:left w:val="none" w:sz="0" w:space="0" w:color="auto"/>
        <w:bottom w:val="none" w:sz="0" w:space="0" w:color="auto"/>
        <w:right w:val="none" w:sz="0" w:space="0" w:color="auto"/>
      </w:divBdr>
    </w:div>
    <w:div w:id="968969920">
      <w:bodyDiv w:val="1"/>
      <w:marLeft w:val="0"/>
      <w:marRight w:val="0"/>
      <w:marTop w:val="0"/>
      <w:marBottom w:val="0"/>
      <w:divBdr>
        <w:top w:val="none" w:sz="0" w:space="0" w:color="auto"/>
        <w:left w:val="none" w:sz="0" w:space="0" w:color="auto"/>
        <w:bottom w:val="none" w:sz="0" w:space="0" w:color="auto"/>
        <w:right w:val="none" w:sz="0" w:space="0" w:color="auto"/>
      </w:divBdr>
    </w:div>
    <w:div w:id="1008873854">
      <w:bodyDiv w:val="1"/>
      <w:marLeft w:val="0"/>
      <w:marRight w:val="0"/>
      <w:marTop w:val="0"/>
      <w:marBottom w:val="0"/>
      <w:divBdr>
        <w:top w:val="none" w:sz="0" w:space="0" w:color="auto"/>
        <w:left w:val="none" w:sz="0" w:space="0" w:color="auto"/>
        <w:bottom w:val="none" w:sz="0" w:space="0" w:color="auto"/>
        <w:right w:val="none" w:sz="0" w:space="0" w:color="auto"/>
      </w:divBdr>
    </w:div>
    <w:div w:id="1052341345">
      <w:bodyDiv w:val="1"/>
      <w:marLeft w:val="0"/>
      <w:marRight w:val="0"/>
      <w:marTop w:val="0"/>
      <w:marBottom w:val="0"/>
      <w:divBdr>
        <w:top w:val="none" w:sz="0" w:space="0" w:color="auto"/>
        <w:left w:val="none" w:sz="0" w:space="0" w:color="auto"/>
        <w:bottom w:val="none" w:sz="0" w:space="0" w:color="auto"/>
        <w:right w:val="none" w:sz="0" w:space="0" w:color="auto"/>
      </w:divBdr>
    </w:div>
    <w:div w:id="1101295363">
      <w:bodyDiv w:val="1"/>
      <w:marLeft w:val="0"/>
      <w:marRight w:val="0"/>
      <w:marTop w:val="0"/>
      <w:marBottom w:val="0"/>
      <w:divBdr>
        <w:top w:val="none" w:sz="0" w:space="0" w:color="auto"/>
        <w:left w:val="none" w:sz="0" w:space="0" w:color="auto"/>
        <w:bottom w:val="none" w:sz="0" w:space="0" w:color="auto"/>
        <w:right w:val="none" w:sz="0" w:space="0" w:color="auto"/>
      </w:divBdr>
    </w:div>
    <w:div w:id="1140263479">
      <w:bodyDiv w:val="1"/>
      <w:marLeft w:val="0"/>
      <w:marRight w:val="0"/>
      <w:marTop w:val="0"/>
      <w:marBottom w:val="0"/>
      <w:divBdr>
        <w:top w:val="none" w:sz="0" w:space="0" w:color="auto"/>
        <w:left w:val="none" w:sz="0" w:space="0" w:color="auto"/>
        <w:bottom w:val="none" w:sz="0" w:space="0" w:color="auto"/>
        <w:right w:val="none" w:sz="0" w:space="0" w:color="auto"/>
      </w:divBdr>
    </w:div>
    <w:div w:id="1174030275">
      <w:bodyDiv w:val="1"/>
      <w:marLeft w:val="0"/>
      <w:marRight w:val="0"/>
      <w:marTop w:val="0"/>
      <w:marBottom w:val="0"/>
      <w:divBdr>
        <w:top w:val="none" w:sz="0" w:space="0" w:color="auto"/>
        <w:left w:val="none" w:sz="0" w:space="0" w:color="auto"/>
        <w:bottom w:val="none" w:sz="0" w:space="0" w:color="auto"/>
        <w:right w:val="none" w:sz="0" w:space="0" w:color="auto"/>
      </w:divBdr>
    </w:div>
    <w:div w:id="1259482194">
      <w:bodyDiv w:val="1"/>
      <w:marLeft w:val="0"/>
      <w:marRight w:val="0"/>
      <w:marTop w:val="0"/>
      <w:marBottom w:val="0"/>
      <w:divBdr>
        <w:top w:val="none" w:sz="0" w:space="0" w:color="auto"/>
        <w:left w:val="none" w:sz="0" w:space="0" w:color="auto"/>
        <w:bottom w:val="none" w:sz="0" w:space="0" w:color="auto"/>
        <w:right w:val="none" w:sz="0" w:space="0" w:color="auto"/>
      </w:divBdr>
    </w:div>
    <w:div w:id="1260795062">
      <w:bodyDiv w:val="1"/>
      <w:marLeft w:val="0"/>
      <w:marRight w:val="0"/>
      <w:marTop w:val="0"/>
      <w:marBottom w:val="0"/>
      <w:divBdr>
        <w:top w:val="none" w:sz="0" w:space="0" w:color="auto"/>
        <w:left w:val="none" w:sz="0" w:space="0" w:color="auto"/>
        <w:bottom w:val="none" w:sz="0" w:space="0" w:color="auto"/>
        <w:right w:val="none" w:sz="0" w:space="0" w:color="auto"/>
      </w:divBdr>
    </w:div>
    <w:div w:id="1306859949">
      <w:bodyDiv w:val="1"/>
      <w:marLeft w:val="0"/>
      <w:marRight w:val="0"/>
      <w:marTop w:val="0"/>
      <w:marBottom w:val="0"/>
      <w:divBdr>
        <w:top w:val="none" w:sz="0" w:space="0" w:color="auto"/>
        <w:left w:val="none" w:sz="0" w:space="0" w:color="auto"/>
        <w:bottom w:val="none" w:sz="0" w:space="0" w:color="auto"/>
        <w:right w:val="none" w:sz="0" w:space="0" w:color="auto"/>
      </w:divBdr>
    </w:div>
    <w:div w:id="1386296861">
      <w:bodyDiv w:val="1"/>
      <w:marLeft w:val="0"/>
      <w:marRight w:val="0"/>
      <w:marTop w:val="0"/>
      <w:marBottom w:val="0"/>
      <w:divBdr>
        <w:top w:val="none" w:sz="0" w:space="0" w:color="auto"/>
        <w:left w:val="none" w:sz="0" w:space="0" w:color="auto"/>
        <w:bottom w:val="none" w:sz="0" w:space="0" w:color="auto"/>
        <w:right w:val="none" w:sz="0" w:space="0" w:color="auto"/>
      </w:divBdr>
    </w:div>
    <w:div w:id="1388606520">
      <w:bodyDiv w:val="1"/>
      <w:marLeft w:val="0"/>
      <w:marRight w:val="0"/>
      <w:marTop w:val="0"/>
      <w:marBottom w:val="0"/>
      <w:divBdr>
        <w:top w:val="none" w:sz="0" w:space="0" w:color="auto"/>
        <w:left w:val="none" w:sz="0" w:space="0" w:color="auto"/>
        <w:bottom w:val="none" w:sz="0" w:space="0" w:color="auto"/>
        <w:right w:val="none" w:sz="0" w:space="0" w:color="auto"/>
      </w:divBdr>
    </w:div>
    <w:div w:id="1457289096">
      <w:bodyDiv w:val="1"/>
      <w:marLeft w:val="0"/>
      <w:marRight w:val="0"/>
      <w:marTop w:val="0"/>
      <w:marBottom w:val="0"/>
      <w:divBdr>
        <w:top w:val="none" w:sz="0" w:space="0" w:color="auto"/>
        <w:left w:val="none" w:sz="0" w:space="0" w:color="auto"/>
        <w:bottom w:val="none" w:sz="0" w:space="0" w:color="auto"/>
        <w:right w:val="none" w:sz="0" w:space="0" w:color="auto"/>
      </w:divBdr>
    </w:div>
    <w:div w:id="1472139501">
      <w:bodyDiv w:val="1"/>
      <w:marLeft w:val="0"/>
      <w:marRight w:val="0"/>
      <w:marTop w:val="0"/>
      <w:marBottom w:val="0"/>
      <w:divBdr>
        <w:top w:val="none" w:sz="0" w:space="0" w:color="auto"/>
        <w:left w:val="none" w:sz="0" w:space="0" w:color="auto"/>
        <w:bottom w:val="none" w:sz="0" w:space="0" w:color="auto"/>
        <w:right w:val="none" w:sz="0" w:space="0" w:color="auto"/>
      </w:divBdr>
    </w:div>
    <w:div w:id="1545824477">
      <w:bodyDiv w:val="1"/>
      <w:marLeft w:val="0"/>
      <w:marRight w:val="0"/>
      <w:marTop w:val="0"/>
      <w:marBottom w:val="0"/>
      <w:divBdr>
        <w:top w:val="none" w:sz="0" w:space="0" w:color="auto"/>
        <w:left w:val="none" w:sz="0" w:space="0" w:color="auto"/>
        <w:bottom w:val="none" w:sz="0" w:space="0" w:color="auto"/>
        <w:right w:val="none" w:sz="0" w:space="0" w:color="auto"/>
      </w:divBdr>
    </w:div>
    <w:div w:id="1592468509">
      <w:bodyDiv w:val="1"/>
      <w:marLeft w:val="0"/>
      <w:marRight w:val="0"/>
      <w:marTop w:val="0"/>
      <w:marBottom w:val="0"/>
      <w:divBdr>
        <w:top w:val="none" w:sz="0" w:space="0" w:color="auto"/>
        <w:left w:val="none" w:sz="0" w:space="0" w:color="auto"/>
        <w:bottom w:val="none" w:sz="0" w:space="0" w:color="auto"/>
        <w:right w:val="none" w:sz="0" w:space="0" w:color="auto"/>
      </w:divBdr>
      <w:divsChild>
        <w:div w:id="1405226262">
          <w:blockQuote w:val="1"/>
          <w:marLeft w:val="225"/>
          <w:marRight w:val="0"/>
          <w:marTop w:val="0"/>
          <w:marBottom w:val="0"/>
          <w:divBdr>
            <w:top w:val="none" w:sz="0" w:space="0" w:color="auto"/>
            <w:left w:val="none" w:sz="0" w:space="0" w:color="auto"/>
            <w:bottom w:val="none" w:sz="0" w:space="0" w:color="auto"/>
            <w:right w:val="none" w:sz="0" w:space="0" w:color="auto"/>
          </w:divBdr>
        </w:div>
        <w:div w:id="2592154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6958843">
      <w:bodyDiv w:val="1"/>
      <w:marLeft w:val="0"/>
      <w:marRight w:val="0"/>
      <w:marTop w:val="0"/>
      <w:marBottom w:val="0"/>
      <w:divBdr>
        <w:top w:val="none" w:sz="0" w:space="0" w:color="auto"/>
        <w:left w:val="none" w:sz="0" w:space="0" w:color="auto"/>
        <w:bottom w:val="none" w:sz="0" w:space="0" w:color="auto"/>
        <w:right w:val="none" w:sz="0" w:space="0" w:color="auto"/>
      </w:divBdr>
    </w:div>
    <w:div w:id="1635719235">
      <w:bodyDiv w:val="1"/>
      <w:marLeft w:val="0"/>
      <w:marRight w:val="0"/>
      <w:marTop w:val="0"/>
      <w:marBottom w:val="0"/>
      <w:divBdr>
        <w:top w:val="none" w:sz="0" w:space="0" w:color="auto"/>
        <w:left w:val="none" w:sz="0" w:space="0" w:color="auto"/>
        <w:bottom w:val="none" w:sz="0" w:space="0" w:color="auto"/>
        <w:right w:val="none" w:sz="0" w:space="0" w:color="auto"/>
      </w:divBdr>
    </w:div>
    <w:div w:id="1653634555">
      <w:bodyDiv w:val="1"/>
      <w:marLeft w:val="0"/>
      <w:marRight w:val="0"/>
      <w:marTop w:val="0"/>
      <w:marBottom w:val="0"/>
      <w:divBdr>
        <w:top w:val="none" w:sz="0" w:space="0" w:color="auto"/>
        <w:left w:val="none" w:sz="0" w:space="0" w:color="auto"/>
        <w:bottom w:val="none" w:sz="0" w:space="0" w:color="auto"/>
        <w:right w:val="none" w:sz="0" w:space="0" w:color="auto"/>
      </w:divBdr>
    </w:div>
    <w:div w:id="1664888328">
      <w:bodyDiv w:val="1"/>
      <w:marLeft w:val="0"/>
      <w:marRight w:val="0"/>
      <w:marTop w:val="0"/>
      <w:marBottom w:val="0"/>
      <w:divBdr>
        <w:top w:val="none" w:sz="0" w:space="0" w:color="auto"/>
        <w:left w:val="none" w:sz="0" w:space="0" w:color="auto"/>
        <w:bottom w:val="none" w:sz="0" w:space="0" w:color="auto"/>
        <w:right w:val="none" w:sz="0" w:space="0" w:color="auto"/>
      </w:divBdr>
    </w:div>
    <w:div w:id="1712529760">
      <w:bodyDiv w:val="1"/>
      <w:marLeft w:val="0"/>
      <w:marRight w:val="0"/>
      <w:marTop w:val="0"/>
      <w:marBottom w:val="0"/>
      <w:divBdr>
        <w:top w:val="none" w:sz="0" w:space="0" w:color="auto"/>
        <w:left w:val="none" w:sz="0" w:space="0" w:color="auto"/>
        <w:bottom w:val="none" w:sz="0" w:space="0" w:color="auto"/>
        <w:right w:val="none" w:sz="0" w:space="0" w:color="auto"/>
      </w:divBdr>
    </w:div>
    <w:div w:id="1798985607">
      <w:bodyDiv w:val="1"/>
      <w:marLeft w:val="0"/>
      <w:marRight w:val="0"/>
      <w:marTop w:val="0"/>
      <w:marBottom w:val="0"/>
      <w:divBdr>
        <w:top w:val="none" w:sz="0" w:space="0" w:color="auto"/>
        <w:left w:val="none" w:sz="0" w:space="0" w:color="auto"/>
        <w:bottom w:val="none" w:sz="0" w:space="0" w:color="auto"/>
        <w:right w:val="none" w:sz="0" w:space="0" w:color="auto"/>
      </w:divBdr>
      <w:divsChild>
        <w:div w:id="92173634">
          <w:blockQuote w:val="1"/>
          <w:marLeft w:val="225"/>
          <w:marRight w:val="0"/>
          <w:marTop w:val="0"/>
          <w:marBottom w:val="0"/>
          <w:divBdr>
            <w:top w:val="none" w:sz="0" w:space="0" w:color="auto"/>
            <w:left w:val="none" w:sz="0" w:space="0" w:color="auto"/>
            <w:bottom w:val="none" w:sz="0" w:space="0" w:color="auto"/>
            <w:right w:val="none" w:sz="0" w:space="0" w:color="auto"/>
          </w:divBdr>
        </w:div>
        <w:div w:id="5364277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0698928">
      <w:bodyDiv w:val="1"/>
      <w:marLeft w:val="0"/>
      <w:marRight w:val="0"/>
      <w:marTop w:val="0"/>
      <w:marBottom w:val="0"/>
      <w:divBdr>
        <w:top w:val="none" w:sz="0" w:space="0" w:color="auto"/>
        <w:left w:val="none" w:sz="0" w:space="0" w:color="auto"/>
        <w:bottom w:val="none" w:sz="0" w:space="0" w:color="auto"/>
        <w:right w:val="none" w:sz="0" w:space="0" w:color="auto"/>
      </w:divBdr>
    </w:div>
    <w:div w:id="1946423558">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 Id="rId5"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11</cp:revision>
  <dcterms:created xsi:type="dcterms:W3CDTF">2025-06-19T01:21:00Z</dcterms:created>
  <dcterms:modified xsi:type="dcterms:W3CDTF">2025-06-29T07:40:00Z</dcterms:modified>
</cp:coreProperties>
</file>