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90E3D" w14:textId="7A13F80E" w:rsidR="00436C20" w:rsidRPr="00A07C6F" w:rsidRDefault="00436C20" w:rsidP="00436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旺达财智客户月报（</w:t>
      </w:r>
      <w:r w:rsidRPr="00A07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2025</w:t>
      </w: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年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9</w:t>
      </w: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</w:t>
      </w:r>
      <w:r w:rsidRPr="00A07C6F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14254A54" w14:textId="15A36612" w:rsidR="005A417E" w:rsidRDefault="005A417E"/>
    <w:p w14:paraId="7D8E9ADA" w14:textId="77777777" w:rsidR="00436C20" w:rsidRPr="00531EC5" w:rsidRDefault="00436C20" w:rsidP="00436C20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531EC5">
        <w:rPr>
          <w:rFonts w:ascii="KaiTi" w:eastAsia="KaiTi" w:hAnsi="KaiTi" w:cs="PingFang TC"/>
          <w:kern w:val="0"/>
          <w14:ligatures w14:val="none"/>
        </w:rPr>
        <w:t>亲爱的朋友们，大家好！</w:t>
      </w:r>
    </w:p>
    <w:p w14:paraId="77D3550A" w14:textId="77777777" w:rsidR="005A417E" w:rsidRDefault="005A417E"/>
    <w:p w14:paraId="11947FB1" w14:textId="4F7E7106" w:rsidR="00B31F83" w:rsidRPr="00436C20" w:rsidRDefault="005A417E" w:rsidP="005A417E">
      <w:pPr>
        <w:pStyle w:val="p1"/>
        <w:rPr>
          <w:rFonts w:ascii="KaiTi" w:eastAsia="KaiTi" w:hAnsi="KaiTi" w:cs="PingFang TC"/>
        </w:rPr>
      </w:pPr>
      <w:r w:rsidRPr="00436C20">
        <w:rPr>
          <w:rFonts w:ascii="KaiTi" w:eastAsia="KaiTi" w:hAnsi="KaiTi" w:cs="PingFang TC" w:hint="eastAsia"/>
        </w:rPr>
        <w:t>这几天超强台风桦加沙掠过香港，</w:t>
      </w:r>
      <w:r w:rsidR="00B31F83" w:rsidRPr="00436C20">
        <w:rPr>
          <w:rFonts w:ascii="KaiTi" w:eastAsia="KaiTi" w:hAnsi="KaiTi" w:cs="PingFang TC" w:hint="eastAsia"/>
        </w:rPr>
        <w:t>希望大家都在这场风暴里平安度过。</w:t>
      </w:r>
    </w:p>
    <w:p w14:paraId="0804CD0E" w14:textId="3859CDBA" w:rsidR="005A417E" w:rsidRPr="00436C20" w:rsidRDefault="00B31F83" w:rsidP="005A417E">
      <w:pPr>
        <w:pStyle w:val="p1"/>
        <w:rPr>
          <w:rFonts w:ascii="KaiTi" w:eastAsia="KaiTi" w:hAnsi="KaiTi"/>
        </w:rPr>
      </w:pPr>
      <w:r w:rsidRPr="00436C20">
        <w:rPr>
          <w:rFonts w:ascii="KaiTi" w:eastAsia="KaiTi" w:hAnsi="KaiTi" w:cs="PingFang TC" w:hint="eastAsia"/>
        </w:rPr>
        <w:t>台风过境的那天晚上，</w:t>
      </w:r>
      <w:r w:rsidR="005A417E" w:rsidRPr="00436C20">
        <w:rPr>
          <w:rFonts w:ascii="KaiTi" w:eastAsia="KaiTi" w:hAnsi="KaiTi" w:cs="PingFang TC" w:hint="eastAsia"/>
        </w:rPr>
        <w:t>我家里一整晚都在呼呼作响：风声呼啸得像火车呼啸而过，窗子在颤动，管道里甚至传出奇怪的冒泡声，让人心里有点发毛。孩子们半夜醒来几次，屋子也</w:t>
      </w:r>
      <w:r w:rsidRPr="00436C20">
        <w:rPr>
          <w:rFonts w:ascii="KaiTi" w:eastAsia="KaiTi" w:hAnsi="KaiTi" w:cs="PingFang TC" w:hint="eastAsia"/>
        </w:rPr>
        <w:t>在</w:t>
      </w:r>
      <w:r w:rsidR="00F43A59" w:rsidRPr="00436C20">
        <w:rPr>
          <w:rFonts w:ascii="KaiTi" w:eastAsia="KaiTi" w:hAnsi="KaiTi" w:cs="PingFang TC" w:hint="eastAsia"/>
        </w:rPr>
        <w:t>飓风中有节奏</w:t>
      </w:r>
      <w:r w:rsidR="005A417E" w:rsidRPr="00436C20">
        <w:rPr>
          <w:rFonts w:ascii="KaiTi" w:eastAsia="KaiTi" w:hAnsi="KaiTi" w:cs="PingFang TC" w:hint="eastAsia"/>
        </w:rPr>
        <w:t>地</w:t>
      </w:r>
      <w:r w:rsidR="00F43A59" w:rsidRPr="00436C20">
        <w:rPr>
          <w:rFonts w:ascii="KaiTi" w:eastAsia="KaiTi" w:hAnsi="KaiTi" w:cs="PingFang TC" w:hint="eastAsia"/>
        </w:rPr>
        <w:t>震动</w:t>
      </w:r>
      <w:r w:rsidR="005A417E" w:rsidRPr="00436C20">
        <w:rPr>
          <w:rFonts w:ascii="KaiTi" w:eastAsia="KaiTi" w:hAnsi="KaiTi" w:cs="PingFang TC" w:hint="eastAsia"/>
        </w:rPr>
        <w:t>。</w:t>
      </w:r>
    </w:p>
    <w:p w14:paraId="77538642" w14:textId="17748457" w:rsidR="005A417E" w:rsidRPr="00436C20" w:rsidRDefault="005A417E" w:rsidP="005A417E">
      <w:pPr>
        <w:pStyle w:val="p1"/>
        <w:rPr>
          <w:rFonts w:ascii="KaiTi" w:eastAsia="KaiTi" w:hAnsi="KaiTi" w:cs="PingFang TC"/>
        </w:rPr>
      </w:pPr>
      <w:r w:rsidRPr="00436C20">
        <w:rPr>
          <w:rFonts w:ascii="KaiTi" w:eastAsia="KaiTi" w:hAnsi="KaiTi" w:cs="PingFang TC" w:hint="eastAsia"/>
        </w:rPr>
        <w:t>台风提醒我们，生活中总会有无法预测的风浪。而人真正</w:t>
      </w:r>
      <w:r w:rsidR="00F43A59" w:rsidRPr="00436C20">
        <w:rPr>
          <w:rFonts w:ascii="KaiTi" w:eastAsia="KaiTi" w:hAnsi="KaiTi" w:cs="PingFang TC" w:hint="eastAsia"/>
        </w:rPr>
        <w:t>需要</w:t>
      </w:r>
      <w:r w:rsidRPr="00436C20">
        <w:rPr>
          <w:rFonts w:ascii="KaiTi" w:eastAsia="KaiTi" w:hAnsi="KaiTi" w:cs="PingFang TC" w:hint="eastAsia"/>
        </w:rPr>
        <w:t>的，不是去和风浪对抗，而是提前为自己和家人准备一个安心的</w:t>
      </w:r>
      <w:r w:rsidRPr="00436C20">
        <w:rPr>
          <w:rFonts w:ascii="KaiTi" w:eastAsia="KaiTi" w:hAnsi="KaiTi"/>
        </w:rPr>
        <w:t>“</w:t>
      </w:r>
      <w:r w:rsidRPr="00436C20">
        <w:rPr>
          <w:rFonts w:ascii="KaiTi" w:eastAsia="KaiTi" w:hAnsi="KaiTi" w:cs="PingFang TC" w:hint="eastAsia"/>
        </w:rPr>
        <w:t>避风港</w:t>
      </w:r>
      <w:r w:rsidRPr="00436C20">
        <w:rPr>
          <w:rFonts w:ascii="KaiTi" w:eastAsia="KaiTi" w:hAnsi="KaiTi"/>
        </w:rPr>
        <w:t>”</w:t>
      </w:r>
      <w:r w:rsidRPr="00436C20">
        <w:rPr>
          <w:rFonts w:ascii="KaiTi" w:eastAsia="KaiTi" w:hAnsi="KaiTi" w:cs="PingFang TC" w:hint="eastAsia"/>
        </w:rPr>
        <w:t>。</w:t>
      </w:r>
    </w:p>
    <w:p w14:paraId="3469A1A4" w14:textId="77777777" w:rsidR="00375CC7" w:rsidRPr="00436C20" w:rsidRDefault="00375CC7" w:rsidP="005A417E">
      <w:pPr>
        <w:spacing w:before="100" w:beforeAutospacing="1" w:after="100" w:afterAutospacing="1" w:line="240" w:lineRule="auto"/>
        <w:outlineLvl w:val="2"/>
        <w:rPr>
          <w:rFonts w:ascii="KaiTi" w:eastAsia="KaiTi" w:hAnsi="KaiTi" w:cs="PingFang TC"/>
          <w:b/>
          <w:bCs/>
          <w:kern w:val="0"/>
          <w:sz w:val="27"/>
          <w:szCs w:val="27"/>
          <w14:ligatures w14:val="none"/>
        </w:rPr>
      </w:pPr>
    </w:p>
    <w:p w14:paraId="1931CFE8" w14:textId="6C05C529" w:rsidR="005A417E" w:rsidRPr="00436C20" w:rsidRDefault="005A417E" w:rsidP="005A417E">
      <w:pPr>
        <w:spacing w:before="100" w:beforeAutospacing="1" w:after="100" w:afterAutospacing="1" w:line="240" w:lineRule="auto"/>
        <w:outlineLvl w:val="2"/>
        <w:rPr>
          <w:rFonts w:ascii="KaiTi" w:eastAsia="KaiTi" w:hAnsi="KaiTi" w:cs="Times New Roman"/>
          <w:b/>
          <w:bCs/>
          <w:kern w:val="0"/>
          <w:sz w:val="27"/>
          <w:szCs w:val="27"/>
          <w14:ligatures w14:val="none"/>
        </w:rPr>
      </w:pPr>
      <w:r w:rsidRPr="00436C20">
        <w:rPr>
          <w:rFonts w:ascii="KaiTi" w:eastAsia="KaiTi" w:hAnsi="KaiTi" w:cs="PingFang TC" w:hint="eastAsia"/>
          <w:b/>
          <w:bCs/>
          <w:kern w:val="0"/>
          <w:sz w:val="27"/>
          <w:szCs w:val="27"/>
          <w14:ligatures w14:val="none"/>
        </w:rPr>
        <w:t>本月保险业务与服务关注</w:t>
      </w:r>
      <w:r w:rsidRPr="00436C20">
        <w:rPr>
          <w:rFonts w:ascii="KaiTi" w:eastAsia="KaiTi" w:hAnsi="KaiTi" w:cs="PingFang TC"/>
          <w:b/>
          <w:bCs/>
          <w:kern w:val="0"/>
          <w:sz w:val="27"/>
          <w:szCs w:val="27"/>
          <w14:ligatures w14:val="none"/>
        </w:rPr>
        <w:t>点</w:t>
      </w:r>
    </w:p>
    <w:p w14:paraId="2701B65F" w14:textId="77777777" w:rsidR="005A417E" w:rsidRPr="00436C20" w:rsidRDefault="005A417E" w:rsidP="0005582F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b/>
          <w:bCs/>
          <w:kern w:val="0"/>
          <w14:ligatures w14:val="none"/>
        </w:rPr>
        <w:t>重疾险升级，保费上</w:t>
      </w:r>
      <w:r w:rsidRPr="00436C20">
        <w:rPr>
          <w:rFonts w:ascii="KaiTi" w:eastAsia="KaiTi" w:hAnsi="KaiTi" w:cs="PingFang TC"/>
          <w:b/>
          <w:bCs/>
          <w:kern w:val="0"/>
          <w14:ligatures w14:val="none"/>
        </w:rPr>
        <w:t>调</w:t>
      </w:r>
    </w:p>
    <w:p w14:paraId="07BE321B" w14:textId="6D72B9CA" w:rsidR="005A417E" w:rsidRPr="00436C20" w:rsidRDefault="005A417E" w:rsidP="0005582F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本月友邦AIA对重疾险产品进行了升级</w:t>
      </w:r>
      <w:r w:rsidR="00436C20">
        <w:rPr>
          <w:rFonts w:ascii="KaiTi" w:eastAsia="KaiTi" w:hAnsi="KaiTi" w:cs="PingFang TC" w:hint="eastAsia"/>
          <w:kern w:val="0"/>
          <w14:ligatures w14:val="none"/>
        </w:rPr>
        <w:t>换代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，新增了额外的保障责任，但相应的保费也提高了</w:t>
      </w:r>
      <w:r w:rsidR="000572D6" w:rsidRPr="00436C20">
        <w:rPr>
          <w:rFonts w:ascii="KaiTi" w:eastAsia="KaiTi" w:hAnsi="KaiTi" w:cs="PingFang TC" w:hint="eastAsia"/>
          <w:kern w:val="0"/>
          <w14:ligatures w14:val="none"/>
        </w:rPr>
        <w:t>不少，但并没有看到让人眼前一亮的新东西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。从配置角度看，</w:t>
      </w:r>
      <w:r w:rsidR="000572D6" w:rsidRPr="00436C20">
        <w:rPr>
          <w:rFonts w:ascii="KaiTi" w:eastAsia="KaiTi" w:hAnsi="KaiTi" w:cs="PingFang TC" w:hint="eastAsia"/>
          <w:kern w:val="0"/>
          <w14:ligatures w14:val="none"/>
        </w:rPr>
        <w:t>如果能赶在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老版本</w:t>
      </w:r>
      <w:r w:rsidR="000572D6" w:rsidRPr="00436C20">
        <w:rPr>
          <w:rFonts w:ascii="KaiTi" w:eastAsia="KaiTi" w:hAnsi="KaiTi" w:cs="PingFang TC" w:hint="eastAsia"/>
          <w:kern w:val="0"/>
          <w14:ligatures w14:val="none"/>
        </w:rPr>
        <w:t>下架前锁定保障，肯定是非常实惠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。</w:t>
      </w:r>
      <w:r w:rsidR="000572D6" w:rsidRPr="00436C20">
        <w:rPr>
          <w:rFonts w:ascii="KaiTi" w:eastAsia="KaiTi" w:hAnsi="KaiTi" w:cs="PingFang TC" w:hint="eastAsia"/>
          <w:kern w:val="0"/>
          <w14:ligatures w14:val="none"/>
        </w:rPr>
        <w:t>但没有赶上也没有什么关系，毕竟尽快拥有一份终身的保障才是最重要的。</w:t>
      </w:r>
    </w:p>
    <w:p w14:paraId="2694F640" w14:textId="77777777" w:rsidR="005A417E" w:rsidRPr="00436C20" w:rsidRDefault="005A417E" w:rsidP="0005582F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b/>
          <w:bCs/>
          <w:kern w:val="0"/>
          <w14:ligatures w14:val="none"/>
        </w:rPr>
        <w:t>定向传承功能，香港保险的独特价</w:t>
      </w:r>
      <w:r w:rsidRPr="00436C20">
        <w:rPr>
          <w:rFonts w:ascii="KaiTi" w:eastAsia="KaiTi" w:hAnsi="KaiTi" w:cs="PingFang TC"/>
          <w:b/>
          <w:bCs/>
          <w:kern w:val="0"/>
          <w14:ligatures w14:val="none"/>
        </w:rPr>
        <w:t>值</w:t>
      </w:r>
    </w:p>
    <w:p w14:paraId="2AAE0292" w14:textId="2CACEB8B" w:rsidR="0005582F" w:rsidRPr="0005582F" w:rsidRDefault="0005582F" w:rsidP="0005582F">
      <w:pPr>
        <w:pStyle w:val="p1"/>
        <w:rPr>
          <w:rFonts w:ascii="KaiTi" w:eastAsia="KaiTi" w:hAnsi="KaiTi" w:cs="PingFang TC"/>
        </w:rPr>
      </w:pPr>
      <w:r w:rsidRPr="0005582F">
        <w:rPr>
          <w:rFonts w:ascii="KaiTi" w:eastAsia="KaiTi" w:hAnsi="KaiTi" w:cs="PingFang TC" w:hint="eastAsia"/>
        </w:rPr>
        <w:t>几天前，在与客户交流时，我提到了宗庆后家族信托引发的风暴——一张</w:t>
      </w:r>
      <w:r w:rsidRPr="0005582F">
        <w:rPr>
          <w:rFonts w:ascii="KaiTi" w:eastAsia="KaiTi" w:hAnsi="KaiTi" w:cs="PingFang TC"/>
        </w:rPr>
        <w:t xml:space="preserve"> 21 </w:t>
      </w:r>
      <w:r w:rsidRPr="0005582F">
        <w:rPr>
          <w:rFonts w:ascii="KaiTi" w:eastAsia="KaiTi" w:hAnsi="KaiTi" w:cs="PingFang TC" w:hint="eastAsia"/>
        </w:rPr>
        <w:t>亿美元的离岸信托，被诉操作不透明、提款被控权、协议条款遭挑战，成了公开的财产争夺案。</w:t>
      </w:r>
      <w:r w:rsidRPr="0005582F">
        <w:rPr>
          <w:rFonts w:ascii="KaiTi" w:eastAsia="KaiTi" w:hAnsi="KaiTi" w:cs="PingFang TC"/>
        </w:rPr>
        <w:t xml:space="preserve"> </w:t>
      </w:r>
    </w:p>
    <w:p w14:paraId="30AC5509" w14:textId="434640E9" w:rsidR="0005582F" w:rsidRDefault="0005582F" w:rsidP="0005582F">
      <w:pPr>
        <w:pStyle w:val="p1"/>
        <w:rPr>
          <w:rFonts w:ascii="KaiTi" w:eastAsia="KaiTi" w:hAnsi="KaiTi" w:cs="PingFang TC"/>
        </w:rPr>
      </w:pPr>
      <w:r w:rsidRPr="0005582F">
        <w:rPr>
          <w:rFonts w:ascii="KaiTi" w:eastAsia="KaiTi" w:hAnsi="KaiTi" w:cs="PingFang TC" w:hint="eastAsia"/>
        </w:rPr>
        <w:t>即使是这样的巨富家族，也未必能</w:t>
      </w:r>
      <w:r>
        <w:rPr>
          <w:rFonts w:ascii="KaiTi" w:eastAsia="KaiTi" w:hAnsi="KaiTi" w:cs="PingFang TC" w:hint="eastAsia"/>
        </w:rPr>
        <w:t>通过离岸</w:t>
      </w:r>
      <w:r w:rsidRPr="0005582F">
        <w:rPr>
          <w:rFonts w:ascii="KaiTi" w:eastAsia="KaiTi" w:hAnsi="KaiTi" w:cs="PingFang TC" w:hint="eastAsia"/>
        </w:rPr>
        <w:t>信托</w:t>
      </w:r>
      <w:r>
        <w:rPr>
          <w:rFonts w:ascii="KaiTi" w:eastAsia="KaiTi" w:hAnsi="KaiTi" w:cs="PingFang TC" w:hint="eastAsia"/>
        </w:rPr>
        <w:t>中</w:t>
      </w:r>
      <w:r w:rsidRPr="0005582F">
        <w:rPr>
          <w:rFonts w:ascii="KaiTi" w:eastAsia="KaiTi" w:hAnsi="KaiTi" w:cs="PingFang TC" w:hint="eastAsia"/>
        </w:rPr>
        <w:t>规避所有风险</w:t>
      </w:r>
      <w:r>
        <w:rPr>
          <w:rFonts w:ascii="KaiTi" w:eastAsia="KaiTi" w:hAnsi="KaiTi" w:cs="PingFang TC" w:hint="eastAsia"/>
        </w:rPr>
        <w:t>，因为信托设计起来麻烦，操作时间复杂，成本也较高</w:t>
      </w:r>
      <w:r w:rsidRPr="0005582F">
        <w:rPr>
          <w:rFonts w:ascii="KaiTi" w:eastAsia="KaiTi" w:hAnsi="KaiTi" w:cs="PingFang TC" w:hint="eastAsia"/>
        </w:rPr>
        <w:t>。</w:t>
      </w:r>
      <w:r>
        <w:rPr>
          <w:rFonts w:ascii="KaiTi" w:eastAsia="KaiTi" w:hAnsi="KaiTi" w:cs="PingFang TC" w:hint="eastAsia"/>
        </w:rPr>
        <w:t>财富量级高，设立信托开始有必要，但是量级太高，恐怕又会过于复杂，使得信托设立起来变得不那么容易。</w:t>
      </w:r>
    </w:p>
    <w:p w14:paraId="70A5655E" w14:textId="369DC73A" w:rsidR="0005582F" w:rsidRPr="0005582F" w:rsidRDefault="0005582F" w:rsidP="0005582F">
      <w:pPr>
        <w:pStyle w:val="p1"/>
        <w:rPr>
          <w:rFonts w:ascii="KaiTi" w:eastAsia="KaiTi" w:hAnsi="KaiTi" w:cs="PingFang TC"/>
        </w:rPr>
      </w:pPr>
      <w:r w:rsidRPr="0005582F">
        <w:rPr>
          <w:rFonts w:ascii="KaiTi" w:eastAsia="KaiTi" w:hAnsi="KaiTi" w:cs="PingFang TC" w:hint="eastAsia"/>
        </w:rPr>
        <w:t>在很多普通高净值家庭里，完全可以通过一张香港保险保单，以更低的成本、更直接的方式，解决几乎所有信托要解决的问题。</w:t>
      </w:r>
    </w:p>
    <w:p w14:paraId="142EA82F" w14:textId="77777777" w:rsidR="0005582F" w:rsidRPr="0005582F" w:rsidRDefault="0005582F" w:rsidP="0005582F">
      <w:pPr>
        <w:pStyle w:val="p1"/>
        <w:rPr>
          <w:rFonts w:ascii="KaiTi" w:eastAsia="KaiTi" w:hAnsi="KaiTi" w:cs="PingFang TC"/>
        </w:rPr>
      </w:pPr>
    </w:p>
    <w:p w14:paraId="1B7C1D5C" w14:textId="77777777" w:rsidR="0005582F" w:rsidRDefault="0005582F" w:rsidP="0005582F">
      <w:pPr>
        <w:pStyle w:val="p1"/>
        <w:rPr>
          <w:rFonts w:ascii="KaiTi" w:eastAsia="KaiTi" w:hAnsi="KaiTi" w:cs="PingFang TC"/>
        </w:rPr>
      </w:pPr>
      <w:r w:rsidRPr="0005582F">
        <w:rPr>
          <w:rFonts w:ascii="KaiTi" w:eastAsia="KaiTi" w:hAnsi="KaiTi" w:cs="PingFang TC" w:hint="eastAsia"/>
        </w:rPr>
        <w:lastRenderedPageBreak/>
        <w:t>保单的受益路径清晰、法律属性明晰、管理成本低、跨法域可操作性好……很多信托设计的难点，在保单工具里早就被结构化、简化了。</w:t>
      </w:r>
    </w:p>
    <w:p w14:paraId="037951E6" w14:textId="41D4CAFD" w:rsidR="0005582F" w:rsidRPr="0005582F" w:rsidRDefault="0005582F" w:rsidP="0005582F">
      <w:pPr>
        <w:pStyle w:val="p1"/>
        <w:rPr>
          <w:rFonts w:ascii="KaiTi" w:eastAsia="KaiTi" w:hAnsi="KaiTi" w:cs="PingFang TC"/>
        </w:rPr>
      </w:pPr>
      <w:r>
        <w:rPr>
          <w:rFonts w:ascii="KaiTi" w:eastAsia="KaiTi" w:hAnsi="KaiTi" w:cs="PingFang TC" w:hint="eastAsia"/>
        </w:rPr>
        <w:t>特别是现在的香港储蓄分红险，可以通过持有人、受托人和受益人的灵活设置，实现所有权、控制权和受益权的分离。</w:t>
      </w:r>
    </w:p>
    <w:p w14:paraId="467AE25F" w14:textId="0F1D6B03" w:rsidR="000572D6" w:rsidRPr="00436C20" w:rsidRDefault="0005582F" w:rsidP="0005582F">
      <w:pPr>
        <w:pStyle w:val="p1"/>
        <w:rPr>
          <w:rFonts w:ascii="KaiTi" w:eastAsia="KaiTi" w:hAnsi="KaiTi" w:cs="PingFang TC"/>
        </w:rPr>
      </w:pPr>
      <w:r w:rsidRPr="0005582F">
        <w:rPr>
          <w:rFonts w:ascii="KaiTi" w:eastAsia="KaiTi" w:hAnsi="KaiTi" w:cs="PingFang TC" w:hint="eastAsia"/>
        </w:rPr>
        <w:t>也就是说，与其花费</w:t>
      </w:r>
      <w:r>
        <w:rPr>
          <w:rFonts w:ascii="KaiTi" w:eastAsia="KaiTi" w:hAnsi="KaiTi" w:cs="PingFang TC" w:hint="eastAsia"/>
        </w:rPr>
        <w:t>百万成本</w:t>
      </w:r>
      <w:r w:rsidRPr="0005582F">
        <w:rPr>
          <w:rFonts w:ascii="KaiTi" w:eastAsia="KaiTi" w:hAnsi="KaiTi" w:cs="PingFang TC" w:hint="eastAsia"/>
        </w:rPr>
        <w:t>投入复杂信托结构、背负法律、控制权、审计、争议风险，不如用一张精心设计的香港保单，快速搭建一个能真正“传给下一代”的财富桥梁。</w:t>
      </w:r>
      <w:r w:rsidR="000572D6" w:rsidRPr="00436C20">
        <w:rPr>
          <w:rFonts w:ascii="KaiTi" w:eastAsia="KaiTi" w:hAnsi="KaiTi" w:cs="PingFang TC" w:hint="eastAsia"/>
        </w:rPr>
        <w:t>这就是香港保险的独特价值</w:t>
      </w:r>
      <w:r w:rsidR="000572D6" w:rsidRPr="00436C20">
        <w:rPr>
          <w:rFonts w:ascii="KaiTi" w:eastAsia="KaiTi" w:hAnsi="KaiTi"/>
        </w:rPr>
        <w:t>——</w:t>
      </w:r>
      <w:r w:rsidR="004545E5" w:rsidRPr="00436C20">
        <w:rPr>
          <w:rFonts w:ascii="KaiTi" w:eastAsia="KaiTi" w:hAnsi="KaiTi" w:cs="PingFang TC" w:hint="eastAsia"/>
        </w:rPr>
        <w:t>低成本高效率实现</w:t>
      </w:r>
      <w:r w:rsidR="00375CC7" w:rsidRPr="00436C20">
        <w:rPr>
          <w:rFonts w:ascii="KaiTi" w:eastAsia="KaiTi" w:hAnsi="KaiTi" w:cs="PingFang TC" w:hint="eastAsia"/>
        </w:rPr>
        <w:t>“</w:t>
      </w:r>
      <w:r w:rsidR="004545E5" w:rsidRPr="00436C20">
        <w:rPr>
          <w:rFonts w:ascii="KaiTi" w:eastAsia="KaiTi" w:hAnsi="KaiTi" w:cs="PingFang TC" w:hint="eastAsia"/>
        </w:rPr>
        <w:t>信托</w:t>
      </w:r>
      <w:r w:rsidR="00375CC7" w:rsidRPr="00436C20">
        <w:rPr>
          <w:rFonts w:ascii="KaiTi" w:eastAsia="KaiTi" w:hAnsi="KaiTi" w:cs="PingFang TC" w:hint="eastAsia"/>
        </w:rPr>
        <w:t>”</w:t>
      </w:r>
      <w:r w:rsidR="004545E5" w:rsidRPr="00436C20">
        <w:rPr>
          <w:rFonts w:ascii="KaiTi" w:eastAsia="KaiTi" w:hAnsi="KaiTi" w:cs="PingFang TC" w:hint="eastAsia"/>
        </w:rPr>
        <w:t>功能，</w:t>
      </w:r>
      <w:r w:rsidR="000572D6" w:rsidRPr="00436C20">
        <w:rPr>
          <w:rFonts w:ascii="KaiTi" w:eastAsia="KaiTi" w:hAnsi="KaiTi" w:cs="PingFang TC" w:hint="eastAsia"/>
        </w:rPr>
        <w:t>工具简单，功能清晰，精准地完成使命。</w:t>
      </w:r>
    </w:p>
    <w:p w14:paraId="331BAE83" w14:textId="77777777" w:rsidR="004545E5" w:rsidRPr="00436C20" w:rsidRDefault="004545E5" w:rsidP="000572D6">
      <w:pPr>
        <w:pStyle w:val="p1"/>
        <w:rPr>
          <w:rFonts w:ascii="KaiTi" w:eastAsia="KaiTi" w:hAnsi="KaiTi" w:cs="PingFang TC"/>
        </w:rPr>
      </w:pPr>
    </w:p>
    <w:p w14:paraId="306B6455" w14:textId="7F905722" w:rsidR="004545E5" w:rsidRPr="00436C20" w:rsidRDefault="004545E5" w:rsidP="004545E5">
      <w:pPr>
        <w:spacing w:before="100" w:beforeAutospacing="1" w:after="100" w:afterAutospacing="1" w:line="240" w:lineRule="auto"/>
        <w:outlineLvl w:val="1"/>
        <w:rPr>
          <w:rFonts w:ascii="KaiTi" w:eastAsia="KaiTi" w:hAnsi="KaiTi" w:cs="Times New Roman"/>
          <w:b/>
          <w:bCs/>
          <w:kern w:val="0"/>
          <w:sz w:val="36"/>
          <w:szCs w:val="36"/>
          <w14:ligatures w14:val="none"/>
        </w:rPr>
      </w:pPr>
      <w:r w:rsidRPr="00436C20">
        <w:rPr>
          <w:rFonts w:ascii="KaiTi" w:eastAsia="KaiTi" w:hAnsi="KaiTi" w:cs="PingFang TC" w:hint="eastAsia"/>
          <w:b/>
          <w:bCs/>
          <w:kern w:val="0"/>
          <w:sz w:val="36"/>
          <w:szCs w:val="36"/>
          <w14:ligatures w14:val="none"/>
        </w:rPr>
        <w:t>市场观察</w:t>
      </w:r>
    </w:p>
    <w:p w14:paraId="22F4E1BB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27847609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Times New Roman"/>
          <w:b/>
          <w:bCs/>
          <w:kern w:val="0"/>
          <w14:ligatures w14:val="none"/>
        </w:rPr>
        <w:t xml:space="preserve">1. </w:t>
      </w:r>
      <w:r w:rsidRPr="00436C20">
        <w:rPr>
          <w:rFonts w:ascii="KaiTi" w:eastAsia="KaiTi" w:hAnsi="KaiTi" w:cs="PingFang TC" w:hint="eastAsia"/>
          <w:b/>
          <w:bCs/>
          <w:kern w:val="0"/>
          <w14:ligatures w14:val="none"/>
        </w:rPr>
        <w:t>美联储降息：一边宽松，一边防通</w:t>
      </w:r>
      <w:r w:rsidRPr="00436C20">
        <w:rPr>
          <w:rFonts w:ascii="KaiTi" w:eastAsia="KaiTi" w:hAnsi="KaiTi" w:cs="PingFang TC"/>
          <w:b/>
          <w:bCs/>
          <w:kern w:val="0"/>
          <w14:ligatures w14:val="none"/>
        </w:rPr>
        <w:t>胀</w:t>
      </w:r>
    </w:p>
    <w:p w14:paraId="1FB10C77" w14:textId="7E8E946B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Times New Roman"/>
          <w:kern w:val="0"/>
          <w14:ligatures w14:val="none"/>
        </w:rPr>
        <w:t>9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月，美联储在就业</w:t>
      </w:r>
      <w:r w:rsidR="00375CC7" w:rsidRPr="00436C20">
        <w:rPr>
          <w:rFonts w:ascii="KaiTi" w:eastAsia="KaiTi" w:hAnsi="KaiTi" w:cs="PingFang TC" w:hint="eastAsia"/>
          <w:kern w:val="0"/>
          <w14:ligatures w14:val="none"/>
        </w:rPr>
        <w:t>数据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压力下选择降息。市场原本预期已久，但从措辞来看，央行依然带着一丝</w:t>
      </w:r>
      <w:r w:rsidRPr="00436C20">
        <w:rPr>
          <w:rFonts w:ascii="KaiTi" w:eastAsia="KaiTi" w:hAnsi="KaiTi" w:cs="Times New Roman"/>
          <w:kern w:val="0"/>
          <w14:ligatures w14:val="none"/>
        </w:rPr>
        <w:t>“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鹰派</w:t>
      </w:r>
      <w:r w:rsidRPr="00436C20">
        <w:rPr>
          <w:rFonts w:ascii="KaiTi" w:eastAsia="KaiTi" w:hAnsi="KaiTi" w:cs="Times New Roman"/>
          <w:kern w:val="0"/>
          <w14:ligatures w14:val="none"/>
        </w:rPr>
        <w:t>”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语气。简单说，就是在释放宽松的同时，又怕市场过度乐观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0C5302A4" w14:textId="6366B3E4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这也体现了美联储一贯的</w:t>
      </w:r>
      <w:r w:rsidRPr="00436C20">
        <w:rPr>
          <w:rFonts w:ascii="KaiTi" w:eastAsia="KaiTi" w:hAnsi="KaiTi" w:cs="Times New Roman"/>
          <w:kern w:val="0"/>
          <w14:ligatures w14:val="none"/>
        </w:rPr>
        <w:t>“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沟通艺术</w:t>
      </w:r>
      <w:r w:rsidRPr="00436C20">
        <w:rPr>
          <w:rFonts w:ascii="KaiTi" w:eastAsia="KaiTi" w:hAnsi="KaiTi" w:cs="Times New Roman"/>
          <w:kern w:val="0"/>
          <w14:ligatures w14:val="none"/>
        </w:rPr>
        <w:t>”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：边走边看，留有余地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45CB8B7A" w14:textId="77777777" w:rsidR="00375CC7" w:rsidRPr="00436C20" w:rsidRDefault="00375CC7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56E7A1C7" w14:textId="77777777" w:rsidR="00375CC7" w:rsidRPr="00436C20" w:rsidRDefault="00375CC7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67990493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Times New Roman"/>
          <w:b/>
          <w:bCs/>
          <w:kern w:val="0"/>
          <w14:ligatures w14:val="none"/>
        </w:rPr>
        <w:t>2. AI</w:t>
      </w:r>
      <w:r w:rsidRPr="00436C20">
        <w:rPr>
          <w:rFonts w:ascii="KaiTi" w:eastAsia="KaiTi" w:hAnsi="KaiTi" w:cs="PingFang TC" w:hint="eastAsia"/>
          <w:b/>
          <w:bCs/>
          <w:kern w:val="0"/>
          <w14:ligatures w14:val="none"/>
        </w:rPr>
        <w:t>资本军备竞赛：钱在绕圈子，盈利还未落</w:t>
      </w:r>
      <w:r w:rsidRPr="00436C20">
        <w:rPr>
          <w:rFonts w:ascii="KaiTi" w:eastAsia="KaiTi" w:hAnsi="KaiTi" w:cs="PingFang TC"/>
          <w:b/>
          <w:bCs/>
          <w:kern w:val="0"/>
          <w14:ligatures w14:val="none"/>
        </w:rPr>
        <w:t>地</w:t>
      </w:r>
    </w:p>
    <w:p w14:paraId="745161AD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最近的焦点依旧是</w:t>
      </w:r>
      <w:r w:rsidRPr="00436C20">
        <w:rPr>
          <w:rFonts w:ascii="KaiTi" w:eastAsia="KaiTi" w:hAnsi="KaiTi" w:cs="Times New Roman"/>
          <w:kern w:val="0"/>
          <w14:ligatures w14:val="none"/>
        </w:rPr>
        <w:t>AI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711D27B9" w14:textId="77777777" w:rsidR="004545E5" w:rsidRPr="00457656" w:rsidRDefault="004545E5" w:rsidP="00454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有媒体报道，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OpenAI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与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Oracle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签署了一份未来五年、总额约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3000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亿美元的算力采购协议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7D56442F" w14:textId="77777777" w:rsidR="00457656" w:rsidRPr="00457656" w:rsidRDefault="00457656" w:rsidP="00457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457656">
        <w:rPr>
          <w:rFonts w:ascii="KaiTi" w:eastAsia="KaiTi" w:hAnsi="KaiTi" w:cs="PingFang TC"/>
          <w:kern w:val="0"/>
          <w14:ligatures w14:val="none"/>
        </w:rPr>
        <w:t xml:space="preserve">Oracle </w:t>
      </w:r>
      <w:r w:rsidRPr="00457656">
        <w:rPr>
          <w:rFonts w:ascii="KaiTi" w:eastAsia="KaiTi" w:hAnsi="KaiTi" w:cs="PingFang TC" w:hint="eastAsia"/>
          <w:kern w:val="0"/>
          <w14:ligatures w14:val="none"/>
        </w:rPr>
        <w:t>将为</w:t>
      </w:r>
      <w:r w:rsidRPr="00457656">
        <w:rPr>
          <w:rFonts w:ascii="KaiTi" w:eastAsia="KaiTi" w:hAnsi="KaiTi" w:cs="PingFang TC"/>
          <w:kern w:val="0"/>
          <w14:ligatures w14:val="none"/>
        </w:rPr>
        <w:t xml:space="preserve"> OpenAI </w:t>
      </w:r>
      <w:r w:rsidRPr="00457656">
        <w:rPr>
          <w:rFonts w:ascii="KaiTi" w:eastAsia="KaiTi" w:hAnsi="KaiTi" w:cs="PingFang TC" w:hint="eastAsia"/>
          <w:kern w:val="0"/>
          <w14:ligatures w14:val="none"/>
        </w:rPr>
        <w:t>的美国数据中心采购约</w:t>
      </w:r>
      <w:r w:rsidRPr="00457656">
        <w:rPr>
          <w:rFonts w:ascii="KaiTi" w:eastAsia="KaiTi" w:hAnsi="KaiTi" w:cs="PingFang TC"/>
          <w:kern w:val="0"/>
          <w14:ligatures w14:val="none"/>
        </w:rPr>
        <w:t xml:space="preserve"> 400,000 </w:t>
      </w:r>
      <w:r w:rsidRPr="00457656">
        <w:rPr>
          <w:rFonts w:ascii="KaiTi" w:eastAsia="KaiTi" w:hAnsi="KaiTi" w:cs="PingFang TC" w:hint="eastAsia"/>
          <w:kern w:val="0"/>
          <w14:ligatures w14:val="none"/>
        </w:rPr>
        <w:t>张</w:t>
      </w:r>
      <w:r w:rsidRPr="00457656">
        <w:rPr>
          <w:rFonts w:ascii="KaiTi" w:eastAsia="KaiTi" w:hAnsi="KaiTi" w:cs="PingFang TC"/>
          <w:kern w:val="0"/>
          <w14:ligatures w14:val="none"/>
        </w:rPr>
        <w:t xml:space="preserve"> Nvidia GB200 </w:t>
      </w:r>
      <w:r w:rsidRPr="00457656">
        <w:rPr>
          <w:rFonts w:ascii="KaiTi" w:eastAsia="KaiTi" w:hAnsi="KaiTi" w:cs="PingFang TC" w:hint="eastAsia"/>
          <w:kern w:val="0"/>
          <w14:ligatures w14:val="none"/>
        </w:rPr>
        <w:t>芯片、金额约</w:t>
      </w:r>
      <w:r w:rsidRPr="00457656">
        <w:rPr>
          <w:rFonts w:ascii="KaiTi" w:eastAsia="KaiTi" w:hAnsi="KaiTi" w:cs="PingFang TC"/>
          <w:kern w:val="0"/>
          <w14:ligatures w14:val="none"/>
        </w:rPr>
        <w:t xml:space="preserve"> 400 </w:t>
      </w:r>
      <w:r w:rsidRPr="00457656">
        <w:rPr>
          <w:rFonts w:ascii="KaiTi" w:eastAsia="KaiTi" w:hAnsi="KaiTi" w:cs="PingFang TC" w:hint="eastAsia"/>
          <w:kern w:val="0"/>
          <w14:ligatures w14:val="none"/>
        </w:rPr>
        <w:t>亿美元</w:t>
      </w:r>
    </w:p>
    <w:p w14:paraId="5468DFDC" w14:textId="77777777" w:rsidR="00457656" w:rsidRPr="00436C20" w:rsidRDefault="00457656" w:rsidP="00454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0689EA68" w14:textId="77777777" w:rsidR="004545E5" w:rsidRPr="00436C20" w:rsidRDefault="004545E5" w:rsidP="00454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同时，也有传闻称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Nvidia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计划向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OpenAI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投资高达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1000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亿美元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73F2578B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33155F71" w14:textId="77777777" w:rsidR="004545E5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lastRenderedPageBreak/>
        <w:t>市场上甚至把这形容为</w:t>
      </w:r>
      <w:r w:rsidRPr="00436C20">
        <w:rPr>
          <w:rFonts w:ascii="KaiTi" w:eastAsia="KaiTi" w:hAnsi="KaiTi" w:cs="Times New Roman"/>
          <w:kern w:val="0"/>
          <w14:ligatures w14:val="none"/>
        </w:rPr>
        <w:t>“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资金三角循环</w:t>
      </w:r>
      <w:r w:rsidRPr="00436C20">
        <w:rPr>
          <w:rFonts w:ascii="KaiTi" w:eastAsia="KaiTi" w:hAnsi="KaiTi" w:cs="Times New Roman"/>
          <w:kern w:val="0"/>
          <w14:ligatures w14:val="none"/>
        </w:rPr>
        <w:t>”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：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Nvidia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投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OpenAI → OpenAI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买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Oracle → Oracle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再采购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Nvidia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。听起来像是左脚踩右脚往上蹦，但真正清晰的盈利场景，目前仍没有完全跑出来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5590B647" w14:textId="6DA45290" w:rsidR="000779A5" w:rsidRPr="00436C20" w:rsidRDefault="000779A5" w:rsidP="004545E5">
      <w:pPr>
        <w:spacing w:before="100" w:beforeAutospacing="1" w:after="100" w:afterAutospacing="1" w:line="240" w:lineRule="auto"/>
        <w:rPr>
          <w:rFonts w:ascii="KaiTi" w:eastAsia="KaiTi" w:hAnsi="KaiTi" w:cs="Times New Roman" w:hint="eastAsia"/>
          <w:kern w:val="0"/>
          <w14:ligatures w14:val="none"/>
        </w:rPr>
      </w:pPr>
      <w:r>
        <w:rPr>
          <w:rFonts w:ascii="KaiTi" w:eastAsia="KaiTi" w:hAnsi="KaiTi" w:cs="PingFang TC"/>
          <w:b/>
          <w:bCs/>
          <w:noProof/>
          <w:kern w:val="0"/>
        </w:rPr>
        <w:drawing>
          <wp:inline distT="0" distB="0" distL="0" distR="0" wp14:anchorId="5400487C" wp14:editId="29E9A5B9">
            <wp:extent cx="5257800" cy="5575300"/>
            <wp:effectExtent l="0" t="0" r="0" b="0"/>
            <wp:docPr id="19940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19234" name="Picture 19940192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33C3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这类预期一旦受挫，很容易触发短期的调整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20FDA525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3DB54619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Times New Roman"/>
          <w:b/>
          <w:bCs/>
          <w:kern w:val="0"/>
          <w14:ligatures w14:val="none"/>
        </w:rPr>
        <w:t xml:space="preserve">3. </w:t>
      </w:r>
      <w:r w:rsidRPr="00436C20">
        <w:rPr>
          <w:rFonts w:ascii="KaiTi" w:eastAsia="KaiTi" w:hAnsi="KaiTi" w:cs="PingFang TC" w:hint="eastAsia"/>
          <w:b/>
          <w:bCs/>
          <w:kern w:val="0"/>
          <w14:ligatures w14:val="none"/>
        </w:rPr>
        <w:t>美股微观层面：效率高，波动也</w:t>
      </w:r>
      <w:r w:rsidRPr="00436C20">
        <w:rPr>
          <w:rFonts w:ascii="KaiTi" w:eastAsia="KaiTi" w:hAnsi="KaiTi" w:cs="PingFang TC"/>
          <w:b/>
          <w:bCs/>
          <w:kern w:val="0"/>
          <w14:ligatures w14:val="none"/>
        </w:rPr>
        <w:t>快</w:t>
      </w:r>
    </w:p>
    <w:p w14:paraId="249F6719" w14:textId="77777777" w:rsidR="00BE7A70" w:rsidRPr="00436C20" w:rsidRDefault="00BE7A70" w:rsidP="00BE7A70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436C20">
        <w:rPr>
          <w:rFonts w:ascii="KaiTi" w:eastAsia="KaiTi" w:hAnsi="KaiTi" w:cs="PingFang TC"/>
          <w:b/>
          <w:bCs/>
          <w:kern w:val="0"/>
          <w14:ligatures w14:val="none"/>
        </w:rPr>
        <w:t>美股的上涨依旧与盈利强相关</w:t>
      </w:r>
      <w:r w:rsidRPr="00436C20">
        <w:rPr>
          <w:rFonts w:ascii="KaiTi" w:eastAsia="KaiTi" w:hAnsi="KaiTi" w:cs="PingFang TC"/>
          <w:kern w:val="0"/>
          <w14:ligatures w14:val="none"/>
        </w:rPr>
        <w:t>。虽然部分板块的估值已经超过历史平均水平，但只要盈利能够持续增长，股价就有支撑。</w:t>
      </w:r>
    </w:p>
    <w:p w14:paraId="1242FFA7" w14:textId="199C55A8" w:rsidR="00BE7A70" w:rsidRPr="00436C20" w:rsidRDefault="00BE7A70" w:rsidP="00BE7A70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436C20">
        <w:rPr>
          <w:rFonts w:ascii="KaiTi" w:eastAsia="KaiTi" w:hAnsi="KaiTi" w:cs="PingFang TC"/>
          <w:kern w:val="0"/>
          <w14:ligatures w14:val="none"/>
        </w:rPr>
        <w:lastRenderedPageBreak/>
        <w:t>若结合盈利增长来看，美股整体的估值并没有想象中那么不可接受。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但市场情绪的变化带来的估值变化也很</w:t>
      </w:r>
      <w:r w:rsidR="002A085D" w:rsidRPr="00436C20">
        <w:rPr>
          <w:rFonts w:ascii="KaiTi" w:eastAsia="KaiTi" w:hAnsi="KaiTi" w:cs="PingFang TC" w:hint="eastAsia"/>
          <w:kern w:val="0"/>
          <w14:ligatures w14:val="none"/>
        </w:rPr>
        <w:t>难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讲，同样的公司，在市场情绪转向时，估值可能会低到难以置信。</w:t>
      </w:r>
      <w:r w:rsidR="00375CC7" w:rsidRPr="00436C20">
        <w:rPr>
          <w:rFonts w:ascii="KaiTi" w:eastAsia="KaiTi" w:hAnsi="KaiTi" w:cs="PingFang TC" w:hint="eastAsia"/>
          <w:kern w:val="0"/>
          <w14:ligatures w14:val="none"/>
        </w:rPr>
        <w:t>这个可以参考中概前两年的惨状。</w:t>
      </w:r>
    </w:p>
    <w:p w14:paraId="62D5972F" w14:textId="3715DB7D" w:rsidR="00375CC7" w:rsidRPr="00436C20" w:rsidRDefault="00375CC7" w:rsidP="00BE7A70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436C20">
        <w:rPr>
          <w:rFonts w:ascii="KaiTi" w:eastAsia="KaiTi" w:hAnsi="KaiTi" w:cs="PingFang TC"/>
          <w:noProof/>
          <w:kern w:val="0"/>
          <w14:ligatures w14:val="none"/>
        </w:rPr>
        <w:drawing>
          <wp:inline distT="0" distB="0" distL="0" distR="0" wp14:anchorId="5C921616" wp14:editId="437AA635">
            <wp:extent cx="5943600" cy="4185920"/>
            <wp:effectExtent l="0" t="0" r="0" b="5080"/>
            <wp:docPr id="199927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79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53DA" w14:textId="3CFAD481" w:rsidR="00375CC7" w:rsidRPr="00436C20" w:rsidRDefault="00375CC7" w:rsidP="00BE7A7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注：市场温度计，来自晨星</w:t>
      </w:r>
    </w:p>
    <w:p w14:paraId="0A969366" w14:textId="7A7FF8E5" w:rsidR="002A085D" w:rsidRPr="00436C20" w:rsidRDefault="002A085D" w:rsidP="004545E5">
      <w:pPr>
        <w:spacing w:before="100" w:beforeAutospacing="1" w:after="100" w:afterAutospacing="1" w:line="240" w:lineRule="auto"/>
        <w:rPr>
          <w:rFonts w:ascii="KaiTi" w:eastAsia="KaiTi" w:hAnsi="KaiTi" w:cs="PingFang TC"/>
          <w:b/>
          <w:bCs/>
          <w:kern w:val="0"/>
          <w14:ligatures w14:val="none"/>
        </w:rPr>
      </w:pPr>
      <w:r w:rsidRPr="00436C20">
        <w:rPr>
          <w:rFonts w:ascii="KaiTi" w:eastAsia="KaiTi" w:hAnsi="KaiTi" w:cs="PingFang TC" w:hint="eastAsia"/>
          <w:b/>
          <w:bCs/>
          <w:kern w:val="0"/>
          <w14:ligatures w14:val="none"/>
        </w:rPr>
        <w:t>“在最近一次公开讲话中，鲍威尔提到，按多种指标来看，美股当前 股价已偏高（fairly highly valued）。不过他也强调，这并不一定意味着立刻会有系统性风险爆发。”</w:t>
      </w:r>
    </w:p>
    <w:p w14:paraId="4529166C" w14:textId="4E59FF4F" w:rsidR="002A085D" w:rsidRPr="00436C20" w:rsidRDefault="002A085D" w:rsidP="004545E5">
      <w:pPr>
        <w:spacing w:before="100" w:beforeAutospacing="1" w:after="100" w:afterAutospacing="1" w:line="240" w:lineRule="auto"/>
        <w:rPr>
          <w:rFonts w:ascii="KaiTi" w:eastAsia="KaiTi" w:hAnsi="KaiTi" w:cs="PingFang TC"/>
          <w:b/>
          <w:bCs/>
          <w:kern w:val="0"/>
          <w14:ligatures w14:val="none"/>
        </w:rPr>
      </w:pPr>
    </w:p>
    <w:p w14:paraId="6E4EF5C3" w14:textId="4DA16EEB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b/>
          <w:bCs/>
          <w:kern w:val="0"/>
          <w14:ligatures w14:val="none"/>
        </w:rPr>
        <w:t>美股市场的效率很高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，该涨的时候能迅速反映在价格里，该跌的时候也不会手软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66371B05" w14:textId="77777777" w:rsidR="004545E5" w:rsidRPr="00436C20" w:rsidRDefault="004545E5" w:rsidP="0045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芯片软件公司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</w:t>
      </w:r>
      <w:r w:rsidRPr="00436C20">
        <w:rPr>
          <w:rFonts w:ascii="KaiTi" w:eastAsia="KaiTi" w:hAnsi="KaiTi" w:cs="Times New Roman"/>
          <w:b/>
          <w:bCs/>
          <w:kern w:val="0"/>
          <w14:ligatures w14:val="none"/>
        </w:rPr>
        <w:t>Synopsys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，因业绩不及预期，股价单日下跌约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35%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，创下历史最大跌幅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6B147F48" w14:textId="649C0886" w:rsidR="004545E5" w:rsidRPr="00436C20" w:rsidRDefault="004545E5" w:rsidP="0045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投资分析服务商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</w:t>
      </w:r>
      <w:r w:rsidRPr="00436C20">
        <w:rPr>
          <w:rFonts w:ascii="KaiTi" w:eastAsia="KaiTi" w:hAnsi="KaiTi" w:cs="Times New Roman"/>
          <w:b/>
          <w:bCs/>
          <w:kern w:val="0"/>
          <w14:ligatures w14:val="none"/>
        </w:rPr>
        <w:t>FactSet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，同样因利润承压，股价年内暴跌约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</w:t>
      </w:r>
      <w:r w:rsidRPr="00436C20">
        <w:rPr>
          <w:rFonts w:ascii="KaiTi" w:eastAsia="KaiTi" w:hAnsi="KaiTi" w:cs="Times New Roman" w:hint="eastAsia"/>
          <w:kern w:val="0"/>
          <w14:ligatures w14:val="none"/>
        </w:rPr>
        <w:t>4</w:t>
      </w:r>
      <w:r w:rsidRPr="00436C20">
        <w:rPr>
          <w:rFonts w:ascii="KaiTi" w:eastAsia="KaiTi" w:hAnsi="KaiTi" w:cs="Times New Roman"/>
          <w:kern w:val="0"/>
          <w14:ligatures w14:val="none"/>
        </w:rPr>
        <w:t>0%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0C63DFA6" w14:textId="5A74C41E" w:rsidR="004545E5" w:rsidRPr="00436C20" w:rsidRDefault="004545E5" w:rsidP="0045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传统消费品板块则持续低迷，部分老牌龙头的市盈率已经跌到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10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倍左右，股息率甚至超过了</w:t>
      </w:r>
      <w:r w:rsidRPr="00436C20">
        <w:rPr>
          <w:rFonts w:ascii="KaiTi" w:eastAsia="KaiTi" w:hAnsi="KaiTi" w:cs="Times New Roman"/>
          <w:kern w:val="0"/>
          <w14:ligatures w14:val="none"/>
        </w:rPr>
        <w:t xml:space="preserve"> 10 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年期美债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6E87ABC2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65D5241D" w14:textId="626C948C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436C20">
        <w:rPr>
          <w:rFonts w:ascii="KaiTi" w:eastAsia="KaiTi" w:hAnsi="KaiTi" w:cs="PingFang TC" w:hint="eastAsia"/>
          <w:kern w:val="0"/>
          <w14:ligatures w14:val="none"/>
        </w:rPr>
        <w:t>可以说，当下的美股一边在讲</w:t>
      </w:r>
      <w:r w:rsidRPr="00436C20">
        <w:rPr>
          <w:rFonts w:ascii="KaiTi" w:eastAsia="KaiTi" w:hAnsi="KaiTi" w:cs="Times New Roman"/>
          <w:kern w:val="0"/>
          <w14:ligatures w14:val="none"/>
        </w:rPr>
        <w:t>AI</w:t>
      </w:r>
      <w:r w:rsidRPr="00436C20">
        <w:rPr>
          <w:rFonts w:ascii="KaiTi" w:eastAsia="KaiTi" w:hAnsi="KaiTi" w:cs="PingFang TC" w:hint="eastAsia"/>
          <w:kern w:val="0"/>
          <w14:ligatures w14:val="none"/>
        </w:rPr>
        <w:t>的高成长故事，一边也在</w:t>
      </w:r>
      <w:r w:rsidR="00BE7A70" w:rsidRPr="00436C20">
        <w:rPr>
          <w:rFonts w:ascii="KaiTi" w:eastAsia="KaiTi" w:hAnsi="KaiTi" w:cs="PingFang TC" w:hint="eastAsia"/>
          <w:kern w:val="0"/>
          <w14:ligatures w14:val="none"/>
        </w:rPr>
        <w:t>狠狠地削那些盈利落后的</w:t>
      </w:r>
      <w:r w:rsidR="00375CC7" w:rsidRPr="00436C20">
        <w:rPr>
          <w:rFonts w:ascii="KaiTi" w:eastAsia="KaiTi" w:hAnsi="KaiTi" w:cs="PingFang TC" w:hint="eastAsia"/>
          <w:kern w:val="0"/>
          <w14:ligatures w14:val="none"/>
        </w:rPr>
        <w:t>公司和</w:t>
      </w:r>
      <w:r w:rsidR="00BE7A70" w:rsidRPr="00436C20">
        <w:rPr>
          <w:rFonts w:ascii="KaiTi" w:eastAsia="KaiTi" w:hAnsi="KaiTi" w:cs="PingFang TC" w:hint="eastAsia"/>
          <w:kern w:val="0"/>
          <w14:ligatures w14:val="none"/>
        </w:rPr>
        <w:t>板块</w:t>
      </w:r>
      <w:r w:rsidRPr="00436C20">
        <w:rPr>
          <w:rFonts w:ascii="KaiTi" w:eastAsia="KaiTi" w:hAnsi="KaiTi" w:cs="PingFang TC"/>
          <w:kern w:val="0"/>
          <w14:ligatures w14:val="none"/>
        </w:rPr>
        <w:t>。</w:t>
      </w:r>
    </w:p>
    <w:p w14:paraId="238687A7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CD7694B" w14:textId="77777777" w:rsidR="004545E5" w:rsidRPr="00436C20" w:rsidRDefault="00A31813" w:rsidP="004545E5">
      <w:pPr>
        <w:spacing w:after="0" w:line="240" w:lineRule="auto"/>
        <w:rPr>
          <w:rFonts w:ascii="KaiTi" w:eastAsia="KaiTi" w:hAnsi="KaiTi" w:cs="Times New Roman"/>
          <w:kern w:val="0"/>
          <w14:ligatures w14:val="none"/>
        </w:rPr>
      </w:pPr>
      <w:r>
        <w:rPr>
          <w:rFonts w:ascii="KaiTi" w:eastAsia="KaiTi" w:hAnsi="KaiTi" w:cs="Times New Roman"/>
          <w:noProof/>
          <w:kern w:val="0"/>
        </w:rPr>
        <w:pict w14:anchorId="4323D4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44B348" w14:textId="1FEF9061" w:rsidR="00547239" w:rsidRPr="00547239" w:rsidRDefault="00547239" w:rsidP="00547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7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Wonder Insight</w:t>
      </w:r>
      <w:r w:rsidRPr="00547239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：在风浪中看到的三条底线法</w:t>
      </w:r>
      <w:r w:rsidRPr="00547239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则</w:t>
      </w:r>
    </w:p>
    <w:p w14:paraId="49E62EF8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1DAE2477" w14:textId="77777777" w:rsidR="00547239" w:rsidRPr="00547239" w:rsidRDefault="00547239" w:rsidP="00547239">
      <w:p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kern w:val="0"/>
          <w14:ligatures w14:val="none"/>
        </w:rPr>
      </w:pPr>
      <w:r w:rsidRPr="00547239">
        <w:rPr>
          <w:rFonts w:ascii="KaiTi" w:eastAsia="KaiTi" w:hAnsi="KaiTi" w:cs="Times New Roman"/>
          <w:b/>
          <w:bCs/>
          <w:kern w:val="0"/>
          <w14:ligatures w14:val="none"/>
        </w:rPr>
        <w:t>Insight 1：越是越坚定的逻辑，越可能已被价格预支</w:t>
      </w:r>
    </w:p>
    <w:p w14:paraId="3CB9B7D5" w14:textId="77777777" w:rsidR="00547239" w:rsidRPr="00547239" w:rsidRDefault="00547239" w:rsidP="00547239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47239">
        <w:rPr>
          <w:rFonts w:ascii="KaiTi" w:eastAsia="KaiTi" w:hAnsi="KaiTi" w:cs="Times New Roman"/>
          <w:kern w:val="0"/>
          <w14:ligatures w14:val="none"/>
        </w:rPr>
        <w:t>市场是高度有效的。降息、利好、科技风口，这些因素往往在消息落地之前就已计入价格。你越觉得“这是铁定要涨的机会”，往往就越可能是别人已提前买入、价值已被消化的那一方。换句话说，预测未来比我们想象的要难得多。</w:t>
      </w:r>
    </w:p>
    <w:p w14:paraId="3BCE2E9C" w14:textId="77777777" w:rsidR="00547239" w:rsidRPr="00547239" w:rsidRDefault="00547239" w:rsidP="00547239">
      <w:p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kern w:val="0"/>
          <w14:ligatures w14:val="none"/>
        </w:rPr>
      </w:pPr>
    </w:p>
    <w:p w14:paraId="6FDEF468" w14:textId="77777777" w:rsidR="00547239" w:rsidRPr="00547239" w:rsidRDefault="00547239" w:rsidP="00547239">
      <w:p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kern w:val="0"/>
          <w14:ligatures w14:val="none"/>
        </w:rPr>
      </w:pPr>
      <w:r w:rsidRPr="00547239">
        <w:rPr>
          <w:rFonts w:ascii="KaiTi" w:eastAsia="KaiTi" w:hAnsi="KaiTi" w:cs="Times New Roman"/>
          <w:b/>
          <w:bCs/>
          <w:kern w:val="0"/>
          <w14:ligatures w14:val="none"/>
        </w:rPr>
        <w:t>Insight 2：真正的底线，是家庭的保障与现金流稳定</w:t>
      </w:r>
    </w:p>
    <w:p w14:paraId="57531C89" w14:textId="77777777" w:rsidR="00547239" w:rsidRPr="00547239" w:rsidRDefault="00547239" w:rsidP="00547239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47239">
        <w:rPr>
          <w:rFonts w:ascii="KaiTi" w:eastAsia="KaiTi" w:hAnsi="KaiTi" w:cs="Times New Roman"/>
          <w:kern w:val="0"/>
          <w14:ligatures w14:val="none"/>
        </w:rPr>
        <w:t>不论市场怎样起伏，家庭的基本“避风港”不能被撼动。没了保障和流动性，就算资产再飞上涨，也可能在某个风口被吹散。构建一个稳固的组合，就是在风浪中给自己撑起的一把伞。</w:t>
      </w:r>
    </w:p>
    <w:p w14:paraId="2A7A9D0C" w14:textId="77777777" w:rsidR="00547239" w:rsidRPr="00547239" w:rsidRDefault="00547239" w:rsidP="00547239">
      <w:p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kern w:val="0"/>
          <w14:ligatures w14:val="none"/>
        </w:rPr>
      </w:pPr>
    </w:p>
    <w:p w14:paraId="3CE790B4" w14:textId="77777777" w:rsidR="00547239" w:rsidRPr="00547239" w:rsidRDefault="00547239" w:rsidP="00547239">
      <w:p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kern w:val="0"/>
          <w14:ligatures w14:val="none"/>
        </w:rPr>
      </w:pPr>
      <w:r w:rsidRPr="00547239">
        <w:rPr>
          <w:rFonts w:ascii="KaiTi" w:eastAsia="KaiTi" w:hAnsi="KaiTi" w:cs="Times New Roman"/>
          <w:b/>
          <w:bCs/>
          <w:kern w:val="0"/>
          <w14:ligatures w14:val="none"/>
        </w:rPr>
        <w:t>Insight 3：长期投资有两条路：盯公司，或选择工具化的“保险”替代</w:t>
      </w:r>
    </w:p>
    <w:p w14:paraId="1AA71DD6" w14:textId="77777777" w:rsidR="00547239" w:rsidRPr="00547239" w:rsidRDefault="00547239" w:rsidP="00547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47239">
        <w:rPr>
          <w:rFonts w:ascii="KaiTi" w:eastAsia="KaiTi" w:hAnsi="KaiTi" w:cs="Times New Roman"/>
          <w:kern w:val="0"/>
          <w14:ligatures w14:val="none"/>
        </w:rPr>
        <w:t>若你是那种愿意投入时间、精力研究、筛选企业的投资人，就把注意力放在那些未来有实质盈利支撑的好公司上，耐心持有。</w:t>
      </w:r>
    </w:p>
    <w:p w14:paraId="1830696B" w14:textId="77777777" w:rsidR="00547239" w:rsidRPr="00547239" w:rsidRDefault="00547239" w:rsidP="00547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47239">
        <w:rPr>
          <w:rFonts w:ascii="KaiTi" w:eastAsia="KaiTi" w:hAnsi="KaiTi" w:cs="Times New Roman"/>
          <w:kern w:val="0"/>
          <w14:ligatures w14:val="none"/>
        </w:rPr>
        <w:t>若你不是那类“能沉下心盯盘”的人，也别勉强自己与市场搏杀。此时，一张设计合理的香港储蓄分红保单，就变成一个极具吸引力的“工具”：不必预测，不必频繁操作，它稳定、清晰、定向地把财富交付给下一代。</w:t>
      </w:r>
    </w:p>
    <w:p w14:paraId="29BCA1E0" w14:textId="77777777" w:rsidR="004545E5" w:rsidRDefault="004545E5" w:rsidP="000572D6">
      <w:pPr>
        <w:pStyle w:val="p1"/>
      </w:pPr>
    </w:p>
    <w:p w14:paraId="08A99727" w14:textId="77777777" w:rsidR="00690C0D" w:rsidRPr="001C3F9D" w:rsidRDefault="00690C0D" w:rsidP="00690C0D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1C3F9D">
        <w:rPr>
          <w:rFonts w:ascii="KaiTi" w:eastAsia="KaiTi" w:hAnsi="KaiTi" w:cs="PingFang TC"/>
          <w:b/>
          <w:bCs/>
          <w:kern w:val="0"/>
          <w14:ligatures w14:val="none"/>
        </w:rPr>
        <w:t>旺达财智团队</w:t>
      </w:r>
    </w:p>
    <w:p w14:paraId="6D1879AC" w14:textId="6529C990" w:rsidR="00690C0D" w:rsidRPr="001C3F9D" w:rsidRDefault="00690C0D" w:rsidP="00690C0D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1C3F9D">
        <w:rPr>
          <w:rFonts w:ascii="KaiTi" w:eastAsia="KaiTi" w:hAnsi="KaiTi" w:cs="PingFang TC"/>
          <w:kern w:val="0"/>
          <w14:ligatures w14:val="none"/>
        </w:rPr>
        <w:t>2025年</w:t>
      </w:r>
      <w:r w:rsidR="00DA3EEF">
        <w:rPr>
          <w:rFonts w:ascii="KaiTi" w:eastAsia="KaiTi" w:hAnsi="KaiTi" w:cs="PingFang TC" w:hint="eastAsia"/>
          <w:kern w:val="0"/>
          <w14:ligatures w14:val="none"/>
        </w:rPr>
        <w:t>9</w:t>
      </w:r>
      <w:r w:rsidRPr="001C3F9D">
        <w:rPr>
          <w:rFonts w:ascii="KaiTi" w:eastAsia="KaiTi" w:hAnsi="KaiTi" w:cs="PingFang TC"/>
          <w:kern w:val="0"/>
          <w14:ligatures w14:val="none"/>
        </w:rPr>
        <w:t>月</w:t>
      </w:r>
    </w:p>
    <w:p w14:paraId="5F00B8C3" w14:textId="77777777" w:rsidR="00690C0D" w:rsidRDefault="00690C0D" w:rsidP="00690C0D">
      <w:pPr>
        <w:rPr>
          <w:rFonts w:ascii="KaiTi" w:eastAsia="KaiTi" w:hAnsi="KaiTi" w:cs="PingFang TC"/>
          <w:b/>
          <w:bCs/>
          <w:color w:val="FF0000"/>
          <w:kern w:val="0"/>
          <w:sz w:val="28"/>
          <w:szCs w:val="28"/>
          <w14:ligatures w14:val="none"/>
        </w:rPr>
      </w:pPr>
    </w:p>
    <w:p w14:paraId="39BD05A7" w14:textId="77777777" w:rsidR="00690C0D" w:rsidRPr="000C1D9B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示例组合运行情况</w:t>
      </w:r>
    </w:p>
    <w:p w14:paraId="238EB854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为了能够更好地帮助大家理解和熟悉我们的长期配置思路，我们通过公司投连险平台管理了两个典型组合。两个组合都以100万美金的初始投入为例，并于</w:t>
      </w:r>
      <w:r>
        <w:rPr>
          <w:rFonts w:ascii="KaiTi" w:eastAsia="KaiTi" w:hAnsi="KaiTi" w:hint="eastAsia"/>
        </w:rPr>
        <w:t>2024年</w:t>
      </w:r>
      <w:r w:rsidRPr="000C1D9B">
        <w:rPr>
          <w:rFonts w:ascii="KaiTi" w:eastAsia="KaiTi" w:hAnsi="KaiTi" w:hint="eastAsia"/>
        </w:rPr>
        <w:t>10月24日完成建仓买入。</w:t>
      </w:r>
    </w:p>
    <w:p w14:paraId="35422E21" w14:textId="77777777" w:rsidR="00690C0D" w:rsidRPr="000E2963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组合1: 长线增长 ILI Long Term Accumulation</w:t>
      </w:r>
    </w:p>
    <w:p w14:paraId="46F089FF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其中第一个组合更关注长期的增长，通过固定收益、房地产</w:t>
      </w:r>
      <w:r>
        <w:rPr>
          <w:rFonts w:ascii="KaiTi" w:eastAsia="KaiTi" w:hAnsi="KaiTi" w:hint="eastAsia"/>
        </w:rPr>
        <w:t>信托基金</w:t>
      </w:r>
      <w:r w:rsidRPr="000C1D9B">
        <w:rPr>
          <w:rFonts w:ascii="KaiTi" w:eastAsia="KaiTi" w:hAnsi="KaiTi" w:hint="eastAsia"/>
        </w:rPr>
        <w:t>和优质股票的组合来实现，他们的</w:t>
      </w:r>
      <w:r>
        <w:rPr>
          <w:rFonts w:ascii="KaiTi" w:eastAsia="KaiTi" w:hAnsi="KaiTi" w:hint="eastAsia"/>
        </w:rPr>
        <w:t>初始</w:t>
      </w:r>
      <w:r w:rsidRPr="000C1D9B">
        <w:rPr>
          <w:rFonts w:ascii="KaiTi" w:eastAsia="KaiTi" w:hAnsi="KaiTi" w:hint="eastAsia"/>
        </w:rPr>
        <w:t>配置比例为40%：25%：35%。</w:t>
      </w:r>
    </w:p>
    <w:p w14:paraId="14EAC598" w14:textId="2CDA6CAC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5</w:t>
      </w:r>
      <w:r w:rsidRPr="000C1D9B">
        <w:rPr>
          <w:rFonts w:ascii="KaiTi" w:eastAsia="KaiTi" w:hAnsi="KaiTi" w:hint="eastAsia"/>
        </w:rPr>
        <w:t>年</w:t>
      </w:r>
      <w:r>
        <w:rPr>
          <w:rFonts w:ascii="KaiTi" w:eastAsia="KaiTi" w:hAnsi="KaiTi" w:hint="eastAsia"/>
        </w:rPr>
        <w:t>9</w:t>
      </w:r>
      <w:r w:rsidRPr="000C1D9B">
        <w:rPr>
          <w:rFonts w:ascii="KaiTi" w:eastAsia="KaiTi" w:hAnsi="KaiTi" w:hint="eastAsia"/>
        </w:rPr>
        <w:t>月</w:t>
      </w:r>
      <w:r>
        <w:rPr>
          <w:rFonts w:ascii="KaiTi" w:eastAsia="KaiTi" w:hAnsi="KaiTi"/>
        </w:rPr>
        <w:t>2</w:t>
      </w:r>
      <w:r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日，这个组合的运行情况如下：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1326"/>
        <w:gridCol w:w="1145"/>
        <w:gridCol w:w="1640"/>
        <w:gridCol w:w="1038"/>
        <w:gridCol w:w="1857"/>
      </w:tblGrid>
      <w:tr w:rsidR="00690C0D" w:rsidRPr="00B769EE" w14:paraId="271922B8" w14:textId="77777777" w:rsidTr="000121F4">
        <w:trPr>
          <w:trHeight w:val="320"/>
        </w:trPr>
        <w:tc>
          <w:tcPr>
            <w:tcW w:w="2344" w:type="dxa"/>
            <w:noWrap/>
            <w:hideMark/>
          </w:tcPr>
          <w:p w14:paraId="0DAB166A" w14:textId="77777777" w:rsidR="00690C0D" w:rsidRPr="00B769EE" w:rsidRDefault="00690C0D" w:rsidP="000121F4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Calibri" w:eastAsia="KaiTi" w:hAnsi="Calibri" w:cs="Calibri"/>
                <w:sz w:val="21"/>
                <w:szCs w:val="21"/>
              </w:rPr>
              <w:t> </w:t>
            </w:r>
          </w:p>
        </w:tc>
        <w:tc>
          <w:tcPr>
            <w:tcW w:w="1326" w:type="dxa"/>
            <w:noWrap/>
            <w:hideMark/>
          </w:tcPr>
          <w:p w14:paraId="77878AD7" w14:textId="77777777" w:rsidR="00690C0D" w:rsidRPr="00B769EE" w:rsidRDefault="00690C0D" w:rsidP="000121F4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日期</w:t>
            </w:r>
          </w:p>
        </w:tc>
        <w:tc>
          <w:tcPr>
            <w:tcW w:w="1145" w:type="dxa"/>
            <w:noWrap/>
            <w:hideMark/>
          </w:tcPr>
          <w:p w14:paraId="25E64C00" w14:textId="77777777" w:rsidR="00690C0D" w:rsidRPr="00B769EE" w:rsidRDefault="00690C0D" w:rsidP="000121F4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价格</w:t>
            </w:r>
          </w:p>
        </w:tc>
        <w:tc>
          <w:tcPr>
            <w:tcW w:w="1640" w:type="dxa"/>
            <w:noWrap/>
            <w:vAlign w:val="center"/>
            <w:hideMark/>
          </w:tcPr>
          <w:p w14:paraId="0EFE5313" w14:textId="77777777" w:rsidR="00690C0D" w:rsidRPr="00B769EE" w:rsidRDefault="00690C0D" w:rsidP="000121F4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CC3084">
              <w:rPr>
                <w:rFonts w:ascii="KaiTi" w:eastAsia="KaiTi" w:hAnsi="KaiTi"/>
                <w:sz w:val="21"/>
                <w:szCs w:val="21"/>
              </w:rPr>
              <w:t>金</w:t>
            </w:r>
            <w:r w:rsidRPr="00CC3084">
              <w:rPr>
                <w:rFonts w:ascii="KaiTi" w:eastAsia="KaiTi" w:hAnsi="KaiTi" w:hint="eastAsia"/>
                <w:sz w:val="21"/>
                <w:szCs w:val="21"/>
              </w:rPr>
              <w:t>额</w:t>
            </w:r>
          </w:p>
        </w:tc>
        <w:tc>
          <w:tcPr>
            <w:tcW w:w="1038" w:type="dxa"/>
            <w:noWrap/>
            <w:hideMark/>
          </w:tcPr>
          <w:p w14:paraId="4DC5C6C9" w14:textId="77777777" w:rsidR="00690C0D" w:rsidRPr="00B769EE" w:rsidRDefault="00690C0D" w:rsidP="000121F4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占比</w:t>
            </w:r>
          </w:p>
        </w:tc>
        <w:tc>
          <w:tcPr>
            <w:tcW w:w="1857" w:type="dxa"/>
            <w:noWrap/>
            <w:hideMark/>
          </w:tcPr>
          <w:p w14:paraId="3767E06A" w14:textId="77777777" w:rsidR="00690C0D" w:rsidRPr="00B769EE" w:rsidRDefault="00690C0D" w:rsidP="000121F4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组合</w:t>
            </w:r>
            <w:r>
              <w:rPr>
                <w:rFonts w:ascii="KaiTi" w:eastAsia="KaiTi" w:hAnsi="KaiTi" w:hint="eastAsia"/>
                <w:sz w:val="21"/>
                <w:szCs w:val="21"/>
              </w:rPr>
              <w:t>净值</w:t>
            </w:r>
            <w:r w:rsidRPr="00B769EE">
              <w:rPr>
                <w:rFonts w:ascii="KaiTi" w:eastAsia="KaiTi" w:hAnsi="KaiTi"/>
                <w:sz w:val="21"/>
                <w:szCs w:val="21"/>
              </w:rPr>
              <w:t>增长</w:t>
            </w:r>
          </w:p>
        </w:tc>
      </w:tr>
      <w:tr w:rsidR="00690C0D" w:rsidRPr="00B769EE" w14:paraId="2873622C" w14:textId="77777777" w:rsidTr="00690C0D">
        <w:trPr>
          <w:trHeight w:val="320"/>
        </w:trPr>
        <w:tc>
          <w:tcPr>
            <w:tcW w:w="2344" w:type="dxa"/>
            <w:noWrap/>
            <w:vAlign w:val="center"/>
            <w:hideMark/>
          </w:tcPr>
          <w:p w14:paraId="0A55A904" w14:textId="77777777" w:rsidR="00690C0D" w:rsidRPr="00B769EE" w:rsidRDefault="00690C0D" w:rsidP="00690C0D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I17 美国优质股权基金</w:t>
            </w:r>
          </w:p>
        </w:tc>
        <w:tc>
          <w:tcPr>
            <w:tcW w:w="1326" w:type="dxa"/>
            <w:noWrap/>
            <w:vAlign w:val="center"/>
            <w:hideMark/>
          </w:tcPr>
          <w:p w14:paraId="1341AC76" w14:textId="684D2B65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9/24/25</w:t>
            </w:r>
          </w:p>
        </w:tc>
        <w:tc>
          <w:tcPr>
            <w:tcW w:w="1145" w:type="dxa"/>
            <w:noWrap/>
            <w:vAlign w:val="center"/>
            <w:hideMark/>
          </w:tcPr>
          <w:p w14:paraId="5981F293" w14:textId="07F29752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24.15</w:t>
            </w:r>
          </w:p>
        </w:tc>
        <w:tc>
          <w:tcPr>
            <w:tcW w:w="1640" w:type="dxa"/>
            <w:noWrap/>
            <w:vAlign w:val="center"/>
            <w:hideMark/>
          </w:tcPr>
          <w:p w14:paraId="6943C4B8" w14:textId="3BE88F23" w:rsidR="00690C0D" w:rsidRPr="00CC3084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378,455</w:t>
            </w:r>
          </w:p>
        </w:tc>
        <w:tc>
          <w:tcPr>
            <w:tcW w:w="1038" w:type="dxa"/>
            <w:noWrap/>
            <w:vAlign w:val="center"/>
            <w:hideMark/>
          </w:tcPr>
          <w:p w14:paraId="67DEC672" w14:textId="79F9ABBF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35.8%</w:t>
            </w:r>
          </w:p>
        </w:tc>
        <w:tc>
          <w:tcPr>
            <w:tcW w:w="1857" w:type="dxa"/>
            <w:noWrap/>
            <w:vAlign w:val="center"/>
            <w:hideMark/>
          </w:tcPr>
          <w:p w14:paraId="686FEA10" w14:textId="508EF1AE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10.41%</w:t>
            </w:r>
          </w:p>
        </w:tc>
      </w:tr>
      <w:tr w:rsidR="00690C0D" w:rsidRPr="00B769EE" w14:paraId="165DF8F9" w14:textId="77777777" w:rsidTr="00690C0D">
        <w:trPr>
          <w:trHeight w:val="320"/>
        </w:trPr>
        <w:tc>
          <w:tcPr>
            <w:tcW w:w="2344" w:type="dxa"/>
            <w:noWrap/>
            <w:vAlign w:val="center"/>
            <w:hideMark/>
          </w:tcPr>
          <w:p w14:paraId="6D89FD36" w14:textId="77777777" w:rsidR="00690C0D" w:rsidRPr="00B769EE" w:rsidRDefault="00690C0D" w:rsidP="00690C0D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R01 美国房地产基金</w:t>
            </w:r>
          </w:p>
        </w:tc>
        <w:tc>
          <w:tcPr>
            <w:tcW w:w="1326" w:type="dxa"/>
            <w:noWrap/>
            <w:vAlign w:val="center"/>
            <w:hideMark/>
          </w:tcPr>
          <w:p w14:paraId="61C3E88A" w14:textId="572FCEE4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9/24/25</w:t>
            </w:r>
          </w:p>
        </w:tc>
        <w:tc>
          <w:tcPr>
            <w:tcW w:w="1145" w:type="dxa"/>
            <w:noWrap/>
            <w:vAlign w:val="center"/>
            <w:hideMark/>
          </w:tcPr>
          <w:p w14:paraId="33BCF3F0" w14:textId="6BCCF19D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25.65</w:t>
            </w:r>
          </w:p>
        </w:tc>
        <w:tc>
          <w:tcPr>
            <w:tcW w:w="1640" w:type="dxa"/>
            <w:noWrap/>
            <w:vAlign w:val="center"/>
            <w:hideMark/>
          </w:tcPr>
          <w:p w14:paraId="72E7170D" w14:textId="0CFCF1ED" w:rsidR="00690C0D" w:rsidRPr="00CC3084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263,656</w:t>
            </w:r>
          </w:p>
        </w:tc>
        <w:tc>
          <w:tcPr>
            <w:tcW w:w="1038" w:type="dxa"/>
            <w:noWrap/>
            <w:vAlign w:val="center"/>
            <w:hideMark/>
          </w:tcPr>
          <w:p w14:paraId="266C37E6" w14:textId="30D9CAE7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24.9%</w:t>
            </w:r>
          </w:p>
        </w:tc>
        <w:tc>
          <w:tcPr>
            <w:tcW w:w="1857" w:type="dxa"/>
            <w:noWrap/>
            <w:vAlign w:val="center"/>
            <w:hideMark/>
          </w:tcPr>
          <w:p w14:paraId="20A934DE" w14:textId="62FFCFF7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-0.59%</w:t>
            </w:r>
          </w:p>
        </w:tc>
      </w:tr>
      <w:tr w:rsidR="00690C0D" w:rsidRPr="00B769EE" w14:paraId="39242B6D" w14:textId="77777777" w:rsidTr="00690C0D">
        <w:trPr>
          <w:trHeight w:val="320"/>
        </w:trPr>
        <w:tc>
          <w:tcPr>
            <w:tcW w:w="2344" w:type="dxa"/>
            <w:noWrap/>
            <w:vAlign w:val="center"/>
            <w:hideMark/>
          </w:tcPr>
          <w:p w14:paraId="2E253782" w14:textId="77777777" w:rsidR="00690C0D" w:rsidRPr="00B769EE" w:rsidRDefault="00690C0D" w:rsidP="00690C0D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F16 美国中高等级债券基金</w:t>
            </w:r>
          </w:p>
        </w:tc>
        <w:tc>
          <w:tcPr>
            <w:tcW w:w="1326" w:type="dxa"/>
            <w:noWrap/>
            <w:vAlign w:val="center"/>
            <w:hideMark/>
          </w:tcPr>
          <w:p w14:paraId="64CF41E7" w14:textId="6CCE4AC9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9/24/25</w:t>
            </w:r>
          </w:p>
        </w:tc>
        <w:tc>
          <w:tcPr>
            <w:tcW w:w="1145" w:type="dxa"/>
            <w:noWrap/>
            <w:vAlign w:val="center"/>
            <w:hideMark/>
          </w:tcPr>
          <w:p w14:paraId="7E202649" w14:textId="4BDD93F7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143.42</w:t>
            </w:r>
          </w:p>
        </w:tc>
        <w:tc>
          <w:tcPr>
            <w:tcW w:w="1640" w:type="dxa"/>
            <w:noWrap/>
            <w:vAlign w:val="center"/>
            <w:hideMark/>
          </w:tcPr>
          <w:p w14:paraId="3269C9E3" w14:textId="61C1BF4F" w:rsidR="00690C0D" w:rsidRPr="00CC3084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415,918</w:t>
            </w:r>
          </w:p>
        </w:tc>
        <w:tc>
          <w:tcPr>
            <w:tcW w:w="1038" w:type="dxa"/>
            <w:noWrap/>
            <w:vAlign w:val="center"/>
            <w:hideMark/>
          </w:tcPr>
          <w:p w14:paraId="1F72DD9D" w14:textId="72448E27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39.3%</w:t>
            </w:r>
          </w:p>
        </w:tc>
        <w:tc>
          <w:tcPr>
            <w:tcW w:w="1857" w:type="dxa"/>
            <w:noWrap/>
            <w:vAlign w:val="center"/>
            <w:hideMark/>
          </w:tcPr>
          <w:p w14:paraId="14AC82D7" w14:textId="040BDFEB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5.83%</w:t>
            </w:r>
          </w:p>
        </w:tc>
      </w:tr>
      <w:tr w:rsidR="00690C0D" w:rsidRPr="00B769EE" w14:paraId="37C6EDA2" w14:textId="77777777" w:rsidTr="00690C0D">
        <w:trPr>
          <w:trHeight w:val="320"/>
        </w:trPr>
        <w:tc>
          <w:tcPr>
            <w:tcW w:w="2344" w:type="dxa"/>
            <w:noWrap/>
            <w:vAlign w:val="center"/>
            <w:hideMark/>
          </w:tcPr>
          <w:p w14:paraId="3BA2CCB7" w14:textId="77777777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KaiTi" w:eastAsia="KaiTi" w:hAnsi="KaiTi" w:hint="eastAsia"/>
                <w:sz w:val="21"/>
                <w:szCs w:val="21"/>
              </w:rPr>
              <w:t>合计</w:t>
            </w:r>
          </w:p>
        </w:tc>
        <w:tc>
          <w:tcPr>
            <w:tcW w:w="1326" w:type="dxa"/>
            <w:noWrap/>
            <w:vAlign w:val="center"/>
            <w:hideMark/>
          </w:tcPr>
          <w:p w14:paraId="6F945355" w14:textId="60D518B5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145" w:type="dxa"/>
            <w:noWrap/>
            <w:vAlign w:val="center"/>
            <w:hideMark/>
          </w:tcPr>
          <w:p w14:paraId="284DCF54" w14:textId="6A21BDE1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640" w:type="dxa"/>
            <w:noWrap/>
            <w:vAlign w:val="center"/>
            <w:hideMark/>
          </w:tcPr>
          <w:p w14:paraId="4C178F20" w14:textId="27EA0B4A" w:rsidR="00690C0D" w:rsidRPr="00CC3084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1,058,029</w:t>
            </w:r>
          </w:p>
        </w:tc>
        <w:tc>
          <w:tcPr>
            <w:tcW w:w="1038" w:type="dxa"/>
            <w:noWrap/>
            <w:vAlign w:val="center"/>
            <w:hideMark/>
          </w:tcPr>
          <w:p w14:paraId="3EDA8EA6" w14:textId="09B6B69C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100.0%</w:t>
            </w:r>
          </w:p>
        </w:tc>
        <w:tc>
          <w:tcPr>
            <w:tcW w:w="1857" w:type="dxa"/>
            <w:noWrap/>
            <w:vAlign w:val="center"/>
            <w:hideMark/>
          </w:tcPr>
          <w:p w14:paraId="619F4FD8" w14:textId="22EFB6D9" w:rsidR="00690C0D" w:rsidRPr="00B769EE" w:rsidRDefault="00690C0D" w:rsidP="00690C0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5.82%</w:t>
            </w:r>
          </w:p>
        </w:tc>
      </w:tr>
    </w:tbl>
    <w:p w14:paraId="6597235C" w14:textId="77777777" w:rsidR="00690C0D" w:rsidRDefault="00690C0D" w:rsidP="00690C0D">
      <w:pPr>
        <w:rPr>
          <w:rFonts w:ascii="KaiTi" w:eastAsia="KaiTi" w:hAnsi="KaiTi"/>
        </w:rPr>
      </w:pPr>
      <w:r w:rsidRPr="00331F36">
        <w:rPr>
          <w:rFonts w:ascii="KaiTi" w:eastAsia="KaiTi" w:hAnsi="KaiTi" w:hint="eastAsia"/>
          <w:sz w:val="21"/>
          <w:szCs w:val="21"/>
        </w:rPr>
        <w:t>注：本月因晨星系统改版，该组合数据由人工整理获得</w:t>
      </w:r>
      <w:r>
        <w:rPr>
          <w:rFonts w:ascii="KaiTi" w:eastAsia="KaiTi" w:hAnsi="KaiTi" w:hint="eastAsia"/>
        </w:rPr>
        <w:t>。</w:t>
      </w:r>
    </w:p>
    <w:p w14:paraId="72347382" w14:textId="41B4310C" w:rsidR="00690C0D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截止9月24号的收盘数据，组合自成立起累计增长5.82%，年内累计增长7.59%。</w:t>
      </w:r>
    </w:p>
    <w:p w14:paraId="6140426D" w14:textId="7687913F" w:rsidR="00690C0D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美联储9月降息</w:t>
      </w:r>
      <w:r w:rsidR="00606837">
        <w:rPr>
          <w:rFonts w:ascii="KaiTi" w:eastAsia="KaiTi" w:hAnsi="KaiTi" w:hint="eastAsia"/>
        </w:rPr>
        <w:t>25BP</w:t>
      </w:r>
      <w:r>
        <w:rPr>
          <w:rFonts w:ascii="KaiTi" w:eastAsia="KaiTi" w:hAnsi="KaiTi" w:hint="eastAsia"/>
        </w:rPr>
        <w:t>落地</w:t>
      </w:r>
      <w:r w:rsidR="00606837">
        <w:rPr>
          <w:rFonts w:ascii="KaiTi" w:eastAsia="KaiTi" w:hAnsi="KaiTi" w:hint="eastAsia"/>
        </w:rPr>
        <w:t>，</w:t>
      </w:r>
      <w:r>
        <w:rPr>
          <w:rFonts w:ascii="KaiTi" w:eastAsia="KaiTi" w:hAnsi="KaiTi" w:hint="eastAsia"/>
        </w:rPr>
        <w:t>并未超过预期</w:t>
      </w:r>
      <w:r w:rsidR="00606837">
        <w:rPr>
          <w:rFonts w:ascii="KaiTi" w:eastAsia="KaiTi" w:hAnsi="KaiTi" w:hint="eastAsia"/>
        </w:rPr>
        <w:t>，资产表现较为平稳。</w:t>
      </w:r>
    </w:p>
    <w:p w14:paraId="794147B4" w14:textId="77777777" w:rsidR="00690C0D" w:rsidRPr="00300E28" w:rsidRDefault="00690C0D" w:rsidP="00690C0D">
      <w:pPr>
        <w:rPr>
          <w:rFonts w:ascii="KaiTi" w:eastAsia="KaiTi" w:hAnsi="KaiTi"/>
        </w:rPr>
      </w:pPr>
    </w:p>
    <w:p w14:paraId="5868CB1C" w14:textId="77777777" w:rsidR="00690C0D" w:rsidRPr="00B14E80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组合2: 收息现金流 ILI CASH GENERATOR</w:t>
      </w:r>
    </w:p>
    <w:p w14:paraId="4744E1A4" w14:textId="77777777" w:rsidR="00690C0D" w:rsidRPr="000C1D9B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该组合</w:t>
      </w:r>
      <w:r w:rsidRPr="000C1D9B">
        <w:rPr>
          <w:rFonts w:ascii="KaiTi" w:eastAsia="KaiTi" w:hAnsi="KaiTi" w:hint="eastAsia"/>
        </w:rPr>
        <w:t>选择派息型的基金，可以在投入后第一个月就开始收取分红，在储蓄分红险之外打造一个即时产生的被动现金流工具</w:t>
      </w:r>
      <w:r>
        <w:rPr>
          <w:rFonts w:ascii="KaiTi" w:eastAsia="KaiTi" w:hAnsi="KaiTi" w:hint="eastAsia"/>
        </w:rPr>
        <w:t>。该组合</w:t>
      </w:r>
      <w:r w:rsidRPr="000C1D9B">
        <w:rPr>
          <w:rFonts w:ascii="KaiTi" w:eastAsia="KaiTi" w:hAnsi="KaiTi" w:hint="eastAsia"/>
        </w:rPr>
        <w:t>通过</w:t>
      </w:r>
      <w:r>
        <w:rPr>
          <w:rFonts w:ascii="KaiTi" w:eastAsia="KaiTi" w:hAnsi="KaiTi" w:hint="eastAsia"/>
        </w:rPr>
        <w:t>美国</w:t>
      </w:r>
      <w:r w:rsidRPr="000C1D9B">
        <w:rPr>
          <w:rFonts w:ascii="KaiTi" w:eastAsia="KaiTi" w:hAnsi="KaiTi" w:hint="eastAsia"/>
        </w:rPr>
        <w:t>优质股票和固定收益的组合来实现，他们的配置比例为40%：</w:t>
      </w:r>
      <w:r>
        <w:rPr>
          <w:rFonts w:ascii="KaiTi" w:eastAsia="KaiTi" w:hAnsi="KaiTi" w:hint="eastAsia"/>
        </w:rPr>
        <w:t>60</w:t>
      </w:r>
      <w:r w:rsidRPr="000C1D9B">
        <w:rPr>
          <w:rFonts w:ascii="KaiTi" w:eastAsia="KaiTi" w:hAnsi="KaiTi" w:hint="eastAsia"/>
        </w:rPr>
        <w:t>%。</w:t>
      </w:r>
    </w:p>
    <w:p w14:paraId="38911CB5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初始投入约100万美金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按照买入价格，大约可以产生年化6.5%的分红收益，并按月派发。</w:t>
      </w:r>
    </w:p>
    <w:p w14:paraId="32071436" w14:textId="470F8D3D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5</w:t>
      </w:r>
      <w:r w:rsidRPr="000C1D9B">
        <w:rPr>
          <w:rFonts w:ascii="KaiTi" w:eastAsia="KaiTi" w:hAnsi="KaiTi" w:hint="eastAsia"/>
        </w:rPr>
        <w:t>年</w:t>
      </w:r>
      <w:r w:rsidR="00606837">
        <w:rPr>
          <w:rFonts w:ascii="KaiTi" w:eastAsia="KaiTi" w:hAnsi="KaiTi" w:hint="eastAsia"/>
        </w:rPr>
        <w:t>9</w:t>
      </w:r>
      <w:r w:rsidRPr="000C1D9B">
        <w:rPr>
          <w:rFonts w:ascii="KaiTi" w:eastAsia="KaiTi" w:hAnsi="KaiTi" w:hint="eastAsia"/>
        </w:rPr>
        <w:t>月</w:t>
      </w:r>
      <w:r>
        <w:rPr>
          <w:rFonts w:ascii="KaiTi" w:eastAsia="KaiTi" w:hAnsi="KaiTi" w:hint="eastAsia"/>
        </w:rPr>
        <w:t>2</w:t>
      </w:r>
      <w:r w:rsidR="00606837">
        <w:rPr>
          <w:rFonts w:ascii="KaiTi" w:eastAsia="KaiTi" w:hAnsi="KaiTi" w:hint="eastAsia"/>
        </w:rPr>
        <w:t>4</w:t>
      </w:r>
      <w:r w:rsidRPr="000C1D9B">
        <w:rPr>
          <w:rFonts w:ascii="KaiTi" w:eastAsia="KaiTi" w:hAnsi="KaiTi" w:hint="eastAsia"/>
        </w:rPr>
        <w:t>日，组合运行情况：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043"/>
        <w:gridCol w:w="1225"/>
        <w:gridCol w:w="1594"/>
        <w:gridCol w:w="1258"/>
        <w:gridCol w:w="1258"/>
      </w:tblGrid>
      <w:tr w:rsidR="00690C0D" w:rsidRPr="00344E79" w14:paraId="46EB74CA" w14:textId="77777777" w:rsidTr="000121F4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549F27E5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043" w:type="dxa"/>
            <w:noWrap/>
            <w:vAlign w:val="center"/>
            <w:hideMark/>
          </w:tcPr>
          <w:p w14:paraId="78CA5295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日期</w:t>
            </w:r>
          </w:p>
        </w:tc>
        <w:tc>
          <w:tcPr>
            <w:tcW w:w="1225" w:type="dxa"/>
            <w:noWrap/>
            <w:vAlign w:val="center"/>
            <w:hideMark/>
          </w:tcPr>
          <w:p w14:paraId="04CF0888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价格</w:t>
            </w:r>
          </w:p>
        </w:tc>
        <w:tc>
          <w:tcPr>
            <w:tcW w:w="1594" w:type="dxa"/>
            <w:noWrap/>
            <w:vAlign w:val="center"/>
            <w:hideMark/>
          </w:tcPr>
          <w:p w14:paraId="1586FA30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金额</w:t>
            </w:r>
          </w:p>
        </w:tc>
        <w:tc>
          <w:tcPr>
            <w:tcW w:w="1258" w:type="dxa"/>
            <w:noWrap/>
            <w:vAlign w:val="center"/>
            <w:hideMark/>
          </w:tcPr>
          <w:p w14:paraId="7638C06D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占比</w:t>
            </w:r>
          </w:p>
        </w:tc>
        <w:tc>
          <w:tcPr>
            <w:tcW w:w="1258" w:type="dxa"/>
            <w:noWrap/>
            <w:vAlign w:val="center"/>
            <w:hideMark/>
          </w:tcPr>
          <w:p w14:paraId="7A3B1041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组合净值增长</w:t>
            </w:r>
          </w:p>
        </w:tc>
      </w:tr>
      <w:tr w:rsidR="00690C0D" w:rsidRPr="00344E79" w14:paraId="4D73C297" w14:textId="77777777" w:rsidTr="000121F4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51EC47DE" w14:textId="77777777" w:rsidR="00690C0D" w:rsidRPr="00344E79" w:rsidRDefault="00690C0D" w:rsidP="000121F4">
            <w:pPr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Z12美国中高等级债券基金</w:t>
            </w:r>
          </w:p>
        </w:tc>
        <w:tc>
          <w:tcPr>
            <w:tcW w:w="1043" w:type="dxa"/>
            <w:noWrap/>
            <w:vAlign w:val="center"/>
            <w:hideMark/>
          </w:tcPr>
          <w:p w14:paraId="708DEB5C" w14:textId="443F7649" w:rsidR="00690C0D" w:rsidRPr="00205818" w:rsidRDefault="00606837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>
              <w:rPr>
                <w:rFonts w:ascii="KaiTi" w:eastAsia="KaiTi" w:hAnsi="KaiTi" w:hint="eastAsia"/>
                <w:sz w:val="22"/>
                <w:szCs w:val="22"/>
              </w:rPr>
              <w:t>9</w:t>
            </w:r>
            <w:r w:rsidR="00690C0D" w:rsidRPr="00205818">
              <w:rPr>
                <w:rFonts w:ascii="KaiTi" w:eastAsia="KaiTi" w:hAnsi="KaiTi"/>
                <w:sz w:val="22"/>
                <w:szCs w:val="22"/>
              </w:rPr>
              <w:t>/2</w:t>
            </w:r>
            <w:r>
              <w:rPr>
                <w:rFonts w:ascii="KaiTi" w:eastAsia="KaiTi" w:hAnsi="KaiTi" w:hint="eastAsia"/>
                <w:sz w:val="22"/>
                <w:szCs w:val="22"/>
              </w:rPr>
              <w:t>4</w:t>
            </w:r>
            <w:r w:rsidR="00690C0D" w:rsidRPr="00205818">
              <w:rPr>
                <w:rFonts w:ascii="KaiTi" w:eastAsia="KaiTi" w:hAnsi="KaiTi"/>
                <w:sz w:val="22"/>
                <w:szCs w:val="22"/>
              </w:rPr>
              <w:t>/25</w:t>
            </w:r>
          </w:p>
        </w:tc>
        <w:tc>
          <w:tcPr>
            <w:tcW w:w="1225" w:type="dxa"/>
            <w:noWrap/>
            <w:vAlign w:val="center"/>
            <w:hideMark/>
          </w:tcPr>
          <w:p w14:paraId="0F8B0EDA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7.8</w:t>
            </w:r>
            <w:r>
              <w:rPr>
                <w:rFonts w:ascii="KaiTi" w:eastAsia="KaiTi" w:hAnsi="KaiTi" w:hint="eastAsia"/>
                <w:sz w:val="22"/>
                <w:szCs w:val="22"/>
              </w:rPr>
              <w:t>2</w:t>
            </w:r>
          </w:p>
        </w:tc>
        <w:tc>
          <w:tcPr>
            <w:tcW w:w="1594" w:type="dxa"/>
            <w:noWrap/>
            <w:vAlign w:val="center"/>
            <w:hideMark/>
          </w:tcPr>
          <w:p w14:paraId="64C5805C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CC3084">
              <w:rPr>
                <w:rFonts w:ascii="KaiTi" w:eastAsia="KaiTi" w:hAnsi="KaiTi"/>
                <w:sz w:val="22"/>
                <w:szCs w:val="22"/>
              </w:rPr>
              <w:t>600</w:t>
            </w:r>
            <w:r>
              <w:rPr>
                <w:rFonts w:ascii="KaiTi" w:eastAsia="KaiTi" w:hAnsi="KaiTi"/>
                <w:sz w:val="22"/>
                <w:szCs w:val="22"/>
              </w:rPr>
              <w:t>,</w:t>
            </w:r>
            <w:r w:rsidRPr="00CC3084">
              <w:rPr>
                <w:rFonts w:ascii="KaiTi" w:eastAsia="KaiTi" w:hAnsi="KaiTi"/>
                <w:sz w:val="22"/>
                <w:szCs w:val="22"/>
              </w:rPr>
              <w:t>771.5</w:t>
            </w:r>
          </w:p>
        </w:tc>
        <w:tc>
          <w:tcPr>
            <w:tcW w:w="1258" w:type="dxa"/>
            <w:noWrap/>
            <w:vAlign w:val="center"/>
            <w:hideMark/>
          </w:tcPr>
          <w:p w14:paraId="07DA27FC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>
              <w:rPr>
                <w:rFonts w:ascii="KaiTi" w:eastAsia="KaiTi" w:hAnsi="KaiTi"/>
                <w:sz w:val="22"/>
                <w:szCs w:val="22"/>
              </w:rPr>
              <w:t>59.22</w:t>
            </w:r>
            <w:r w:rsidRPr="00344E79">
              <w:rPr>
                <w:rFonts w:ascii="KaiTi" w:eastAsia="KaiTi" w:hAnsi="KaiTi"/>
                <w:sz w:val="22"/>
                <w:szCs w:val="22"/>
              </w:rPr>
              <w:t>%</w:t>
            </w:r>
          </w:p>
        </w:tc>
        <w:tc>
          <w:tcPr>
            <w:tcW w:w="1258" w:type="dxa"/>
            <w:noWrap/>
            <w:vAlign w:val="center"/>
            <w:hideMark/>
          </w:tcPr>
          <w:p w14:paraId="573CAADD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>
              <w:rPr>
                <w:rFonts w:ascii="KaiTi" w:eastAsia="KaiTi" w:hAnsi="KaiTi"/>
                <w:sz w:val="22"/>
                <w:szCs w:val="22"/>
              </w:rPr>
              <w:t>0.13</w:t>
            </w:r>
            <w:r w:rsidRPr="00344E79">
              <w:rPr>
                <w:rFonts w:ascii="KaiTi" w:eastAsia="KaiTi" w:hAnsi="KaiTi"/>
                <w:sz w:val="22"/>
                <w:szCs w:val="22"/>
              </w:rPr>
              <w:t>%</w:t>
            </w:r>
          </w:p>
        </w:tc>
      </w:tr>
      <w:tr w:rsidR="00690C0D" w:rsidRPr="00344E79" w14:paraId="3CC9A658" w14:textId="77777777" w:rsidTr="000121F4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6CFD00AE" w14:textId="77777777" w:rsidR="00690C0D" w:rsidRPr="00344E79" w:rsidRDefault="00690C0D" w:rsidP="000121F4">
            <w:pPr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Z17美国优质股权基金</w:t>
            </w:r>
          </w:p>
        </w:tc>
        <w:tc>
          <w:tcPr>
            <w:tcW w:w="1043" w:type="dxa"/>
            <w:noWrap/>
            <w:vAlign w:val="center"/>
            <w:hideMark/>
          </w:tcPr>
          <w:p w14:paraId="41100DA5" w14:textId="2EA94ED6" w:rsidR="00690C0D" w:rsidRPr="00205818" w:rsidRDefault="00606837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>
              <w:rPr>
                <w:rFonts w:ascii="KaiTi" w:eastAsia="KaiTi" w:hAnsi="KaiTi" w:hint="eastAsia"/>
                <w:sz w:val="22"/>
                <w:szCs w:val="22"/>
              </w:rPr>
              <w:t>9</w:t>
            </w:r>
            <w:r w:rsidR="00690C0D" w:rsidRPr="00205818">
              <w:rPr>
                <w:rFonts w:ascii="KaiTi" w:eastAsia="KaiTi" w:hAnsi="KaiTi"/>
                <w:sz w:val="22"/>
                <w:szCs w:val="22"/>
              </w:rPr>
              <w:t>/2</w:t>
            </w:r>
            <w:r>
              <w:rPr>
                <w:rFonts w:ascii="KaiTi" w:eastAsia="KaiTi" w:hAnsi="KaiTi" w:hint="eastAsia"/>
                <w:sz w:val="22"/>
                <w:szCs w:val="22"/>
              </w:rPr>
              <w:t>4</w:t>
            </w:r>
            <w:r w:rsidR="00690C0D" w:rsidRPr="00205818">
              <w:rPr>
                <w:rFonts w:ascii="KaiTi" w:eastAsia="KaiTi" w:hAnsi="KaiTi"/>
                <w:sz w:val="22"/>
                <w:szCs w:val="22"/>
              </w:rPr>
              <w:t>/25</w:t>
            </w:r>
          </w:p>
        </w:tc>
        <w:tc>
          <w:tcPr>
            <w:tcW w:w="1225" w:type="dxa"/>
            <w:noWrap/>
            <w:vAlign w:val="center"/>
            <w:hideMark/>
          </w:tcPr>
          <w:p w14:paraId="1FE84524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9.</w:t>
            </w:r>
            <w:r>
              <w:rPr>
                <w:rFonts w:ascii="KaiTi" w:eastAsia="KaiTi" w:hAnsi="KaiTi"/>
                <w:sz w:val="22"/>
                <w:szCs w:val="22"/>
              </w:rPr>
              <w:t>33</w:t>
            </w:r>
          </w:p>
        </w:tc>
        <w:tc>
          <w:tcPr>
            <w:tcW w:w="1594" w:type="dxa"/>
            <w:noWrap/>
            <w:vAlign w:val="center"/>
            <w:hideMark/>
          </w:tcPr>
          <w:p w14:paraId="2CB13385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CC3084">
              <w:rPr>
                <w:rFonts w:ascii="KaiTi" w:eastAsia="KaiTi" w:hAnsi="KaiTi"/>
                <w:sz w:val="22"/>
                <w:szCs w:val="22"/>
              </w:rPr>
              <w:t>413</w:t>
            </w:r>
            <w:r>
              <w:rPr>
                <w:rFonts w:ascii="KaiTi" w:eastAsia="KaiTi" w:hAnsi="KaiTi"/>
                <w:sz w:val="22"/>
                <w:szCs w:val="22"/>
              </w:rPr>
              <w:t>,</w:t>
            </w:r>
            <w:r w:rsidRPr="00CC3084">
              <w:rPr>
                <w:rFonts w:ascii="KaiTi" w:eastAsia="KaiTi" w:hAnsi="KaiTi"/>
                <w:sz w:val="22"/>
                <w:szCs w:val="22"/>
              </w:rPr>
              <w:t>738.85</w:t>
            </w:r>
          </w:p>
        </w:tc>
        <w:tc>
          <w:tcPr>
            <w:tcW w:w="1258" w:type="dxa"/>
            <w:noWrap/>
            <w:vAlign w:val="center"/>
            <w:hideMark/>
          </w:tcPr>
          <w:p w14:paraId="25124D0F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>
              <w:rPr>
                <w:rFonts w:ascii="KaiTi" w:eastAsia="KaiTi" w:hAnsi="KaiTi"/>
                <w:sz w:val="22"/>
                <w:szCs w:val="22"/>
              </w:rPr>
              <w:t>40.78</w:t>
            </w:r>
            <w:r w:rsidRPr="00344E79">
              <w:rPr>
                <w:rFonts w:ascii="KaiTi" w:eastAsia="KaiTi" w:hAnsi="KaiTi"/>
                <w:sz w:val="22"/>
                <w:szCs w:val="22"/>
              </w:rPr>
              <w:t>%</w:t>
            </w:r>
          </w:p>
        </w:tc>
        <w:tc>
          <w:tcPr>
            <w:tcW w:w="1258" w:type="dxa"/>
            <w:noWrap/>
            <w:vAlign w:val="center"/>
            <w:hideMark/>
          </w:tcPr>
          <w:p w14:paraId="4A2306D3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>
              <w:rPr>
                <w:rFonts w:ascii="KaiTi" w:eastAsia="KaiTi" w:hAnsi="KaiTi" w:hint="eastAsia"/>
                <w:sz w:val="22"/>
                <w:szCs w:val="22"/>
              </w:rPr>
              <w:t>3.</w:t>
            </w:r>
            <w:r>
              <w:rPr>
                <w:rFonts w:ascii="KaiTi" w:eastAsia="KaiTi" w:hAnsi="KaiTi"/>
                <w:sz w:val="22"/>
                <w:szCs w:val="22"/>
              </w:rPr>
              <w:t>44</w:t>
            </w:r>
            <w:r w:rsidRPr="00344E79">
              <w:rPr>
                <w:rFonts w:ascii="KaiTi" w:eastAsia="KaiTi" w:hAnsi="KaiTi"/>
                <w:sz w:val="22"/>
                <w:szCs w:val="22"/>
              </w:rPr>
              <w:t>%</w:t>
            </w:r>
          </w:p>
        </w:tc>
      </w:tr>
      <w:tr w:rsidR="00690C0D" w:rsidRPr="00344E79" w14:paraId="67BC5DE5" w14:textId="77777777" w:rsidTr="000121F4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1EFF41B5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lastRenderedPageBreak/>
              <w:t>合计</w:t>
            </w:r>
          </w:p>
        </w:tc>
        <w:tc>
          <w:tcPr>
            <w:tcW w:w="1043" w:type="dxa"/>
            <w:noWrap/>
            <w:vAlign w:val="center"/>
            <w:hideMark/>
          </w:tcPr>
          <w:p w14:paraId="41887806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25" w:type="dxa"/>
            <w:noWrap/>
            <w:vAlign w:val="center"/>
            <w:hideMark/>
          </w:tcPr>
          <w:p w14:paraId="2B714BA8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594" w:type="dxa"/>
            <w:noWrap/>
            <w:vAlign w:val="center"/>
            <w:hideMark/>
          </w:tcPr>
          <w:p w14:paraId="34703ED4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CC3084">
              <w:rPr>
                <w:rFonts w:ascii="KaiTi" w:eastAsia="KaiTi" w:hAnsi="KaiTi"/>
                <w:sz w:val="22"/>
                <w:szCs w:val="22"/>
              </w:rPr>
              <w:t>1</w:t>
            </w:r>
            <w:r>
              <w:rPr>
                <w:rFonts w:ascii="KaiTi" w:eastAsia="KaiTi" w:hAnsi="KaiTi"/>
                <w:sz w:val="22"/>
                <w:szCs w:val="22"/>
              </w:rPr>
              <w:t>,</w:t>
            </w:r>
            <w:r w:rsidRPr="00CC3084">
              <w:rPr>
                <w:rFonts w:ascii="KaiTi" w:eastAsia="KaiTi" w:hAnsi="KaiTi"/>
                <w:sz w:val="22"/>
                <w:szCs w:val="22"/>
              </w:rPr>
              <w:t>014</w:t>
            </w:r>
            <w:r>
              <w:rPr>
                <w:rFonts w:ascii="KaiTi" w:eastAsia="KaiTi" w:hAnsi="KaiTi"/>
                <w:sz w:val="22"/>
                <w:szCs w:val="22"/>
              </w:rPr>
              <w:t>,</w:t>
            </w:r>
            <w:r w:rsidRPr="00CC3084">
              <w:rPr>
                <w:rFonts w:ascii="KaiTi" w:eastAsia="KaiTi" w:hAnsi="KaiTi"/>
                <w:sz w:val="22"/>
                <w:szCs w:val="22"/>
              </w:rPr>
              <w:t>510</w:t>
            </w:r>
          </w:p>
        </w:tc>
        <w:tc>
          <w:tcPr>
            <w:tcW w:w="1258" w:type="dxa"/>
            <w:noWrap/>
            <w:vAlign w:val="center"/>
            <w:hideMark/>
          </w:tcPr>
          <w:p w14:paraId="512719D7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100%</w:t>
            </w:r>
          </w:p>
        </w:tc>
        <w:tc>
          <w:tcPr>
            <w:tcW w:w="1258" w:type="dxa"/>
            <w:noWrap/>
            <w:vAlign w:val="center"/>
            <w:hideMark/>
          </w:tcPr>
          <w:p w14:paraId="64172A3D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1.</w:t>
            </w:r>
            <w:r>
              <w:rPr>
                <w:rFonts w:ascii="KaiTi" w:eastAsia="KaiTi" w:hAnsi="KaiTi"/>
                <w:sz w:val="22"/>
                <w:szCs w:val="22"/>
              </w:rPr>
              <w:t>45</w:t>
            </w:r>
            <w:r w:rsidRPr="00344E79">
              <w:rPr>
                <w:rFonts w:ascii="KaiTi" w:eastAsia="KaiTi" w:hAnsi="KaiTi"/>
                <w:sz w:val="22"/>
                <w:szCs w:val="22"/>
              </w:rPr>
              <w:t>%</w:t>
            </w:r>
          </w:p>
        </w:tc>
      </w:tr>
    </w:tbl>
    <w:p w14:paraId="406AFE12" w14:textId="77777777" w:rsidR="00690C0D" w:rsidRPr="00344E79" w:rsidRDefault="00690C0D" w:rsidP="00690C0D">
      <w:pPr>
        <w:rPr>
          <w:rFonts w:ascii="KaiTi" w:eastAsia="KaiTi" w:hAnsi="KaiTi"/>
          <w:sz w:val="22"/>
          <w:szCs w:val="22"/>
        </w:rPr>
      </w:pPr>
    </w:p>
    <w:p w14:paraId="63A1D73F" w14:textId="6C8E7375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从账面价格来看，本组合</w:t>
      </w:r>
      <w:r>
        <w:rPr>
          <w:rFonts w:ascii="KaiTi" w:eastAsia="KaiTi" w:hAnsi="KaiTi" w:hint="eastAsia"/>
        </w:rPr>
        <w:t>净值累计</w:t>
      </w:r>
      <w:r w:rsidRPr="000C1D9B">
        <w:rPr>
          <w:rFonts w:ascii="KaiTi" w:eastAsia="KaiTi" w:hAnsi="KaiTi" w:hint="eastAsia"/>
        </w:rPr>
        <w:t>表现为</w:t>
      </w:r>
      <w:r>
        <w:rPr>
          <w:rFonts w:ascii="KaiTi" w:eastAsia="KaiTi" w:hAnsi="KaiTi"/>
        </w:rPr>
        <w:t>1.45</w:t>
      </w:r>
      <w:r w:rsidRPr="000C1D9B">
        <w:rPr>
          <w:rFonts w:ascii="KaiTi" w:eastAsia="KaiTi" w:hAnsi="KaiTi" w:hint="eastAsia"/>
        </w:rPr>
        <w:t>%，但如果加上</w:t>
      </w:r>
      <w:r>
        <w:rPr>
          <w:rFonts w:ascii="KaiTi" w:eastAsia="KaiTi" w:hAnsi="KaiTi" w:hint="eastAsia"/>
        </w:rPr>
        <w:t>累计</w:t>
      </w:r>
      <w:r w:rsidRPr="000C1D9B">
        <w:rPr>
          <w:rFonts w:ascii="KaiTi" w:eastAsia="KaiTi" w:hAnsi="KaiTi" w:hint="eastAsia"/>
        </w:rPr>
        <w:t>发放</w:t>
      </w:r>
      <w:r>
        <w:rPr>
          <w:rFonts w:ascii="KaiTi" w:eastAsia="KaiTi" w:hAnsi="KaiTi" w:hint="eastAsia"/>
        </w:rPr>
        <w:t>的</w:t>
      </w:r>
      <w:r w:rsidRPr="000C1D9B">
        <w:rPr>
          <w:rFonts w:ascii="KaiTi" w:eastAsia="KaiTi" w:hAnsi="KaiTi" w:hint="eastAsia"/>
        </w:rPr>
        <w:t>分红，</w:t>
      </w:r>
      <w:r>
        <w:rPr>
          <w:rFonts w:ascii="KaiTi" w:eastAsia="KaiTi" w:hAnsi="KaiTi" w:hint="eastAsia"/>
        </w:rPr>
        <w:t>组合</w:t>
      </w:r>
      <w:r w:rsidRPr="000C1D9B">
        <w:rPr>
          <w:rFonts w:ascii="KaiTi" w:eastAsia="KaiTi" w:hAnsi="KaiTi" w:hint="eastAsia"/>
        </w:rPr>
        <w:t>整体</w:t>
      </w:r>
      <w:r>
        <w:rPr>
          <w:rFonts w:ascii="KaiTi" w:eastAsia="KaiTi" w:hAnsi="KaiTi" w:hint="eastAsia"/>
        </w:rPr>
        <w:t>累积收益为</w:t>
      </w:r>
      <w:r w:rsidR="00606837">
        <w:rPr>
          <w:rFonts w:ascii="KaiTi" w:eastAsia="KaiTi" w:hAnsi="KaiTi" w:hint="eastAsia"/>
          <w:color w:val="FF0000"/>
        </w:rPr>
        <w:t>7.52</w:t>
      </w:r>
      <w:r w:rsidRPr="00BC62AF">
        <w:rPr>
          <w:rFonts w:ascii="KaiTi" w:eastAsia="KaiTi" w:hAnsi="KaiTi" w:hint="eastAsia"/>
          <w:b/>
          <w:bCs/>
          <w:color w:val="FF0000"/>
        </w:rPr>
        <w:t>%</w:t>
      </w:r>
      <w:r w:rsidRPr="000C1D9B">
        <w:rPr>
          <w:rFonts w:ascii="KaiTi" w:eastAsia="KaiTi" w:hAnsi="KaiTi" w:hint="eastAsia"/>
        </w:rPr>
        <w:t>。</w:t>
      </w:r>
    </w:p>
    <w:p w14:paraId="52CB7C81" w14:textId="4622A17A" w:rsidR="00690C0D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自2024年10月到25年</w:t>
      </w:r>
      <w:r w:rsidR="00606837">
        <w:rPr>
          <w:rFonts w:ascii="KaiTi" w:eastAsia="KaiTi" w:hAnsi="KaiTi" w:hint="eastAsia"/>
        </w:rPr>
        <w:t>9</w:t>
      </w:r>
      <w:r>
        <w:rPr>
          <w:rFonts w:ascii="KaiTi" w:eastAsia="KaiTi" w:hAnsi="KaiTi" w:hint="eastAsia"/>
        </w:rPr>
        <w:t>月，</w:t>
      </w:r>
      <w:r w:rsidRPr="000C1D9B">
        <w:rPr>
          <w:rFonts w:ascii="KaiTi" w:eastAsia="KaiTi" w:hAnsi="KaiTi" w:hint="eastAsia"/>
        </w:rPr>
        <w:t>Z12美国中高等级债券基金</w:t>
      </w:r>
      <w:r>
        <w:rPr>
          <w:rFonts w:ascii="KaiTi" w:eastAsia="KaiTi" w:hAnsi="KaiTi" w:hint="eastAsia"/>
        </w:rPr>
        <w:t>每月</w:t>
      </w:r>
      <w:r w:rsidRPr="000C1D9B">
        <w:rPr>
          <w:rFonts w:ascii="KaiTi" w:eastAsia="KaiTi" w:hAnsi="KaiTi" w:hint="eastAsia"/>
        </w:rPr>
        <w:t>派发</w:t>
      </w:r>
      <w:r>
        <w:rPr>
          <w:rFonts w:ascii="KaiTi" w:eastAsia="KaiTi" w:hAnsi="KaiTi" w:hint="eastAsia"/>
        </w:rPr>
        <w:t>分红</w:t>
      </w:r>
      <w:r w:rsidRPr="000C1D9B">
        <w:rPr>
          <w:rFonts w:ascii="KaiTi" w:eastAsia="KaiTi" w:hAnsi="KaiTi" w:hint="eastAsia"/>
        </w:rPr>
        <w:t>$0.04/股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Z17美国优质股权基金</w:t>
      </w:r>
      <w:r>
        <w:rPr>
          <w:rFonts w:ascii="KaiTi" w:eastAsia="KaiTi" w:hAnsi="KaiTi" w:hint="eastAsia"/>
        </w:rPr>
        <w:t>现时月度分红派发</w:t>
      </w:r>
      <w:r w:rsidRPr="000C1D9B">
        <w:rPr>
          <w:rFonts w:ascii="KaiTi" w:eastAsia="KaiTi" w:hAnsi="KaiTi" w:hint="eastAsia"/>
        </w:rPr>
        <w:t>$0.05</w:t>
      </w:r>
      <w:r w:rsidR="00606837">
        <w:rPr>
          <w:rFonts w:ascii="KaiTi" w:eastAsia="KaiTi" w:hAnsi="KaiTi" w:hint="eastAsia"/>
        </w:rPr>
        <w:t>75</w:t>
      </w:r>
      <w:r w:rsidRPr="000C1D9B">
        <w:rPr>
          <w:rFonts w:ascii="KaiTi" w:eastAsia="KaiTi" w:hAnsi="KaiTi" w:hint="eastAsia"/>
        </w:rPr>
        <w:t>/股</w:t>
      </w:r>
      <w:r w:rsidR="00606837">
        <w:rPr>
          <w:rFonts w:ascii="KaiTi" w:eastAsia="KaiTi" w:hAnsi="KaiTi" w:hint="eastAsia"/>
        </w:rPr>
        <w:t>（较上一个月提升1.77%，年内已两次上调派息金额）</w:t>
      </w:r>
      <w:r w:rsidRPr="000C1D9B">
        <w:rPr>
          <w:rFonts w:ascii="KaiTi" w:eastAsia="KaiTi" w:hAnsi="KaiTi" w:hint="eastAsia"/>
        </w:rPr>
        <w:t>。</w:t>
      </w:r>
    </w:p>
    <w:p w14:paraId="63743AED" w14:textId="6D9663D5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合计投资者</w:t>
      </w:r>
      <w:r>
        <w:rPr>
          <w:rFonts w:ascii="KaiTi" w:eastAsia="KaiTi" w:hAnsi="KaiTi" w:hint="eastAsia"/>
        </w:rPr>
        <w:t>已累计</w:t>
      </w:r>
      <w:r w:rsidRPr="000C1D9B">
        <w:rPr>
          <w:rFonts w:ascii="KaiTi" w:eastAsia="KaiTi" w:hAnsi="KaiTi" w:hint="eastAsia"/>
        </w:rPr>
        <w:t>获得$</w:t>
      </w:r>
      <w:r w:rsidR="00606837">
        <w:rPr>
          <w:rFonts w:ascii="KaiTi" w:eastAsia="KaiTi" w:hAnsi="KaiTi" w:hint="eastAsia"/>
        </w:rPr>
        <w:t>60698</w:t>
      </w:r>
      <w:r>
        <w:rPr>
          <w:rFonts w:ascii="KaiTi" w:eastAsia="KaiTi" w:hAnsi="KaiTi" w:hint="eastAsia"/>
        </w:rPr>
        <w:t>（折合人民币</w:t>
      </w:r>
      <w:r w:rsidR="00606837">
        <w:rPr>
          <w:rFonts w:ascii="KaiTi" w:eastAsia="KaiTi" w:hAnsi="KaiTi" w:hint="eastAsia"/>
        </w:rPr>
        <w:t>43.7万</w:t>
      </w:r>
      <w:r>
        <w:rPr>
          <w:rFonts w:ascii="KaiTi" w:eastAsia="KaiTi" w:hAnsi="KaiTi" w:hint="eastAsia"/>
        </w:rPr>
        <w:t>元，汇率按照7.2计算）</w:t>
      </w:r>
      <w:r w:rsidRPr="000C1D9B">
        <w:rPr>
          <w:rFonts w:ascii="KaiTi" w:eastAsia="KaiTi" w:hAnsi="KaiTi" w:hint="eastAsia"/>
        </w:rPr>
        <w:t>的现金流收入，派息</w:t>
      </w:r>
      <w:r>
        <w:rPr>
          <w:rFonts w:ascii="KaiTi" w:eastAsia="KaiTi" w:hAnsi="KaiTi" w:hint="eastAsia"/>
        </w:rPr>
        <w:t>年化</w:t>
      </w:r>
      <w:r w:rsidRPr="000C1D9B">
        <w:rPr>
          <w:rFonts w:ascii="KaiTi" w:eastAsia="KaiTi" w:hAnsi="KaiTi" w:hint="eastAsia"/>
        </w:rPr>
        <w:t>收益率为</w:t>
      </w:r>
      <w:r w:rsidRPr="00F51BCD">
        <w:rPr>
          <w:rFonts w:ascii="KaiTi" w:eastAsia="KaiTi" w:hAnsi="KaiTi" w:hint="eastAsia"/>
          <w:color w:val="FF0000"/>
        </w:rPr>
        <w:t>6.</w:t>
      </w:r>
      <w:r>
        <w:rPr>
          <w:rFonts w:ascii="KaiTi" w:eastAsia="KaiTi" w:hAnsi="KaiTi" w:hint="eastAsia"/>
          <w:color w:val="FF0000"/>
        </w:rPr>
        <w:t>6</w:t>
      </w:r>
      <w:r w:rsidR="00606837">
        <w:rPr>
          <w:rFonts w:ascii="KaiTi" w:eastAsia="KaiTi" w:hAnsi="KaiTi" w:hint="eastAsia"/>
          <w:color w:val="FF0000"/>
        </w:rPr>
        <w:t>2</w:t>
      </w:r>
      <w:r w:rsidRPr="00F51BCD">
        <w:rPr>
          <w:rFonts w:ascii="KaiTi" w:eastAsia="KaiTi" w:hAnsi="KaiTi" w:hint="eastAsia"/>
          <w:color w:val="FF0000"/>
        </w:rPr>
        <w:t>%</w:t>
      </w:r>
      <w:r w:rsidRPr="00F51BCD">
        <w:rPr>
          <w:rFonts w:ascii="KaiTi" w:eastAsia="KaiTi" w:hAnsi="KaiTi" w:hint="eastAsia"/>
          <w:color w:val="000000" w:themeColor="text1"/>
        </w:rPr>
        <w:t>（按照初始投资金额计算）</w:t>
      </w:r>
      <w:r w:rsidRPr="000C1D9B">
        <w:rPr>
          <w:rFonts w:ascii="KaiTi" w:eastAsia="KaiTi" w:hAnsi="KaiTi" w:hint="eastAsia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9"/>
        <w:gridCol w:w="958"/>
        <w:gridCol w:w="958"/>
        <w:gridCol w:w="958"/>
        <w:gridCol w:w="1013"/>
        <w:gridCol w:w="958"/>
        <w:gridCol w:w="958"/>
        <w:gridCol w:w="958"/>
      </w:tblGrid>
      <w:tr w:rsidR="00606837" w:rsidRPr="00606837" w14:paraId="0BB6C7BD" w14:textId="77777777" w:rsidTr="00606837">
        <w:trPr>
          <w:trHeight w:val="320"/>
        </w:trPr>
        <w:tc>
          <w:tcPr>
            <w:tcW w:w="3680" w:type="dxa"/>
            <w:noWrap/>
            <w:vAlign w:val="center"/>
            <w:hideMark/>
          </w:tcPr>
          <w:p w14:paraId="4747E28E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基金名称</w:t>
            </w:r>
          </w:p>
        </w:tc>
        <w:tc>
          <w:tcPr>
            <w:tcW w:w="1300" w:type="dxa"/>
            <w:noWrap/>
            <w:vAlign w:val="center"/>
            <w:hideMark/>
          </w:tcPr>
          <w:p w14:paraId="2BCB41D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除净日期</w:t>
            </w:r>
          </w:p>
        </w:tc>
        <w:tc>
          <w:tcPr>
            <w:tcW w:w="1300" w:type="dxa"/>
            <w:noWrap/>
            <w:vAlign w:val="center"/>
            <w:hideMark/>
          </w:tcPr>
          <w:p w14:paraId="2FAACB2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每单位派发</w:t>
            </w:r>
          </w:p>
        </w:tc>
        <w:tc>
          <w:tcPr>
            <w:tcW w:w="1300" w:type="dxa"/>
            <w:noWrap/>
            <w:vAlign w:val="center"/>
            <w:hideMark/>
          </w:tcPr>
          <w:p w14:paraId="4640410E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持有份额</w:t>
            </w:r>
          </w:p>
        </w:tc>
        <w:tc>
          <w:tcPr>
            <w:tcW w:w="1380" w:type="dxa"/>
            <w:noWrap/>
            <w:vAlign w:val="center"/>
            <w:hideMark/>
          </w:tcPr>
          <w:p w14:paraId="2A0C7E2B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派发合计</w:t>
            </w:r>
          </w:p>
        </w:tc>
        <w:tc>
          <w:tcPr>
            <w:tcW w:w="1300" w:type="dxa"/>
            <w:noWrap/>
            <w:vAlign w:val="center"/>
            <w:hideMark/>
          </w:tcPr>
          <w:p w14:paraId="3C51076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初始投资额</w:t>
            </w:r>
          </w:p>
        </w:tc>
        <w:tc>
          <w:tcPr>
            <w:tcW w:w="1300" w:type="dxa"/>
            <w:noWrap/>
            <w:vAlign w:val="center"/>
            <w:hideMark/>
          </w:tcPr>
          <w:p w14:paraId="0B967ED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月度派息收益率</w:t>
            </w:r>
          </w:p>
        </w:tc>
        <w:tc>
          <w:tcPr>
            <w:tcW w:w="1300" w:type="dxa"/>
            <w:noWrap/>
            <w:vAlign w:val="center"/>
            <w:hideMark/>
          </w:tcPr>
          <w:p w14:paraId="278DF32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年化派息收益率</w:t>
            </w:r>
          </w:p>
        </w:tc>
      </w:tr>
      <w:tr w:rsidR="00606837" w:rsidRPr="00606837" w14:paraId="4E40CE4F" w14:textId="77777777" w:rsidTr="00606837">
        <w:trPr>
          <w:trHeight w:val="320"/>
        </w:trPr>
        <w:tc>
          <w:tcPr>
            <w:tcW w:w="3680" w:type="dxa"/>
            <w:vMerge w:val="restart"/>
            <w:noWrap/>
            <w:vAlign w:val="center"/>
            <w:hideMark/>
          </w:tcPr>
          <w:p w14:paraId="7E194E9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Z12 美国中高等级债券基金</w:t>
            </w:r>
          </w:p>
        </w:tc>
        <w:tc>
          <w:tcPr>
            <w:tcW w:w="1300" w:type="dxa"/>
            <w:noWrap/>
            <w:vAlign w:val="center"/>
            <w:hideMark/>
          </w:tcPr>
          <w:p w14:paraId="2BE8C1C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11/1/24</w:t>
            </w:r>
          </w:p>
        </w:tc>
        <w:tc>
          <w:tcPr>
            <w:tcW w:w="1300" w:type="dxa"/>
            <w:noWrap/>
            <w:vAlign w:val="center"/>
            <w:hideMark/>
          </w:tcPr>
          <w:p w14:paraId="1B5F081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27C58264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5F2806B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1D96E39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40A5DF6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3678AAE4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3FE156AA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2737929B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9FFF8F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12/2/24</w:t>
            </w:r>
          </w:p>
        </w:tc>
        <w:tc>
          <w:tcPr>
            <w:tcW w:w="1300" w:type="dxa"/>
            <w:noWrap/>
            <w:vAlign w:val="center"/>
            <w:hideMark/>
          </w:tcPr>
          <w:p w14:paraId="0BFFA9A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6A1B1CF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2D321DC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76ACEEB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634E249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47DE8D5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51BEE166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42C68E9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659716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12/30/24</w:t>
            </w:r>
          </w:p>
        </w:tc>
        <w:tc>
          <w:tcPr>
            <w:tcW w:w="1300" w:type="dxa"/>
            <w:noWrap/>
            <w:vAlign w:val="center"/>
            <w:hideMark/>
          </w:tcPr>
          <w:p w14:paraId="4061476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6EFC137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578414D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0120A77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5CC569E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1C7BBAE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6BD85265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22D9F4F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E96E18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1/31/25</w:t>
            </w:r>
          </w:p>
        </w:tc>
        <w:tc>
          <w:tcPr>
            <w:tcW w:w="1300" w:type="dxa"/>
            <w:noWrap/>
            <w:vAlign w:val="center"/>
            <w:hideMark/>
          </w:tcPr>
          <w:p w14:paraId="1D56A3F4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1FDC8C0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6AF5A25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6C61D8B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00C3E11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759EE58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53C0F135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64DDD6B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D83053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3/3/25</w:t>
            </w:r>
          </w:p>
        </w:tc>
        <w:tc>
          <w:tcPr>
            <w:tcW w:w="1300" w:type="dxa"/>
            <w:noWrap/>
            <w:vAlign w:val="center"/>
            <w:hideMark/>
          </w:tcPr>
          <w:p w14:paraId="166C0DE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4A5E71F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244623A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31D1EC1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5D5A4FCB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6CB4161B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6F819EC7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2BF2719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EFBB66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4/1/25</w:t>
            </w:r>
          </w:p>
        </w:tc>
        <w:tc>
          <w:tcPr>
            <w:tcW w:w="1300" w:type="dxa"/>
            <w:noWrap/>
            <w:vAlign w:val="center"/>
            <w:hideMark/>
          </w:tcPr>
          <w:p w14:paraId="6992128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23DE390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1F3DEBC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2589FF6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3A18571B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52D2793B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08CC3551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5AB52A0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31A6AC4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5/1/25</w:t>
            </w:r>
          </w:p>
        </w:tc>
        <w:tc>
          <w:tcPr>
            <w:tcW w:w="1300" w:type="dxa"/>
            <w:noWrap/>
            <w:vAlign w:val="center"/>
            <w:hideMark/>
          </w:tcPr>
          <w:p w14:paraId="577ED6B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37FF16F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5020292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7CD815A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08C2DED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36EBA2A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4D386F71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1D262AF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C49E9B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6/2/25</w:t>
            </w:r>
          </w:p>
        </w:tc>
        <w:tc>
          <w:tcPr>
            <w:tcW w:w="1300" w:type="dxa"/>
            <w:noWrap/>
            <w:vAlign w:val="center"/>
            <w:hideMark/>
          </w:tcPr>
          <w:p w14:paraId="1A98EC7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77B4BE9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6C01730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0EA61C2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159394F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59C74895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0F983D92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091830C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014C76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7/1/25</w:t>
            </w:r>
          </w:p>
        </w:tc>
        <w:tc>
          <w:tcPr>
            <w:tcW w:w="1300" w:type="dxa"/>
            <w:noWrap/>
            <w:vAlign w:val="center"/>
            <w:hideMark/>
          </w:tcPr>
          <w:p w14:paraId="38332E6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1E874FA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4806956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3F9F4A7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5CF7B4B4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25DC4D8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097CDF13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5E7EBC9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F16C42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8/1/25</w:t>
            </w:r>
          </w:p>
        </w:tc>
        <w:tc>
          <w:tcPr>
            <w:tcW w:w="1300" w:type="dxa"/>
            <w:noWrap/>
            <w:vAlign w:val="center"/>
            <w:hideMark/>
          </w:tcPr>
          <w:p w14:paraId="6770D6D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6EEE4CBE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47030B0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5ACB356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40CCA82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065BC40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5F75CC92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16867FC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0E168C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9/2/25</w:t>
            </w:r>
          </w:p>
        </w:tc>
        <w:tc>
          <w:tcPr>
            <w:tcW w:w="1300" w:type="dxa"/>
            <w:noWrap/>
            <w:vAlign w:val="center"/>
            <w:hideMark/>
          </w:tcPr>
          <w:p w14:paraId="227EB3C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71C3A65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380" w:type="dxa"/>
            <w:noWrap/>
            <w:vAlign w:val="center"/>
            <w:hideMark/>
          </w:tcPr>
          <w:p w14:paraId="79D0672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1300" w:type="dxa"/>
            <w:noWrap/>
            <w:vAlign w:val="center"/>
            <w:hideMark/>
          </w:tcPr>
          <w:p w14:paraId="4B11915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1300" w:type="dxa"/>
            <w:noWrap/>
            <w:vAlign w:val="center"/>
            <w:hideMark/>
          </w:tcPr>
          <w:p w14:paraId="7C01988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1300" w:type="dxa"/>
            <w:noWrap/>
            <w:vAlign w:val="center"/>
            <w:hideMark/>
          </w:tcPr>
          <w:p w14:paraId="6445A91E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606837" w:rsidRPr="00606837" w14:paraId="7FC42F75" w14:textId="77777777" w:rsidTr="00606837">
        <w:trPr>
          <w:trHeight w:val="320"/>
        </w:trPr>
        <w:tc>
          <w:tcPr>
            <w:tcW w:w="3680" w:type="dxa"/>
            <w:vMerge w:val="restart"/>
            <w:noWrap/>
            <w:vAlign w:val="center"/>
            <w:hideMark/>
          </w:tcPr>
          <w:p w14:paraId="4535F3B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Z17 美国优质股权基金</w:t>
            </w:r>
          </w:p>
        </w:tc>
        <w:tc>
          <w:tcPr>
            <w:tcW w:w="1300" w:type="dxa"/>
            <w:noWrap/>
            <w:vAlign w:val="center"/>
            <w:hideMark/>
          </w:tcPr>
          <w:p w14:paraId="41D3F59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10/30/24</w:t>
            </w:r>
          </w:p>
        </w:tc>
        <w:tc>
          <w:tcPr>
            <w:tcW w:w="1300" w:type="dxa"/>
            <w:noWrap/>
            <w:vAlign w:val="center"/>
            <w:hideMark/>
          </w:tcPr>
          <w:p w14:paraId="7B82A07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0.054</w:t>
            </w:r>
          </w:p>
        </w:tc>
        <w:tc>
          <w:tcPr>
            <w:tcW w:w="1300" w:type="dxa"/>
            <w:noWrap/>
            <w:vAlign w:val="center"/>
            <w:hideMark/>
          </w:tcPr>
          <w:p w14:paraId="5D51D40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2741288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2395</w:t>
            </w:r>
          </w:p>
        </w:tc>
        <w:tc>
          <w:tcPr>
            <w:tcW w:w="1300" w:type="dxa"/>
            <w:noWrap/>
            <w:vAlign w:val="center"/>
            <w:hideMark/>
          </w:tcPr>
          <w:p w14:paraId="09BC9E2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240C3994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1300" w:type="dxa"/>
            <w:noWrap/>
            <w:vAlign w:val="center"/>
            <w:hideMark/>
          </w:tcPr>
          <w:p w14:paraId="04099C7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7.18%</w:t>
            </w:r>
          </w:p>
        </w:tc>
      </w:tr>
      <w:tr w:rsidR="00606837" w:rsidRPr="00606837" w14:paraId="5AA49FC6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245D9E7B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6959BA4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11/28/24</w:t>
            </w:r>
          </w:p>
        </w:tc>
        <w:tc>
          <w:tcPr>
            <w:tcW w:w="1300" w:type="dxa"/>
            <w:noWrap/>
            <w:vAlign w:val="center"/>
            <w:hideMark/>
          </w:tcPr>
          <w:p w14:paraId="2480BCF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0.054</w:t>
            </w:r>
          </w:p>
        </w:tc>
        <w:tc>
          <w:tcPr>
            <w:tcW w:w="1300" w:type="dxa"/>
            <w:noWrap/>
            <w:vAlign w:val="center"/>
            <w:hideMark/>
          </w:tcPr>
          <w:p w14:paraId="79DD45A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38C5611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2395</w:t>
            </w:r>
          </w:p>
        </w:tc>
        <w:tc>
          <w:tcPr>
            <w:tcW w:w="1300" w:type="dxa"/>
            <w:noWrap/>
            <w:vAlign w:val="center"/>
            <w:hideMark/>
          </w:tcPr>
          <w:p w14:paraId="072BB31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328312A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1300" w:type="dxa"/>
            <w:noWrap/>
            <w:vAlign w:val="center"/>
            <w:hideMark/>
          </w:tcPr>
          <w:p w14:paraId="696ECC6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7.18%</w:t>
            </w:r>
          </w:p>
        </w:tc>
      </w:tr>
      <w:tr w:rsidR="00606837" w:rsidRPr="00606837" w14:paraId="60FA7F4A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789261A4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2B8D44E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12/24/24</w:t>
            </w:r>
          </w:p>
        </w:tc>
        <w:tc>
          <w:tcPr>
            <w:tcW w:w="1300" w:type="dxa"/>
            <w:noWrap/>
            <w:vAlign w:val="center"/>
            <w:hideMark/>
          </w:tcPr>
          <w:p w14:paraId="27B5744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0.054</w:t>
            </w:r>
          </w:p>
        </w:tc>
        <w:tc>
          <w:tcPr>
            <w:tcW w:w="1300" w:type="dxa"/>
            <w:noWrap/>
            <w:vAlign w:val="center"/>
            <w:hideMark/>
          </w:tcPr>
          <w:p w14:paraId="773992C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76C0490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2395</w:t>
            </w:r>
          </w:p>
        </w:tc>
        <w:tc>
          <w:tcPr>
            <w:tcW w:w="1300" w:type="dxa"/>
            <w:noWrap/>
            <w:vAlign w:val="center"/>
            <w:hideMark/>
          </w:tcPr>
          <w:p w14:paraId="49BEC46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368146B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1300" w:type="dxa"/>
            <w:noWrap/>
            <w:vAlign w:val="center"/>
            <w:hideMark/>
          </w:tcPr>
          <w:p w14:paraId="18827CC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7.18%</w:t>
            </w:r>
          </w:p>
        </w:tc>
      </w:tr>
      <w:tr w:rsidR="00606837" w:rsidRPr="00606837" w14:paraId="39194C4A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04F22A4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94CAAF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1/31/25</w:t>
            </w:r>
          </w:p>
        </w:tc>
        <w:tc>
          <w:tcPr>
            <w:tcW w:w="1300" w:type="dxa"/>
            <w:noWrap/>
            <w:vAlign w:val="center"/>
            <w:hideMark/>
          </w:tcPr>
          <w:p w14:paraId="6D471F37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0.054</w:t>
            </w:r>
          </w:p>
        </w:tc>
        <w:tc>
          <w:tcPr>
            <w:tcW w:w="1300" w:type="dxa"/>
            <w:noWrap/>
            <w:vAlign w:val="center"/>
            <w:hideMark/>
          </w:tcPr>
          <w:p w14:paraId="5C85733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06A311E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2395</w:t>
            </w:r>
          </w:p>
        </w:tc>
        <w:tc>
          <w:tcPr>
            <w:tcW w:w="1300" w:type="dxa"/>
            <w:noWrap/>
            <w:vAlign w:val="center"/>
            <w:hideMark/>
          </w:tcPr>
          <w:p w14:paraId="38F19DF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28469DB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1300" w:type="dxa"/>
            <w:noWrap/>
            <w:vAlign w:val="center"/>
            <w:hideMark/>
          </w:tcPr>
          <w:p w14:paraId="381C84A4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7.18%</w:t>
            </w:r>
          </w:p>
        </w:tc>
      </w:tr>
      <w:tr w:rsidR="00606837" w:rsidRPr="00606837" w14:paraId="3AB5073A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1A907C04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3F263B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2/28/25</w:t>
            </w:r>
          </w:p>
        </w:tc>
        <w:tc>
          <w:tcPr>
            <w:tcW w:w="1300" w:type="dxa"/>
            <w:noWrap/>
            <w:vAlign w:val="center"/>
            <w:hideMark/>
          </w:tcPr>
          <w:p w14:paraId="74E8618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0.0545</w:t>
            </w:r>
          </w:p>
        </w:tc>
        <w:tc>
          <w:tcPr>
            <w:tcW w:w="1300" w:type="dxa"/>
            <w:noWrap/>
            <w:vAlign w:val="center"/>
            <w:hideMark/>
          </w:tcPr>
          <w:p w14:paraId="11F1A60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7E7A0585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2417</w:t>
            </w:r>
          </w:p>
        </w:tc>
        <w:tc>
          <w:tcPr>
            <w:tcW w:w="1300" w:type="dxa"/>
            <w:noWrap/>
            <w:vAlign w:val="center"/>
            <w:hideMark/>
          </w:tcPr>
          <w:p w14:paraId="2A32B00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75971DC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1300" w:type="dxa"/>
            <w:noWrap/>
            <w:vAlign w:val="center"/>
            <w:hideMark/>
          </w:tcPr>
          <w:p w14:paraId="415D7DE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7.25%</w:t>
            </w:r>
          </w:p>
        </w:tc>
      </w:tr>
      <w:tr w:rsidR="00606837" w:rsidRPr="00606837" w14:paraId="141E1F23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4DE307E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9B2D58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3/31/25</w:t>
            </w:r>
          </w:p>
        </w:tc>
        <w:tc>
          <w:tcPr>
            <w:tcW w:w="1300" w:type="dxa"/>
            <w:noWrap/>
            <w:vAlign w:val="center"/>
            <w:hideMark/>
          </w:tcPr>
          <w:p w14:paraId="7CB56C4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0.0545</w:t>
            </w:r>
          </w:p>
        </w:tc>
        <w:tc>
          <w:tcPr>
            <w:tcW w:w="1300" w:type="dxa"/>
            <w:noWrap/>
            <w:vAlign w:val="center"/>
            <w:hideMark/>
          </w:tcPr>
          <w:p w14:paraId="57071B3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46AC9EFE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2417</w:t>
            </w:r>
          </w:p>
        </w:tc>
        <w:tc>
          <w:tcPr>
            <w:tcW w:w="1300" w:type="dxa"/>
            <w:noWrap/>
            <w:vAlign w:val="center"/>
            <w:hideMark/>
          </w:tcPr>
          <w:p w14:paraId="675C5A1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5CF8890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1300" w:type="dxa"/>
            <w:noWrap/>
            <w:vAlign w:val="center"/>
            <w:hideMark/>
          </w:tcPr>
          <w:p w14:paraId="45ACE01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7.25%</w:t>
            </w:r>
          </w:p>
        </w:tc>
      </w:tr>
      <w:tr w:rsidR="00606837" w:rsidRPr="00606837" w14:paraId="323331BD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629D457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67E2E6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4/30/25</w:t>
            </w:r>
          </w:p>
        </w:tc>
        <w:tc>
          <w:tcPr>
            <w:tcW w:w="1300" w:type="dxa"/>
            <w:noWrap/>
            <w:vAlign w:val="center"/>
            <w:hideMark/>
          </w:tcPr>
          <w:p w14:paraId="71C73F9E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0.0545</w:t>
            </w:r>
          </w:p>
        </w:tc>
        <w:tc>
          <w:tcPr>
            <w:tcW w:w="1300" w:type="dxa"/>
            <w:noWrap/>
            <w:vAlign w:val="center"/>
            <w:hideMark/>
          </w:tcPr>
          <w:p w14:paraId="03E0899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580A01D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2417</w:t>
            </w:r>
          </w:p>
        </w:tc>
        <w:tc>
          <w:tcPr>
            <w:tcW w:w="1300" w:type="dxa"/>
            <w:noWrap/>
            <w:vAlign w:val="center"/>
            <w:hideMark/>
          </w:tcPr>
          <w:p w14:paraId="12F5C5F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79B7556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1300" w:type="dxa"/>
            <w:noWrap/>
            <w:vAlign w:val="center"/>
            <w:hideMark/>
          </w:tcPr>
          <w:p w14:paraId="09558DF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7.25%</w:t>
            </w:r>
          </w:p>
        </w:tc>
      </w:tr>
      <w:tr w:rsidR="00606837" w:rsidRPr="00606837" w14:paraId="39AD7637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7107FBAB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A4ED16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5/30/25</w:t>
            </w:r>
          </w:p>
        </w:tc>
        <w:tc>
          <w:tcPr>
            <w:tcW w:w="1300" w:type="dxa"/>
            <w:noWrap/>
            <w:vAlign w:val="center"/>
            <w:hideMark/>
          </w:tcPr>
          <w:p w14:paraId="1CC4F14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0.0565</w:t>
            </w:r>
          </w:p>
        </w:tc>
        <w:tc>
          <w:tcPr>
            <w:tcW w:w="1300" w:type="dxa"/>
            <w:noWrap/>
            <w:vAlign w:val="center"/>
            <w:hideMark/>
          </w:tcPr>
          <w:p w14:paraId="4A6910D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3BB84FC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2505</w:t>
            </w:r>
          </w:p>
        </w:tc>
        <w:tc>
          <w:tcPr>
            <w:tcW w:w="1300" w:type="dxa"/>
            <w:noWrap/>
            <w:vAlign w:val="center"/>
            <w:hideMark/>
          </w:tcPr>
          <w:p w14:paraId="28D9D4F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47CD019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0.63%</w:t>
            </w:r>
          </w:p>
        </w:tc>
        <w:tc>
          <w:tcPr>
            <w:tcW w:w="1300" w:type="dxa"/>
            <w:noWrap/>
            <w:vAlign w:val="center"/>
            <w:hideMark/>
          </w:tcPr>
          <w:p w14:paraId="1EC2FE9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7.52%</w:t>
            </w:r>
          </w:p>
        </w:tc>
      </w:tr>
      <w:tr w:rsidR="00606837" w:rsidRPr="00606837" w14:paraId="74862776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4E9CFEE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7EB1B4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6/30/25</w:t>
            </w:r>
          </w:p>
        </w:tc>
        <w:tc>
          <w:tcPr>
            <w:tcW w:w="1300" w:type="dxa"/>
            <w:noWrap/>
            <w:vAlign w:val="center"/>
            <w:hideMark/>
          </w:tcPr>
          <w:p w14:paraId="1183A58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0.0565</w:t>
            </w:r>
          </w:p>
        </w:tc>
        <w:tc>
          <w:tcPr>
            <w:tcW w:w="1300" w:type="dxa"/>
            <w:noWrap/>
            <w:vAlign w:val="center"/>
            <w:hideMark/>
          </w:tcPr>
          <w:p w14:paraId="0272013E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6AA648C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2505</w:t>
            </w:r>
          </w:p>
        </w:tc>
        <w:tc>
          <w:tcPr>
            <w:tcW w:w="1300" w:type="dxa"/>
            <w:noWrap/>
            <w:vAlign w:val="center"/>
            <w:hideMark/>
          </w:tcPr>
          <w:p w14:paraId="0843601B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1BCA937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0.63%</w:t>
            </w:r>
          </w:p>
        </w:tc>
        <w:tc>
          <w:tcPr>
            <w:tcW w:w="1300" w:type="dxa"/>
            <w:noWrap/>
            <w:vAlign w:val="center"/>
            <w:hideMark/>
          </w:tcPr>
          <w:p w14:paraId="458759A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7.52%</w:t>
            </w:r>
          </w:p>
        </w:tc>
      </w:tr>
      <w:tr w:rsidR="00606837" w:rsidRPr="00606837" w14:paraId="5ADBE1D2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59A4DFFD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531CBF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7/31/25</w:t>
            </w:r>
          </w:p>
        </w:tc>
        <w:tc>
          <w:tcPr>
            <w:tcW w:w="1300" w:type="dxa"/>
            <w:noWrap/>
            <w:vAlign w:val="center"/>
            <w:hideMark/>
          </w:tcPr>
          <w:p w14:paraId="026BBC60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0.0565</w:t>
            </w:r>
          </w:p>
        </w:tc>
        <w:tc>
          <w:tcPr>
            <w:tcW w:w="1300" w:type="dxa"/>
            <w:noWrap/>
            <w:vAlign w:val="center"/>
            <w:hideMark/>
          </w:tcPr>
          <w:p w14:paraId="7A264DF8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2A8A0B8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2505</w:t>
            </w:r>
          </w:p>
        </w:tc>
        <w:tc>
          <w:tcPr>
            <w:tcW w:w="1300" w:type="dxa"/>
            <w:noWrap/>
            <w:vAlign w:val="center"/>
            <w:hideMark/>
          </w:tcPr>
          <w:p w14:paraId="0CE9CC3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004BD8A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0.63%</w:t>
            </w:r>
          </w:p>
        </w:tc>
        <w:tc>
          <w:tcPr>
            <w:tcW w:w="1300" w:type="dxa"/>
            <w:noWrap/>
            <w:vAlign w:val="center"/>
            <w:hideMark/>
          </w:tcPr>
          <w:p w14:paraId="78C28E59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7.52%</w:t>
            </w:r>
          </w:p>
        </w:tc>
      </w:tr>
      <w:tr w:rsidR="00606837" w:rsidRPr="00606837" w14:paraId="6F7A4CC4" w14:textId="77777777" w:rsidTr="00606837">
        <w:trPr>
          <w:trHeight w:val="320"/>
        </w:trPr>
        <w:tc>
          <w:tcPr>
            <w:tcW w:w="3680" w:type="dxa"/>
            <w:vMerge/>
            <w:vAlign w:val="center"/>
            <w:hideMark/>
          </w:tcPr>
          <w:p w14:paraId="4073165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A2C2A3F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8/29/25</w:t>
            </w:r>
          </w:p>
        </w:tc>
        <w:tc>
          <w:tcPr>
            <w:tcW w:w="1300" w:type="dxa"/>
            <w:noWrap/>
            <w:vAlign w:val="center"/>
            <w:hideMark/>
          </w:tcPr>
          <w:p w14:paraId="2B5D804A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0.0575</w:t>
            </w:r>
          </w:p>
        </w:tc>
        <w:tc>
          <w:tcPr>
            <w:tcW w:w="1300" w:type="dxa"/>
            <w:noWrap/>
            <w:vAlign w:val="center"/>
            <w:hideMark/>
          </w:tcPr>
          <w:p w14:paraId="3D0F62B6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380" w:type="dxa"/>
            <w:noWrap/>
            <w:vAlign w:val="center"/>
            <w:hideMark/>
          </w:tcPr>
          <w:p w14:paraId="124AB311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2550</w:t>
            </w:r>
          </w:p>
        </w:tc>
        <w:tc>
          <w:tcPr>
            <w:tcW w:w="1300" w:type="dxa"/>
            <w:noWrap/>
            <w:vAlign w:val="center"/>
            <w:hideMark/>
          </w:tcPr>
          <w:p w14:paraId="56C44993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1300" w:type="dxa"/>
            <w:noWrap/>
            <w:vAlign w:val="center"/>
            <w:hideMark/>
          </w:tcPr>
          <w:p w14:paraId="4347614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0.64%</w:t>
            </w:r>
          </w:p>
        </w:tc>
        <w:tc>
          <w:tcPr>
            <w:tcW w:w="1300" w:type="dxa"/>
            <w:noWrap/>
            <w:vAlign w:val="center"/>
            <w:hideMark/>
          </w:tcPr>
          <w:p w14:paraId="246C72B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7.65%</w:t>
            </w:r>
          </w:p>
        </w:tc>
      </w:tr>
      <w:tr w:rsidR="00606837" w:rsidRPr="00606837" w14:paraId="41D122C3" w14:textId="77777777" w:rsidTr="00606837">
        <w:trPr>
          <w:trHeight w:val="320"/>
        </w:trPr>
        <w:tc>
          <w:tcPr>
            <w:tcW w:w="7580" w:type="dxa"/>
            <w:gridSpan w:val="4"/>
            <w:noWrap/>
            <w:vAlign w:val="center"/>
            <w:hideMark/>
          </w:tcPr>
          <w:p w14:paraId="41DFFD6E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lastRenderedPageBreak/>
              <w:t>合计</w:t>
            </w:r>
          </w:p>
        </w:tc>
        <w:tc>
          <w:tcPr>
            <w:tcW w:w="1380" w:type="dxa"/>
            <w:noWrap/>
            <w:vAlign w:val="center"/>
            <w:hideMark/>
          </w:tcPr>
          <w:p w14:paraId="490A32F6" w14:textId="66BB9D86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60,698</w:t>
            </w:r>
          </w:p>
        </w:tc>
        <w:tc>
          <w:tcPr>
            <w:tcW w:w="1300" w:type="dxa"/>
            <w:noWrap/>
            <w:vAlign w:val="center"/>
            <w:hideMark/>
          </w:tcPr>
          <w:p w14:paraId="2751E494" w14:textId="2DF4FDB0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999,995</w:t>
            </w:r>
          </w:p>
        </w:tc>
        <w:tc>
          <w:tcPr>
            <w:tcW w:w="1300" w:type="dxa"/>
            <w:noWrap/>
            <w:vAlign w:val="center"/>
            <w:hideMark/>
          </w:tcPr>
          <w:p w14:paraId="0BBADA1C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0.55%</w:t>
            </w:r>
          </w:p>
        </w:tc>
        <w:tc>
          <w:tcPr>
            <w:tcW w:w="1300" w:type="dxa"/>
            <w:noWrap/>
            <w:vAlign w:val="center"/>
            <w:hideMark/>
          </w:tcPr>
          <w:p w14:paraId="1A4E1D92" w14:textId="77777777" w:rsidR="00606837" w:rsidRPr="00606837" w:rsidRDefault="00606837" w:rsidP="00606837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606837">
              <w:rPr>
                <w:rFonts w:ascii="KaiTi" w:eastAsia="KaiTi" w:hAnsi="KaiTi"/>
                <w:sz w:val="21"/>
                <w:szCs w:val="21"/>
              </w:rPr>
              <w:t>6.62%</w:t>
            </w:r>
          </w:p>
        </w:tc>
      </w:tr>
    </w:tbl>
    <w:p w14:paraId="1CF6B81C" w14:textId="77777777" w:rsidR="005A417E" w:rsidRDefault="005A417E" w:rsidP="00606837"/>
    <w:sectPr w:rsidR="005A4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821F50"/>
    <w:multiLevelType w:val="multilevel"/>
    <w:tmpl w:val="E704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A328B"/>
    <w:multiLevelType w:val="multilevel"/>
    <w:tmpl w:val="9BB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95FB6"/>
    <w:multiLevelType w:val="multilevel"/>
    <w:tmpl w:val="381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727A0"/>
    <w:multiLevelType w:val="multilevel"/>
    <w:tmpl w:val="B678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D711E"/>
    <w:multiLevelType w:val="multilevel"/>
    <w:tmpl w:val="DA4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87E93"/>
    <w:multiLevelType w:val="multilevel"/>
    <w:tmpl w:val="272E9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3D53AF"/>
    <w:multiLevelType w:val="multilevel"/>
    <w:tmpl w:val="53C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53A66"/>
    <w:multiLevelType w:val="multilevel"/>
    <w:tmpl w:val="214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871904">
    <w:abstractNumId w:val="3"/>
  </w:num>
  <w:num w:numId="2" w16cid:durableId="710691052">
    <w:abstractNumId w:val="1"/>
  </w:num>
  <w:num w:numId="3" w16cid:durableId="1960987936">
    <w:abstractNumId w:val="6"/>
  </w:num>
  <w:num w:numId="4" w16cid:durableId="595285986">
    <w:abstractNumId w:val="7"/>
  </w:num>
  <w:num w:numId="5" w16cid:durableId="651103352">
    <w:abstractNumId w:val="4"/>
  </w:num>
  <w:num w:numId="6" w16cid:durableId="833960539">
    <w:abstractNumId w:val="5"/>
  </w:num>
  <w:num w:numId="7" w16cid:durableId="1215122610">
    <w:abstractNumId w:val="0"/>
  </w:num>
  <w:num w:numId="8" w16cid:durableId="2071029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7E"/>
    <w:rsid w:val="00045F6D"/>
    <w:rsid w:val="0005582F"/>
    <w:rsid w:val="000572D6"/>
    <w:rsid w:val="000779A5"/>
    <w:rsid w:val="000B3144"/>
    <w:rsid w:val="002A085D"/>
    <w:rsid w:val="00375CC7"/>
    <w:rsid w:val="00436C20"/>
    <w:rsid w:val="004545E5"/>
    <w:rsid w:val="00457656"/>
    <w:rsid w:val="00494555"/>
    <w:rsid w:val="00547239"/>
    <w:rsid w:val="005A417E"/>
    <w:rsid w:val="00606837"/>
    <w:rsid w:val="00690C0D"/>
    <w:rsid w:val="007A4EF5"/>
    <w:rsid w:val="00924F46"/>
    <w:rsid w:val="00A31813"/>
    <w:rsid w:val="00B31F83"/>
    <w:rsid w:val="00BE7A70"/>
    <w:rsid w:val="00DA3EEF"/>
    <w:rsid w:val="00F43A59"/>
    <w:rsid w:val="00FB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C029"/>
  <w15:chartTrackingRefBased/>
  <w15:docId w15:val="{3857B44B-0845-5447-B2C8-06113F4D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17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A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545E5"/>
  </w:style>
  <w:style w:type="paragraph" w:customStyle="1" w:styleId="p3">
    <w:name w:val="p3"/>
    <w:basedOn w:val="Normal"/>
    <w:rsid w:val="0045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5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90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74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14</cp:revision>
  <dcterms:created xsi:type="dcterms:W3CDTF">2025-09-25T01:56:00Z</dcterms:created>
  <dcterms:modified xsi:type="dcterms:W3CDTF">2025-09-25T03:30:00Z</dcterms:modified>
</cp:coreProperties>
</file>