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52941C" w14:textId="0804C269" w:rsidR="008331DE" w:rsidRPr="008331DE" w:rsidRDefault="008331DE" w:rsidP="008331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 w:hint="eastAsia"/>
          <w:b/>
          <w:bCs/>
          <w:kern w:val="36"/>
          <w:sz w:val="48"/>
          <w:szCs w:val="48"/>
          <w14:ligatures w14:val="none"/>
        </w:rPr>
      </w:pPr>
      <w:r w:rsidRPr="008331D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📘</w:t>
      </w:r>
      <w:r w:rsidRPr="008331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8331DE">
        <w:rPr>
          <w:rFonts w:ascii="PingFang TC" w:eastAsia="PingFang TC" w:hAnsi="PingFang TC" w:cs="PingFang TC" w:hint="eastAsia"/>
          <w:b/>
          <w:bCs/>
          <w:kern w:val="36"/>
          <w:sz w:val="48"/>
          <w:szCs w:val="48"/>
          <w14:ligatures w14:val="none"/>
        </w:rPr>
        <w:t>为什么</w:t>
      </w:r>
      <w:r w:rsidRPr="008331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VNQ </w:t>
      </w:r>
      <w:r w:rsidRPr="008331DE">
        <w:rPr>
          <w:rFonts w:ascii="PingFang TC" w:eastAsia="PingFang TC" w:hAnsi="PingFang TC" w:cs="PingFang TC" w:hint="eastAsia"/>
          <w:b/>
          <w:bCs/>
          <w:kern w:val="36"/>
          <w:sz w:val="48"/>
          <w:szCs w:val="48"/>
          <w14:ligatures w14:val="none"/>
        </w:rPr>
        <w:t>过去十年表现不如预期？我们该如何理性</w:t>
      </w:r>
      <w:r w:rsidR="00424734">
        <w:rPr>
          <w:rFonts w:ascii="PingFang TC" w:eastAsia="PingFang TC" w:hAnsi="PingFang TC" w:cs="PingFang TC" w:hint="eastAsia"/>
          <w:b/>
          <w:bCs/>
          <w:kern w:val="36"/>
          <w:sz w:val="48"/>
          <w:szCs w:val="48"/>
          <w14:ligatures w14:val="none"/>
        </w:rPr>
        <w:t>抉择</w:t>
      </w:r>
    </w:p>
    <w:p w14:paraId="4108E571" w14:textId="77777777" w:rsidR="008331DE" w:rsidRPr="008331DE" w:rsidRDefault="008331DE" w:rsidP="0083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56EFDA" w14:textId="77777777" w:rsidR="008331DE" w:rsidRPr="008331DE" w:rsidRDefault="008331DE" w:rsidP="008331DE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8331DE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“</w:t>
      </w:r>
      <w:r w:rsidRPr="008331DE">
        <w:rPr>
          <w:rFonts w:ascii="PingFang TC" w:eastAsia="PingFang TC" w:hAnsi="PingFang TC" w:cs="PingFang TC" w:hint="eastAsia"/>
          <w:color w:val="0E0E0E"/>
          <w:kern w:val="0"/>
          <w:sz w:val="21"/>
          <w:szCs w:val="21"/>
          <w14:ligatures w14:val="none"/>
        </w:rPr>
        <w:t>明明讲了那么多</w:t>
      </w:r>
      <w:r w:rsidRPr="008331DE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REITs</w:t>
      </w:r>
      <w:r w:rsidRPr="008331DE">
        <w:rPr>
          <w:rFonts w:ascii="PingFang TC" w:eastAsia="PingFang TC" w:hAnsi="PingFang TC" w:cs="PingFang TC" w:hint="eastAsia"/>
          <w:color w:val="0E0E0E"/>
          <w:kern w:val="0"/>
          <w:sz w:val="21"/>
          <w:szCs w:val="21"/>
          <w14:ligatures w14:val="none"/>
        </w:rPr>
        <w:t>的好处，为什么代表性的</w:t>
      </w:r>
      <w:r w:rsidRPr="008331DE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ETF —— VNQ </w:t>
      </w:r>
      <w:r w:rsidRPr="008331DE">
        <w:rPr>
          <w:rFonts w:ascii="PingFang TC" w:eastAsia="PingFang TC" w:hAnsi="PingFang TC" w:cs="PingFang TC" w:hint="eastAsia"/>
          <w:color w:val="0E0E0E"/>
          <w:kern w:val="0"/>
          <w:sz w:val="21"/>
          <w:szCs w:val="21"/>
          <w14:ligatures w14:val="none"/>
        </w:rPr>
        <w:t>却跑输大盘？</w:t>
      </w:r>
      <w:r w:rsidRPr="008331DE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”</w:t>
      </w:r>
    </w:p>
    <w:p w14:paraId="5B3C42D4" w14:textId="77777777" w:rsidR="008331DE" w:rsidRPr="008331DE" w:rsidRDefault="008331DE" w:rsidP="008331DE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8331DE">
        <w:rPr>
          <w:rFonts w:ascii="PingFang TC" w:eastAsia="PingFang TC" w:hAnsi="PingFang TC" w:cs="PingFang TC" w:hint="eastAsia"/>
          <w:color w:val="0E0E0E"/>
          <w:kern w:val="0"/>
          <w:sz w:val="21"/>
          <w:szCs w:val="21"/>
          <w14:ligatures w14:val="none"/>
        </w:rPr>
        <w:t>如果你也有这个疑问，那这篇文章值得你花几分钟认真看完</w:t>
      </w:r>
      <w:r w:rsidRPr="008331DE">
        <w:rPr>
          <w:rFonts w:ascii="PingFang TC" w:eastAsia="PingFang TC" w:hAnsi="PingFang TC" w:cs="PingFang TC"/>
          <w:color w:val="0E0E0E"/>
          <w:kern w:val="0"/>
          <w:sz w:val="21"/>
          <w:szCs w:val="21"/>
          <w14:ligatures w14:val="none"/>
        </w:rPr>
        <w:t>。</w:t>
      </w:r>
    </w:p>
    <w:p w14:paraId="31DCA78B" w14:textId="77777777" w:rsidR="008331DE" w:rsidRPr="008331DE" w:rsidRDefault="000F21B3" w:rsidP="008331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0514668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91441E1" w14:textId="77777777" w:rsidR="008331DE" w:rsidRPr="008331DE" w:rsidRDefault="008331DE" w:rsidP="008331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31DE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一、</w:t>
      </w:r>
      <w:r w:rsidRPr="008331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REITs </w:t>
      </w:r>
      <w:r w:rsidRPr="008331DE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表现不佳，但并不等于</w:t>
      </w:r>
      <w:r w:rsidRPr="008331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“</w:t>
      </w:r>
      <w:r w:rsidRPr="008331DE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失效</w:t>
      </w:r>
      <w:r w:rsidRPr="008331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”</w:t>
      </w:r>
    </w:p>
    <w:p w14:paraId="19305265" w14:textId="77777777" w:rsidR="008331DE" w:rsidRPr="008331DE" w:rsidRDefault="008331DE" w:rsidP="0083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D5B7B1" w14:textId="77777777" w:rsidR="008331DE" w:rsidRPr="008331DE" w:rsidRDefault="008331DE" w:rsidP="0083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房地产信托基金（</w:t>
      </w:r>
      <w:r w:rsidRPr="008331DE">
        <w:rPr>
          <w:rFonts w:ascii="Times New Roman" w:eastAsia="Times New Roman" w:hAnsi="Times New Roman" w:cs="Times New Roman"/>
          <w:kern w:val="0"/>
          <w14:ligatures w14:val="none"/>
        </w:rPr>
        <w:t>REITs</w:t>
      </w: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）长期被认为是</w:t>
      </w:r>
      <w:r w:rsidRPr="008331DE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收租神器</w:t>
      </w:r>
      <w:r w:rsidRPr="008331DE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：它</w:t>
      </w:r>
      <w:r w:rsidRPr="008331DE">
        <w:rPr>
          <w:rFonts w:ascii="SimSun" w:eastAsia="SimSun" w:hAnsi="SimSun" w:cs="SimSun" w:hint="eastAsia"/>
          <w:kern w:val="0"/>
          <w14:ligatures w14:val="none"/>
        </w:rPr>
        <w:t>稳</w:t>
      </w: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定分红、抗通胀、分散风险，是机构和家庭资产配置中的</w:t>
      </w:r>
      <w:r w:rsidRPr="008331DE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现金流主力</w:t>
      </w:r>
      <w:r w:rsidRPr="008331DE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8331DE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3AF4FAAF" w14:textId="77777777" w:rsidR="008331DE" w:rsidRPr="008331DE" w:rsidRDefault="008331DE" w:rsidP="0083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41EF4D" w14:textId="77777777" w:rsidR="008331DE" w:rsidRPr="008331DE" w:rsidRDefault="008331DE" w:rsidP="0083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但过去</w:t>
      </w:r>
      <w:r w:rsidRPr="008331DE">
        <w:rPr>
          <w:rFonts w:ascii="Times New Roman" w:eastAsia="Times New Roman" w:hAnsi="Times New Roman" w:cs="Times New Roman"/>
          <w:kern w:val="0"/>
          <w14:ligatures w14:val="none"/>
        </w:rPr>
        <w:t>10</w:t>
      </w: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年，代表</w:t>
      </w:r>
      <w:r w:rsidRPr="008331DE">
        <w:rPr>
          <w:rFonts w:ascii="Times New Roman" w:eastAsia="Times New Roman" w:hAnsi="Times New Roman" w:cs="Times New Roman"/>
          <w:kern w:val="0"/>
          <w14:ligatures w14:val="none"/>
        </w:rPr>
        <w:t>REITs</w:t>
      </w: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的</w:t>
      </w:r>
      <w:r w:rsidRPr="008331DE">
        <w:rPr>
          <w:rFonts w:ascii="Times New Roman" w:eastAsia="Times New Roman" w:hAnsi="Times New Roman" w:cs="Times New Roman"/>
          <w:kern w:val="0"/>
          <w14:ligatures w14:val="none"/>
        </w:rPr>
        <w:t>ETF——</w:t>
      </w:r>
      <w:r w:rsidRPr="008331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VNQ</w:t>
      </w:r>
      <w:r w:rsidRPr="008331DE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（</w:t>
      </w:r>
      <w:r w:rsidRPr="008331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Vanguard Real Estate ETF</w:t>
      </w:r>
      <w:r w:rsidRPr="008331DE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）</w:t>
      </w: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，年化回报约</w:t>
      </w:r>
      <w:r w:rsidRPr="008331DE">
        <w:rPr>
          <w:rFonts w:ascii="Times New Roman" w:eastAsia="Times New Roman" w:hAnsi="Times New Roman" w:cs="Times New Roman"/>
          <w:kern w:val="0"/>
          <w14:ligatures w14:val="none"/>
        </w:rPr>
        <w:t>5.4%</w:t>
      </w: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，显著落后于标普</w:t>
      </w:r>
      <w:r w:rsidRPr="008331DE">
        <w:rPr>
          <w:rFonts w:ascii="Times New Roman" w:eastAsia="Times New Roman" w:hAnsi="Times New Roman" w:cs="Times New Roman"/>
          <w:kern w:val="0"/>
          <w14:ligatures w14:val="none"/>
        </w:rPr>
        <w:t>500</w:t>
      </w: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的</w:t>
      </w:r>
      <w:r w:rsidRPr="008331DE">
        <w:rPr>
          <w:rFonts w:ascii="Times New Roman" w:eastAsia="Times New Roman" w:hAnsi="Times New Roman" w:cs="Times New Roman"/>
          <w:kern w:val="0"/>
          <w14:ligatures w14:val="none"/>
        </w:rPr>
        <w:t>13.3%</w:t>
      </w:r>
      <w:r w:rsidRPr="008331DE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7386541B" w14:textId="77777777" w:rsidR="008331DE" w:rsidRPr="008331DE" w:rsidRDefault="008331DE" w:rsidP="0083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很多投资者开始质疑：</w:t>
      </w:r>
      <w:r w:rsidRPr="008331DE">
        <w:rPr>
          <w:rFonts w:ascii="Times New Roman" w:eastAsia="Times New Roman" w:hAnsi="Times New Roman" w:cs="Times New Roman"/>
          <w:kern w:val="0"/>
          <w14:ligatures w14:val="none"/>
        </w:rPr>
        <w:t>REITs</w:t>
      </w: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是否已经过时了？是否不再值得投资</w:t>
      </w:r>
      <w:r w:rsidRPr="008331DE">
        <w:rPr>
          <w:rFonts w:ascii="PingFang TC" w:eastAsia="PingFang TC" w:hAnsi="PingFang TC" w:cs="PingFang TC"/>
          <w:kern w:val="0"/>
          <w14:ligatures w14:val="none"/>
        </w:rPr>
        <w:t>？</w:t>
      </w:r>
    </w:p>
    <w:p w14:paraId="035588AC" w14:textId="77777777" w:rsidR="008331DE" w:rsidRPr="008331DE" w:rsidRDefault="008331DE" w:rsidP="0083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68E184" w14:textId="77777777" w:rsidR="008331DE" w:rsidRPr="008331DE" w:rsidRDefault="008331DE" w:rsidP="0083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在你放弃之前，不妨换个视角：</w:t>
      </w:r>
      <w:r w:rsidRPr="008331DE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这是一场周期与估值的交叉冲击，而非逻辑的终结</w:t>
      </w:r>
      <w:r w:rsidRPr="008331DE">
        <w:rPr>
          <w:rFonts w:ascii="PingFang TC" w:eastAsia="PingFang TC" w:hAnsi="PingFang TC" w:cs="PingFang TC"/>
          <w:b/>
          <w:bCs/>
          <w:kern w:val="0"/>
          <w14:ligatures w14:val="none"/>
        </w:rPr>
        <w:t>。</w:t>
      </w:r>
    </w:p>
    <w:p w14:paraId="69A02CD0" w14:textId="77777777" w:rsidR="008331DE" w:rsidRPr="008331DE" w:rsidRDefault="000F21B3" w:rsidP="008331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906DD7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0E419AE" w14:textId="77777777" w:rsidR="008331DE" w:rsidRPr="008331DE" w:rsidRDefault="008331DE" w:rsidP="008331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31DE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二、</w:t>
      </w:r>
      <w:r w:rsidRPr="008331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REITs </w:t>
      </w:r>
      <w:r w:rsidRPr="008331DE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当前正处于历史低估</w:t>
      </w:r>
      <w:r w:rsidRPr="008331DE">
        <w:rPr>
          <w:rFonts w:ascii="PingFang TC" w:eastAsia="PingFang TC" w:hAnsi="PingFang TC" w:cs="PingFang TC"/>
          <w:b/>
          <w:bCs/>
          <w:kern w:val="0"/>
          <w:sz w:val="36"/>
          <w:szCs w:val="36"/>
          <w14:ligatures w14:val="none"/>
        </w:rPr>
        <w:t>区</w:t>
      </w:r>
    </w:p>
    <w:p w14:paraId="09B9F431" w14:textId="77777777" w:rsidR="008331DE" w:rsidRPr="008331DE" w:rsidRDefault="008331DE" w:rsidP="0083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D9B652" w14:textId="77777777" w:rsidR="008331DE" w:rsidRPr="008331DE" w:rsidRDefault="008331DE" w:rsidP="0083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经历了</w:t>
      </w:r>
      <w:r w:rsidRPr="008331DE">
        <w:rPr>
          <w:rFonts w:ascii="Times New Roman" w:eastAsia="Times New Roman" w:hAnsi="Times New Roman" w:cs="Times New Roman"/>
          <w:kern w:val="0"/>
          <w14:ligatures w14:val="none"/>
        </w:rPr>
        <w:t>2022–2023</w:t>
      </w: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年加息周期与疫情后的结构调整，</w:t>
      </w:r>
      <w:r w:rsidRPr="008331DE">
        <w:rPr>
          <w:rFonts w:ascii="Times New Roman" w:eastAsia="Times New Roman" w:hAnsi="Times New Roman" w:cs="Times New Roman"/>
          <w:kern w:val="0"/>
          <w14:ligatures w14:val="none"/>
        </w:rPr>
        <w:t xml:space="preserve">REITs </w:t>
      </w: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的估值已经出现了显著修复</w:t>
      </w:r>
      <w:r w:rsidRPr="008331DE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64343C4E" w14:textId="77777777" w:rsidR="008331DE" w:rsidRPr="008331DE" w:rsidRDefault="008331DE" w:rsidP="0083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FA7858" w14:textId="77777777" w:rsidR="008331DE" w:rsidRPr="008331DE" w:rsidRDefault="008331DE" w:rsidP="0083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据</w:t>
      </w:r>
      <w:r w:rsidRPr="008331DE">
        <w:rPr>
          <w:rFonts w:ascii="Times New Roman" w:eastAsia="Times New Roman" w:hAnsi="Times New Roman" w:cs="Times New Roman"/>
          <w:kern w:val="0"/>
          <w14:ligatures w14:val="none"/>
        </w:rPr>
        <w:t xml:space="preserve"> Morningstar</w:t>
      </w: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、</w:t>
      </w:r>
      <w:proofErr w:type="spellStart"/>
      <w:r w:rsidRPr="008331DE">
        <w:rPr>
          <w:rFonts w:ascii="Times New Roman" w:eastAsia="Times New Roman" w:hAnsi="Times New Roman" w:cs="Times New Roman"/>
          <w:kern w:val="0"/>
          <w14:ligatures w14:val="none"/>
        </w:rPr>
        <w:t>DoorLoop</w:t>
      </w:r>
      <w:proofErr w:type="spellEnd"/>
      <w:r w:rsidRPr="008331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和</w:t>
      </w:r>
      <w:r w:rsidRPr="008331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31DE">
        <w:rPr>
          <w:rFonts w:ascii="Times New Roman" w:eastAsia="Times New Roman" w:hAnsi="Times New Roman" w:cs="Times New Roman"/>
          <w:kern w:val="0"/>
          <w14:ligatures w14:val="none"/>
        </w:rPr>
        <w:t>Nareit</w:t>
      </w:r>
      <w:proofErr w:type="spellEnd"/>
      <w:r w:rsidRPr="008331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等数据源</w:t>
      </w:r>
      <w:r w:rsidRPr="008331DE">
        <w:rPr>
          <w:rFonts w:ascii="PingFang TC" w:eastAsia="PingFang TC" w:hAnsi="PingFang TC" w:cs="PingFang TC"/>
          <w:kern w:val="0"/>
          <w14:ligatures w14:val="none"/>
        </w:rPr>
        <w:t>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2655"/>
      </w:tblGrid>
      <w:tr w:rsidR="008331DE" w:rsidRPr="008331DE" w14:paraId="3B69EEF1" w14:textId="77777777" w:rsidTr="008331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E7930D" w14:textId="77777777" w:rsidR="008331DE" w:rsidRPr="008331DE" w:rsidRDefault="008331DE" w:rsidP="008331D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331DE">
              <w:rPr>
                <w:rFonts w:ascii="PingFang TC" w:eastAsia="PingFang TC" w:hAnsi="PingFang TC" w:cs="PingFang TC"/>
                <w:b/>
                <w:bCs/>
                <w:kern w:val="0"/>
                <w14:ligatures w14:val="none"/>
              </w:rPr>
              <w:t>指标</w:t>
            </w:r>
          </w:p>
        </w:tc>
        <w:tc>
          <w:tcPr>
            <w:tcW w:w="0" w:type="auto"/>
            <w:vAlign w:val="center"/>
            <w:hideMark/>
          </w:tcPr>
          <w:p w14:paraId="58010D59" w14:textId="77777777" w:rsidR="008331DE" w:rsidRPr="008331DE" w:rsidRDefault="008331DE" w:rsidP="008331D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331DE">
              <w:rPr>
                <w:rFonts w:ascii="PingFang TC" w:eastAsia="PingFang TC" w:hAnsi="PingFang TC" w:cs="PingFang TC"/>
                <w:b/>
                <w:bCs/>
                <w:kern w:val="0"/>
                <w14:ligatures w14:val="none"/>
              </w:rPr>
              <w:t>当前估值区间</w:t>
            </w:r>
          </w:p>
        </w:tc>
      </w:tr>
      <w:tr w:rsidR="008331DE" w:rsidRPr="008331DE" w14:paraId="7AA14912" w14:textId="77777777" w:rsidTr="008331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064B2" w14:textId="77777777" w:rsidR="008331DE" w:rsidRPr="008331DE" w:rsidRDefault="008331DE" w:rsidP="008331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1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VNQ P/FFO </w:t>
            </w:r>
            <w:r w:rsidRPr="008331DE">
              <w:rPr>
                <w:rFonts w:ascii="PingFang TC" w:eastAsia="PingFang TC" w:hAnsi="PingFang TC" w:cs="PingFang TC"/>
                <w:kern w:val="0"/>
                <w14:ligatures w14:val="none"/>
              </w:rPr>
              <w:t>倍数</w:t>
            </w:r>
          </w:p>
        </w:tc>
        <w:tc>
          <w:tcPr>
            <w:tcW w:w="0" w:type="auto"/>
            <w:vAlign w:val="center"/>
            <w:hideMark/>
          </w:tcPr>
          <w:p w14:paraId="2C23F601" w14:textId="77777777" w:rsidR="008331DE" w:rsidRPr="008331DE" w:rsidRDefault="008331DE" w:rsidP="008331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1DE">
              <w:rPr>
                <w:rFonts w:ascii="PingFang TC" w:eastAsia="PingFang TC" w:hAnsi="PingFang TC" w:cs="PingFang TC"/>
                <w:kern w:val="0"/>
                <w14:ligatures w14:val="none"/>
              </w:rPr>
              <w:t>约</w:t>
            </w:r>
            <w:r w:rsidRPr="008331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14.5–15 </w:t>
            </w:r>
            <w:r w:rsidRPr="008331DE">
              <w:rPr>
                <w:rFonts w:ascii="PingFang TC" w:eastAsia="PingFang TC" w:hAnsi="PingFang TC" w:cs="PingFang TC"/>
                <w:kern w:val="0"/>
                <w14:ligatures w14:val="none"/>
              </w:rPr>
              <w:t>倍，历史下缘</w:t>
            </w:r>
          </w:p>
        </w:tc>
      </w:tr>
      <w:tr w:rsidR="008331DE" w:rsidRPr="008331DE" w14:paraId="3FB85970" w14:textId="77777777" w:rsidTr="008331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D2709" w14:textId="77777777" w:rsidR="008331DE" w:rsidRPr="008331DE" w:rsidRDefault="008331DE" w:rsidP="008331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1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NAV </w:t>
            </w:r>
            <w:r w:rsidRPr="008331DE">
              <w:rPr>
                <w:rFonts w:ascii="PingFang TC" w:eastAsia="PingFang TC" w:hAnsi="PingFang TC" w:cs="PingFang TC"/>
                <w:kern w:val="0"/>
                <w14:ligatures w14:val="none"/>
              </w:rPr>
              <w:t>折价</w:t>
            </w:r>
          </w:p>
        </w:tc>
        <w:tc>
          <w:tcPr>
            <w:tcW w:w="0" w:type="auto"/>
            <w:vAlign w:val="center"/>
            <w:hideMark/>
          </w:tcPr>
          <w:p w14:paraId="144F428A" w14:textId="77777777" w:rsidR="008331DE" w:rsidRPr="008331DE" w:rsidRDefault="008331DE" w:rsidP="008331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1DE">
              <w:rPr>
                <w:rFonts w:ascii="PingFang TC" w:eastAsia="PingFang TC" w:hAnsi="PingFang TC" w:cs="PingFang TC"/>
                <w:kern w:val="0"/>
                <w14:ligatures w14:val="none"/>
              </w:rPr>
              <w:t>平均折价达</w:t>
            </w:r>
            <w:r w:rsidRPr="008331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18–22%</w:t>
            </w:r>
          </w:p>
        </w:tc>
      </w:tr>
      <w:tr w:rsidR="008331DE" w:rsidRPr="008331DE" w14:paraId="0E47CFC5" w14:textId="77777777" w:rsidTr="008331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BE519" w14:textId="77777777" w:rsidR="008331DE" w:rsidRPr="008331DE" w:rsidRDefault="008331DE" w:rsidP="008331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1DE">
              <w:rPr>
                <w:rFonts w:ascii="PingFang TC" w:eastAsia="PingFang TC" w:hAnsi="PingFang TC" w:cs="PingFang TC"/>
                <w:kern w:val="0"/>
                <w14:ligatures w14:val="none"/>
              </w:rPr>
              <w:t>股息率</w:t>
            </w:r>
          </w:p>
        </w:tc>
        <w:tc>
          <w:tcPr>
            <w:tcW w:w="0" w:type="auto"/>
            <w:vAlign w:val="center"/>
            <w:hideMark/>
          </w:tcPr>
          <w:p w14:paraId="60A0A787" w14:textId="77777777" w:rsidR="008331DE" w:rsidRPr="008331DE" w:rsidRDefault="008331DE" w:rsidP="008331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1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3.8%–4.5%</w:t>
            </w:r>
            <w:r w:rsidRPr="008331DE">
              <w:rPr>
                <w:rFonts w:ascii="PingFang TC" w:eastAsia="PingFang TC" w:hAnsi="PingFang TC" w:cs="PingFang TC"/>
                <w:kern w:val="0"/>
                <w14:ligatures w14:val="none"/>
              </w:rPr>
              <w:t>（</w:t>
            </w:r>
            <w:r w:rsidRPr="008331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2024 Q2</w:t>
            </w:r>
            <w:r w:rsidRPr="008331DE">
              <w:rPr>
                <w:rFonts w:ascii="PingFang TC" w:eastAsia="PingFang TC" w:hAnsi="PingFang TC" w:cs="PingFang TC"/>
                <w:kern w:val="0"/>
                <w14:ligatures w14:val="none"/>
              </w:rPr>
              <w:t>）</w:t>
            </w:r>
          </w:p>
        </w:tc>
      </w:tr>
    </w:tbl>
    <w:p w14:paraId="73FA775A" w14:textId="77777777" w:rsidR="008331DE" w:rsidRPr="008331DE" w:rsidRDefault="008331DE" w:rsidP="0083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这意味着：尽管</w:t>
      </w:r>
      <w:r w:rsidRPr="008331DE">
        <w:rPr>
          <w:rFonts w:ascii="Times New Roman" w:eastAsia="Times New Roman" w:hAnsi="Times New Roman" w:cs="Times New Roman"/>
          <w:kern w:val="0"/>
          <w14:ligatures w14:val="none"/>
        </w:rPr>
        <w:t>REITs</w:t>
      </w: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目前没有大涨，但它的</w:t>
      </w:r>
      <w:r w:rsidRPr="008331DE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性价比</w:t>
      </w:r>
      <w:r w:rsidRPr="008331DE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已明显优于过去几年</w:t>
      </w:r>
      <w:r w:rsidRPr="008331DE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6AC1C023" w14:textId="77777777" w:rsidR="008331DE" w:rsidRPr="008331DE" w:rsidRDefault="008331DE" w:rsidP="0083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1DE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低估值、</w:t>
      </w:r>
      <w:r w:rsidRPr="008331DE">
        <w:rPr>
          <w:rFonts w:ascii="SimSun" w:eastAsia="SimSun" w:hAnsi="SimSun" w:cs="SimSun" w:hint="eastAsia"/>
          <w:b/>
          <w:bCs/>
          <w:kern w:val="0"/>
          <w14:ligatures w14:val="none"/>
        </w:rPr>
        <w:t>稳</w:t>
      </w:r>
      <w:r w:rsidRPr="008331DE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定现金流，是长线布局的重要信号</w:t>
      </w:r>
      <w:r w:rsidRPr="008331DE">
        <w:rPr>
          <w:rFonts w:ascii="PingFang TC" w:eastAsia="PingFang TC" w:hAnsi="PingFang TC" w:cs="PingFang TC"/>
          <w:b/>
          <w:bCs/>
          <w:kern w:val="0"/>
          <w14:ligatures w14:val="none"/>
        </w:rPr>
        <w:t>。</w:t>
      </w:r>
    </w:p>
    <w:p w14:paraId="25F4F614" w14:textId="77777777" w:rsidR="008331DE" w:rsidRPr="008331DE" w:rsidRDefault="000F21B3" w:rsidP="008331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76B2EB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1911E4E" w14:textId="77777777" w:rsidR="008331DE" w:rsidRPr="008331DE" w:rsidRDefault="008331DE" w:rsidP="008331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31DE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三、我们该如何</w:t>
      </w:r>
      <w:r w:rsidRPr="008331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“</w:t>
      </w:r>
      <w:r w:rsidRPr="008331DE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智慧地</w:t>
      </w:r>
      <w:r w:rsidRPr="008331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”</w:t>
      </w:r>
      <w:r w:rsidRPr="008331DE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配置</w:t>
      </w:r>
      <w:r w:rsidRPr="008331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VNQ</w:t>
      </w:r>
      <w:r w:rsidRPr="008331DE">
        <w:rPr>
          <w:rFonts w:ascii="PingFang TC" w:eastAsia="PingFang TC" w:hAnsi="PingFang TC" w:cs="PingFang TC"/>
          <w:b/>
          <w:bCs/>
          <w:kern w:val="0"/>
          <w:sz w:val="36"/>
          <w:szCs w:val="36"/>
          <w14:ligatures w14:val="none"/>
        </w:rPr>
        <w:t>？</w:t>
      </w:r>
    </w:p>
    <w:p w14:paraId="77446349" w14:textId="77777777" w:rsidR="008331DE" w:rsidRPr="008331DE" w:rsidRDefault="008331DE" w:rsidP="0083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A1D644" w14:textId="77777777" w:rsidR="008331DE" w:rsidRPr="008331DE" w:rsidRDefault="008331DE" w:rsidP="0083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当我们面对一个阶段性表现不佳的资产，策略的调整往往比放弃更重要</w:t>
      </w:r>
      <w:r w:rsidRPr="008331DE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7CA5B402" w14:textId="77777777" w:rsidR="008331DE" w:rsidRPr="008331DE" w:rsidRDefault="008331DE" w:rsidP="0083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F7B19A" w14:textId="77777777" w:rsidR="008331DE" w:rsidRPr="008331DE" w:rsidRDefault="008331DE" w:rsidP="0083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以下是对普通投资者更具参考价值的几点应对建议</w:t>
      </w:r>
      <w:r w:rsidRPr="008331DE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68654AF7" w14:textId="77777777" w:rsidR="008331DE" w:rsidRPr="008331DE" w:rsidRDefault="000F21B3" w:rsidP="008331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5EB1DE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0F9E6D6" w14:textId="77777777" w:rsidR="008331DE" w:rsidRPr="008331DE" w:rsidRDefault="008331DE" w:rsidP="008331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31D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8331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1. </w:t>
      </w:r>
      <w:r w:rsidRPr="008331DE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别拿成长股的标准要求</w:t>
      </w:r>
      <w:r w:rsidRPr="008331DE">
        <w:rPr>
          <w:rFonts w:ascii="PingFang TC" w:eastAsia="PingFang TC" w:hAnsi="PingFang TC" w:cs="PingFang TC"/>
          <w:b/>
          <w:bCs/>
          <w:kern w:val="0"/>
          <w:sz w:val="27"/>
          <w:szCs w:val="27"/>
          <w14:ligatures w14:val="none"/>
        </w:rPr>
        <w:t>它</w:t>
      </w:r>
    </w:p>
    <w:p w14:paraId="5E1951F1" w14:textId="77777777" w:rsidR="008331DE" w:rsidRPr="008331DE" w:rsidRDefault="008331DE" w:rsidP="0083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697F38" w14:textId="77777777" w:rsidR="008331DE" w:rsidRPr="008331DE" w:rsidRDefault="008331DE" w:rsidP="0083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1DE">
        <w:rPr>
          <w:rFonts w:ascii="Times New Roman" w:eastAsia="Times New Roman" w:hAnsi="Times New Roman" w:cs="Times New Roman"/>
          <w:kern w:val="0"/>
          <w14:ligatures w14:val="none"/>
        </w:rPr>
        <w:t xml:space="preserve">REITs </w:t>
      </w: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天生不是</w:t>
      </w:r>
      <w:r w:rsidRPr="008331DE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爆发性成长资产</w:t>
      </w:r>
      <w:r w:rsidRPr="008331DE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，它更像是一种</w:t>
      </w:r>
      <w:r w:rsidRPr="008331DE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现金牛</w:t>
      </w:r>
      <w:r w:rsidRPr="008331DE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8331DE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464233B4" w14:textId="77777777" w:rsidR="008331DE" w:rsidRPr="008331DE" w:rsidRDefault="008331DE" w:rsidP="008331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每年分红</w:t>
      </w:r>
      <w:r w:rsidRPr="008331DE">
        <w:rPr>
          <w:rFonts w:ascii="SimSun" w:eastAsia="SimSun" w:hAnsi="SimSun" w:cs="SimSun" w:hint="eastAsia"/>
          <w:kern w:val="0"/>
          <w14:ligatures w14:val="none"/>
        </w:rPr>
        <w:t>稳</w:t>
      </w: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定</w:t>
      </w:r>
      <w:r w:rsidRPr="008331DE">
        <w:rPr>
          <w:rFonts w:ascii="PingFang TC" w:eastAsia="PingFang TC" w:hAnsi="PingFang TC" w:cs="PingFang TC"/>
          <w:kern w:val="0"/>
          <w14:ligatures w14:val="none"/>
        </w:rPr>
        <w:t>；</w:t>
      </w:r>
    </w:p>
    <w:p w14:paraId="74C6483E" w14:textId="77777777" w:rsidR="008331DE" w:rsidRPr="008331DE" w:rsidRDefault="008331DE" w:rsidP="008331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资产价值缓慢增值</w:t>
      </w:r>
      <w:r w:rsidRPr="008331DE">
        <w:rPr>
          <w:rFonts w:ascii="PingFang TC" w:eastAsia="PingFang TC" w:hAnsi="PingFang TC" w:cs="PingFang TC"/>
          <w:kern w:val="0"/>
          <w14:ligatures w14:val="none"/>
        </w:rPr>
        <w:t>；</w:t>
      </w:r>
    </w:p>
    <w:p w14:paraId="75CE7A24" w14:textId="77777777" w:rsidR="008331DE" w:rsidRPr="008331DE" w:rsidRDefault="008331DE" w:rsidP="008331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抗通胀特性明显</w:t>
      </w:r>
      <w:r w:rsidRPr="008331DE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0D30AE71" w14:textId="77777777" w:rsidR="008331DE" w:rsidRPr="008331DE" w:rsidRDefault="008331DE" w:rsidP="0083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A0E62A" w14:textId="77777777" w:rsidR="008331DE" w:rsidRPr="008331DE" w:rsidRDefault="008331DE" w:rsidP="0083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它的价值在于提供</w:t>
      </w:r>
      <w:r w:rsidRPr="008331DE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看得见的现金流</w:t>
      </w:r>
      <w:r w:rsidRPr="008331DE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，而不是像科技股那样追求资本暴增</w:t>
      </w:r>
      <w:r w:rsidRPr="008331DE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7AAAAD2D" w14:textId="77777777" w:rsidR="008331DE" w:rsidRPr="008331DE" w:rsidRDefault="000F21B3" w:rsidP="008331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7E8274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0C281FA" w14:textId="77777777" w:rsidR="008331DE" w:rsidRPr="008331DE" w:rsidRDefault="008331DE" w:rsidP="008331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31D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8331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2. </w:t>
      </w:r>
      <w:r w:rsidRPr="008331DE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把握</w:t>
      </w:r>
      <w:r w:rsidRPr="008331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</w:t>
      </w:r>
      <w:r w:rsidRPr="008331DE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利率见顶</w:t>
      </w:r>
      <w:r w:rsidRPr="008331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”</w:t>
      </w:r>
      <w:r w:rsidRPr="008331DE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前后的关键窗</w:t>
      </w:r>
      <w:r w:rsidRPr="008331DE">
        <w:rPr>
          <w:rFonts w:ascii="PingFang TC" w:eastAsia="PingFang TC" w:hAnsi="PingFang TC" w:cs="PingFang TC"/>
          <w:b/>
          <w:bCs/>
          <w:kern w:val="0"/>
          <w:sz w:val="27"/>
          <w:szCs w:val="27"/>
          <w14:ligatures w14:val="none"/>
        </w:rPr>
        <w:t>口</w:t>
      </w:r>
    </w:p>
    <w:p w14:paraId="4100F337" w14:textId="77777777" w:rsidR="008331DE" w:rsidRPr="008331DE" w:rsidRDefault="008331DE" w:rsidP="0083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7F62F1" w14:textId="77777777" w:rsidR="008331DE" w:rsidRPr="008331DE" w:rsidRDefault="008331DE" w:rsidP="0083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1DE">
        <w:rPr>
          <w:rFonts w:ascii="Times New Roman" w:eastAsia="Times New Roman" w:hAnsi="Times New Roman" w:cs="Times New Roman"/>
          <w:kern w:val="0"/>
          <w14:ligatures w14:val="none"/>
        </w:rPr>
        <w:t xml:space="preserve">REITs </w:t>
      </w: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与利率高度相关。利率上涨时，它的估值受压；利率见顶或下降时，它的价格往往迎来修复</w:t>
      </w:r>
      <w:r w:rsidRPr="008331DE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1E039450" w14:textId="77777777" w:rsidR="008331DE" w:rsidRPr="008331DE" w:rsidRDefault="008331DE" w:rsidP="0083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5D95F6" w14:textId="77777777" w:rsidR="008331DE" w:rsidRPr="008331DE" w:rsidRDefault="008331DE" w:rsidP="0083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1DE">
        <w:rPr>
          <w:rFonts w:ascii="Times New Roman" w:eastAsia="Times New Roman" w:hAnsi="Times New Roman" w:cs="Times New Roman"/>
          <w:kern w:val="0"/>
          <w14:ligatures w14:val="none"/>
        </w:rPr>
        <w:t>2024</w:t>
      </w: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年中，市场普遍预期美联储将在</w:t>
      </w:r>
      <w:r w:rsidRPr="008331DE">
        <w:rPr>
          <w:rFonts w:ascii="Times New Roman" w:eastAsia="Times New Roman" w:hAnsi="Times New Roman" w:cs="Times New Roman"/>
          <w:kern w:val="0"/>
          <w14:ligatures w14:val="none"/>
        </w:rPr>
        <w:t>2025</w:t>
      </w: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年启动降息周期</w:t>
      </w:r>
      <w:r w:rsidRPr="008331DE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434EAA20" w14:textId="77777777" w:rsidR="008331DE" w:rsidRPr="008331DE" w:rsidRDefault="008331DE" w:rsidP="0083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E16A76" w14:textId="77777777" w:rsidR="008331DE" w:rsidRPr="008331DE" w:rsidRDefault="008331DE" w:rsidP="0083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1DE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当前正处于利率周期的</w:t>
      </w:r>
      <w:r w:rsidRPr="008331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r w:rsidRPr="008331DE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高原期</w:t>
      </w:r>
      <w:r w:rsidRPr="008331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” —— </w:t>
      </w:r>
      <w:r w:rsidRPr="008331DE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也是历史上</w:t>
      </w:r>
      <w:r w:rsidRPr="008331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REITs</w:t>
      </w:r>
      <w:r w:rsidRPr="008331DE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中长期配置的黄金窗口之一</w:t>
      </w:r>
      <w:r w:rsidRPr="008331DE">
        <w:rPr>
          <w:rFonts w:ascii="PingFang TC" w:eastAsia="PingFang TC" w:hAnsi="PingFang TC" w:cs="PingFang TC"/>
          <w:b/>
          <w:bCs/>
          <w:kern w:val="0"/>
          <w14:ligatures w14:val="none"/>
        </w:rPr>
        <w:t>。</w:t>
      </w:r>
    </w:p>
    <w:p w14:paraId="51BE0CBB" w14:textId="77777777" w:rsidR="008331DE" w:rsidRPr="008331DE" w:rsidRDefault="000F21B3" w:rsidP="008331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03887C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2FB2FF0" w14:textId="77777777" w:rsidR="008331DE" w:rsidRPr="008331DE" w:rsidRDefault="008331DE" w:rsidP="008331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31D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8331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3. </w:t>
      </w:r>
      <w:r w:rsidRPr="008331DE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用估值做动态调整，而不是</w:t>
      </w:r>
      <w:r w:rsidRPr="008331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</w:t>
      </w:r>
      <w:r w:rsidRPr="008331DE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一成不变</w:t>
      </w:r>
      <w:r w:rsidRPr="008331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”</w:t>
      </w:r>
    </w:p>
    <w:p w14:paraId="796AC108" w14:textId="77777777" w:rsidR="008331DE" w:rsidRPr="008331DE" w:rsidRDefault="008331DE" w:rsidP="0083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7C4E9E" w14:textId="77777777" w:rsidR="008331DE" w:rsidRPr="008331DE" w:rsidRDefault="008331DE" w:rsidP="0083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许多投资者给某个资产类别</w:t>
      </w:r>
      <w:r w:rsidRPr="008331DE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固定配比</w:t>
      </w:r>
      <w:r w:rsidRPr="008331DE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，其实更聪明的方式是：根据估值来调整</w:t>
      </w:r>
      <w:r w:rsidRPr="008331DE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2EE0AD6F" w14:textId="77777777" w:rsidR="008331DE" w:rsidRPr="008331DE" w:rsidRDefault="008331DE" w:rsidP="0083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6A5157" w14:textId="77777777" w:rsidR="008331DE" w:rsidRPr="008331DE" w:rsidRDefault="008331DE" w:rsidP="0083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你可以建立一个简单的参考框架</w:t>
      </w:r>
      <w:r w:rsidRPr="008331DE">
        <w:rPr>
          <w:rFonts w:ascii="PingFang TC" w:eastAsia="PingFang TC" w:hAnsi="PingFang TC" w:cs="PingFang TC"/>
          <w:kern w:val="0"/>
          <w14:ligatures w14:val="none"/>
        </w:rPr>
        <w:t>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5"/>
        <w:gridCol w:w="2375"/>
      </w:tblGrid>
      <w:tr w:rsidR="008331DE" w:rsidRPr="008331DE" w14:paraId="58369AF3" w14:textId="77777777" w:rsidTr="008331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BF6487" w14:textId="77777777" w:rsidR="008331DE" w:rsidRPr="008331DE" w:rsidRDefault="008331DE" w:rsidP="008331D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331DE">
              <w:rPr>
                <w:rFonts w:ascii="PingFang TC" w:eastAsia="PingFang TC" w:hAnsi="PingFang TC" w:cs="PingFang TC"/>
                <w:b/>
                <w:bCs/>
                <w:kern w:val="0"/>
                <w14:ligatures w14:val="none"/>
              </w:rPr>
              <w:t>估值状态</w:t>
            </w:r>
          </w:p>
        </w:tc>
        <w:tc>
          <w:tcPr>
            <w:tcW w:w="0" w:type="auto"/>
            <w:vAlign w:val="center"/>
            <w:hideMark/>
          </w:tcPr>
          <w:p w14:paraId="6A805480" w14:textId="77777777" w:rsidR="008331DE" w:rsidRPr="008331DE" w:rsidRDefault="008331DE" w:rsidP="008331D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331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VNQ</w:t>
            </w:r>
            <w:r w:rsidRPr="008331DE">
              <w:rPr>
                <w:rFonts w:ascii="PingFang TC" w:eastAsia="PingFang TC" w:hAnsi="PingFang TC" w:cs="PingFang TC"/>
                <w:b/>
                <w:bCs/>
                <w:kern w:val="0"/>
                <w14:ligatures w14:val="none"/>
              </w:rPr>
              <w:t>配置建议</w:t>
            </w:r>
          </w:p>
        </w:tc>
      </w:tr>
      <w:tr w:rsidR="008331DE" w:rsidRPr="008331DE" w14:paraId="6FB808D6" w14:textId="77777777" w:rsidTr="008331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33E0F" w14:textId="77777777" w:rsidR="008331DE" w:rsidRPr="008331DE" w:rsidRDefault="008331DE" w:rsidP="008331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1DE">
              <w:rPr>
                <w:rFonts w:ascii="PingFang TC" w:eastAsia="PingFang TC" w:hAnsi="PingFang TC" w:cs="PingFang TC"/>
                <w:kern w:val="0"/>
                <w14:ligatures w14:val="none"/>
              </w:rPr>
              <w:t>显著折价（</w:t>
            </w:r>
            <w:r w:rsidRPr="008331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&gt;15%</w:t>
            </w:r>
            <w:r w:rsidRPr="008331DE">
              <w:rPr>
                <w:rFonts w:ascii="PingFang TC" w:eastAsia="PingFang TC" w:hAnsi="PingFang TC" w:cs="PingFang TC"/>
                <w:kern w:val="0"/>
                <w14:ligatures w14:val="none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45D0A0DD" w14:textId="77777777" w:rsidR="008331DE" w:rsidRPr="008331DE" w:rsidRDefault="008331DE" w:rsidP="008331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1DE">
              <w:rPr>
                <w:rFonts w:ascii="PingFang TC" w:eastAsia="PingFang TC" w:hAnsi="PingFang TC" w:cs="PingFang TC"/>
                <w:kern w:val="0"/>
                <w14:ligatures w14:val="none"/>
              </w:rPr>
              <w:t>逐步加仓、提高权重</w:t>
            </w:r>
          </w:p>
        </w:tc>
      </w:tr>
      <w:tr w:rsidR="008331DE" w:rsidRPr="008331DE" w14:paraId="192ECADE" w14:textId="77777777" w:rsidTr="008331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7EFAF" w14:textId="77777777" w:rsidR="008331DE" w:rsidRPr="008331DE" w:rsidRDefault="008331DE" w:rsidP="008331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1DE">
              <w:rPr>
                <w:rFonts w:ascii="PingFang TC" w:eastAsia="PingFang TC" w:hAnsi="PingFang TC" w:cs="PingFang TC"/>
                <w:kern w:val="0"/>
                <w14:ligatures w14:val="none"/>
              </w:rPr>
              <w:t>合理估值（中位数附近）</w:t>
            </w:r>
          </w:p>
        </w:tc>
        <w:tc>
          <w:tcPr>
            <w:tcW w:w="0" w:type="auto"/>
            <w:vAlign w:val="center"/>
            <w:hideMark/>
          </w:tcPr>
          <w:p w14:paraId="36F2BC4E" w14:textId="77777777" w:rsidR="008331DE" w:rsidRPr="008331DE" w:rsidRDefault="008331DE" w:rsidP="008331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1DE">
              <w:rPr>
                <w:rFonts w:ascii="PingFang TC" w:eastAsia="PingFang TC" w:hAnsi="PingFang TC" w:cs="PingFang TC"/>
                <w:kern w:val="0"/>
                <w14:ligatures w14:val="none"/>
              </w:rPr>
              <w:t>保持</w:t>
            </w:r>
            <w:r w:rsidRPr="008331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10–15%</w:t>
            </w:r>
            <w:r w:rsidRPr="008331DE">
              <w:rPr>
                <w:rFonts w:ascii="PingFang TC" w:eastAsia="PingFang TC" w:hAnsi="PingFang TC" w:cs="PingFang TC"/>
                <w:kern w:val="0"/>
                <w14:ligatures w14:val="none"/>
              </w:rPr>
              <w:t>配置比例</w:t>
            </w:r>
          </w:p>
        </w:tc>
      </w:tr>
      <w:tr w:rsidR="008331DE" w:rsidRPr="008331DE" w14:paraId="5AEF404B" w14:textId="77777777" w:rsidTr="008331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9588D" w14:textId="77777777" w:rsidR="008331DE" w:rsidRPr="008331DE" w:rsidRDefault="008331DE" w:rsidP="008331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1DE">
              <w:rPr>
                <w:rFonts w:ascii="PingFang TC" w:eastAsia="PingFang TC" w:hAnsi="PingFang TC" w:cs="PingFang TC"/>
                <w:kern w:val="0"/>
                <w14:ligatures w14:val="none"/>
              </w:rPr>
              <w:t>显著溢价（</w:t>
            </w:r>
            <w:r w:rsidRPr="008331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&gt;10%</w:t>
            </w:r>
            <w:r w:rsidRPr="008331DE">
              <w:rPr>
                <w:rFonts w:ascii="PingFang TC" w:eastAsia="PingFang TC" w:hAnsi="PingFang TC" w:cs="PingFang TC"/>
                <w:kern w:val="0"/>
                <w14:ligatures w14:val="none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5436F203" w14:textId="77777777" w:rsidR="008331DE" w:rsidRPr="008331DE" w:rsidRDefault="008331DE" w:rsidP="008331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1DE">
              <w:rPr>
                <w:rFonts w:ascii="PingFang TC" w:eastAsia="PingFang TC" w:hAnsi="PingFang TC" w:cs="PingFang TC"/>
                <w:kern w:val="0"/>
                <w14:ligatures w14:val="none"/>
              </w:rPr>
              <w:t>稍作减仓，等待回调</w:t>
            </w:r>
          </w:p>
        </w:tc>
      </w:tr>
    </w:tbl>
    <w:p w14:paraId="278269F8" w14:textId="77777777" w:rsidR="008331DE" w:rsidRPr="008331DE" w:rsidRDefault="008331DE" w:rsidP="0083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lastRenderedPageBreak/>
        <w:t>动态管理比静态持有更能提升长期表现</w:t>
      </w:r>
      <w:r w:rsidRPr="008331DE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51281813" w14:textId="77777777" w:rsidR="008331DE" w:rsidRPr="008331DE" w:rsidRDefault="000F21B3" w:rsidP="008331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3BD5F6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A306799" w14:textId="77777777" w:rsidR="008331DE" w:rsidRPr="008331DE" w:rsidRDefault="008331DE" w:rsidP="008331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31D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8331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4. </w:t>
      </w:r>
      <w:r w:rsidRPr="008331DE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分批布局，降低情绪波</w:t>
      </w:r>
      <w:r w:rsidRPr="008331DE">
        <w:rPr>
          <w:rFonts w:ascii="PingFang TC" w:eastAsia="PingFang TC" w:hAnsi="PingFang TC" w:cs="PingFang TC"/>
          <w:b/>
          <w:bCs/>
          <w:kern w:val="0"/>
          <w:sz w:val="27"/>
          <w:szCs w:val="27"/>
          <w14:ligatures w14:val="none"/>
        </w:rPr>
        <w:t>动</w:t>
      </w:r>
    </w:p>
    <w:p w14:paraId="7E031220" w14:textId="77777777" w:rsidR="008331DE" w:rsidRPr="008331DE" w:rsidRDefault="008331DE" w:rsidP="0083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DB42A5" w14:textId="77777777" w:rsidR="008331DE" w:rsidRPr="008331DE" w:rsidRDefault="008331DE" w:rsidP="0083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与其一次性</w:t>
      </w:r>
      <w:r w:rsidRPr="008331DE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重仓</w:t>
      </w:r>
      <w:r w:rsidRPr="008331DE">
        <w:rPr>
          <w:rFonts w:ascii="SimSun" w:eastAsia="SimSun" w:hAnsi="SimSun" w:cs="SimSun" w:hint="eastAsia"/>
          <w:kern w:val="0"/>
          <w14:ligatures w14:val="none"/>
        </w:rPr>
        <w:t>杀</w:t>
      </w: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入</w:t>
      </w:r>
      <w:r w:rsidRPr="008331DE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，不如将投资计划拆分为</w:t>
      </w:r>
      <w:r w:rsidRPr="008331DE">
        <w:rPr>
          <w:rFonts w:ascii="Times New Roman" w:eastAsia="Times New Roman" w:hAnsi="Times New Roman" w:cs="Times New Roman"/>
          <w:kern w:val="0"/>
          <w14:ligatures w14:val="none"/>
        </w:rPr>
        <w:t>3~6</w:t>
      </w: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个月时间段，分批进场</w:t>
      </w:r>
      <w:r w:rsidRPr="008331DE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349898DF" w14:textId="77777777" w:rsidR="008331DE" w:rsidRPr="008331DE" w:rsidRDefault="008331DE" w:rsidP="0083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这样可以</w:t>
      </w:r>
      <w:r w:rsidRPr="008331DE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5D2D7030" w14:textId="77777777" w:rsidR="008331DE" w:rsidRPr="008331DE" w:rsidRDefault="008331DE" w:rsidP="008331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避免追高</w:t>
      </w:r>
      <w:r w:rsidRPr="008331DE">
        <w:rPr>
          <w:rFonts w:ascii="PingFang TC" w:eastAsia="PingFang TC" w:hAnsi="PingFang TC" w:cs="PingFang TC"/>
          <w:kern w:val="0"/>
          <w14:ligatures w14:val="none"/>
        </w:rPr>
        <w:t>；</w:t>
      </w:r>
    </w:p>
    <w:p w14:paraId="3335BEB9" w14:textId="77777777" w:rsidR="008331DE" w:rsidRPr="008331DE" w:rsidRDefault="008331DE" w:rsidP="008331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平滑成本</w:t>
      </w:r>
      <w:r w:rsidRPr="008331DE">
        <w:rPr>
          <w:rFonts w:ascii="PingFang TC" w:eastAsia="PingFang TC" w:hAnsi="PingFang TC" w:cs="PingFang TC"/>
          <w:kern w:val="0"/>
          <w14:ligatures w14:val="none"/>
        </w:rPr>
        <w:t>；</w:t>
      </w:r>
    </w:p>
    <w:p w14:paraId="2FE29E84" w14:textId="77777777" w:rsidR="008331DE" w:rsidRPr="008331DE" w:rsidRDefault="008331DE" w:rsidP="008331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减少短期波动带来的心理压力</w:t>
      </w:r>
      <w:r w:rsidRPr="008331DE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23E80998" w14:textId="77777777" w:rsidR="008331DE" w:rsidRPr="008331DE" w:rsidRDefault="000F21B3" w:rsidP="008331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3015C7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7C4C551" w14:textId="77777777" w:rsidR="008331DE" w:rsidRPr="008331DE" w:rsidRDefault="008331DE" w:rsidP="008331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31DE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四、</w:t>
      </w:r>
      <w:r w:rsidRPr="008331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VNQ</w:t>
      </w:r>
      <w:r w:rsidRPr="008331DE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在资产组合中扮演什么角色</w:t>
      </w:r>
      <w:r w:rsidRPr="008331DE">
        <w:rPr>
          <w:rFonts w:ascii="PingFang TC" w:eastAsia="PingFang TC" w:hAnsi="PingFang TC" w:cs="PingFang TC"/>
          <w:b/>
          <w:bCs/>
          <w:kern w:val="0"/>
          <w:sz w:val="36"/>
          <w:szCs w:val="36"/>
          <w14:ligatures w14:val="none"/>
        </w:rPr>
        <w:t>？</w:t>
      </w:r>
    </w:p>
    <w:p w14:paraId="72D277A2" w14:textId="77777777" w:rsidR="008331DE" w:rsidRPr="008331DE" w:rsidRDefault="008331DE" w:rsidP="0083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447F6F" w14:textId="77777777" w:rsidR="008331DE" w:rsidRPr="008331DE" w:rsidRDefault="008331DE" w:rsidP="0083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在成熟投资者的眼中，</w:t>
      </w:r>
      <w:r w:rsidRPr="008331DE">
        <w:rPr>
          <w:rFonts w:ascii="Times New Roman" w:eastAsia="Times New Roman" w:hAnsi="Times New Roman" w:cs="Times New Roman"/>
          <w:kern w:val="0"/>
          <w14:ligatures w14:val="none"/>
        </w:rPr>
        <w:t>REITs</w:t>
      </w: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不只是一个</w:t>
      </w:r>
      <w:r w:rsidRPr="008331DE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类股资产</w:t>
      </w:r>
      <w:r w:rsidRPr="008331DE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，它其实是组合的现金流</w:t>
      </w:r>
      <w:r w:rsidRPr="008331DE">
        <w:rPr>
          <w:rFonts w:ascii="SimSun" w:eastAsia="SimSun" w:hAnsi="SimSun" w:cs="SimSun" w:hint="eastAsia"/>
          <w:kern w:val="0"/>
          <w14:ligatures w14:val="none"/>
        </w:rPr>
        <w:t>稳</w:t>
      </w: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定器</w:t>
      </w:r>
      <w:r w:rsidRPr="008331DE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51D98949" w14:textId="77777777" w:rsidR="008331DE" w:rsidRPr="008331DE" w:rsidRDefault="008331DE" w:rsidP="008331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1DE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现金流来源</w:t>
      </w: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：即便不涨价，也能通过分红提供收入</w:t>
      </w:r>
      <w:r w:rsidRPr="008331DE">
        <w:rPr>
          <w:rFonts w:ascii="PingFang TC" w:eastAsia="PingFang TC" w:hAnsi="PingFang TC" w:cs="PingFang TC"/>
          <w:kern w:val="0"/>
          <w14:ligatures w14:val="none"/>
        </w:rPr>
        <w:t>；</w:t>
      </w:r>
    </w:p>
    <w:p w14:paraId="217485B2" w14:textId="77777777" w:rsidR="008331DE" w:rsidRPr="008331DE" w:rsidRDefault="008331DE" w:rsidP="008331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1DE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风险缓冲器</w:t>
      </w: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：与股票、债券相关性较低，在波动市中可提供一定</w:t>
      </w:r>
      <w:r w:rsidRPr="008331DE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逆向</w:t>
      </w:r>
      <w:r w:rsidRPr="008331DE">
        <w:rPr>
          <w:rFonts w:ascii="SimSun" w:eastAsia="SimSun" w:hAnsi="SimSun" w:cs="SimSun" w:hint="eastAsia"/>
          <w:kern w:val="0"/>
          <w14:ligatures w14:val="none"/>
        </w:rPr>
        <w:t>稳</w:t>
      </w: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定</w:t>
      </w:r>
      <w:r w:rsidRPr="008331DE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8331DE">
        <w:rPr>
          <w:rFonts w:ascii="PingFang TC" w:eastAsia="PingFang TC" w:hAnsi="PingFang TC" w:cs="PingFang TC"/>
          <w:kern w:val="0"/>
          <w14:ligatures w14:val="none"/>
        </w:rPr>
        <w:t>；</w:t>
      </w:r>
    </w:p>
    <w:p w14:paraId="0E39BEC8" w14:textId="77777777" w:rsidR="008331DE" w:rsidRPr="008331DE" w:rsidRDefault="008331DE" w:rsidP="008331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1DE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通胀对冲器</w:t>
      </w: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：长期租金增长能部分覆盖物价上涨压力</w:t>
      </w:r>
      <w:r w:rsidRPr="008331DE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5858AC36" w14:textId="77777777" w:rsidR="008331DE" w:rsidRPr="008331DE" w:rsidRDefault="008331DE" w:rsidP="0083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D37E3D" w14:textId="62B71C2F" w:rsidR="008331DE" w:rsidRPr="008331DE" w:rsidRDefault="008331DE" w:rsidP="0083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也正因如此，许多机构投资者在其长期配置中，始终保留</w:t>
      </w:r>
      <w:r w:rsidRPr="008331DE">
        <w:rPr>
          <w:rFonts w:ascii="Times New Roman" w:eastAsia="Times New Roman" w:hAnsi="Times New Roman" w:cs="Times New Roman"/>
          <w:kern w:val="0"/>
          <w14:ligatures w14:val="none"/>
        </w:rPr>
        <w:t>10%~20%</w:t>
      </w: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的</w:t>
      </w:r>
      <w:r w:rsidRPr="008331DE">
        <w:rPr>
          <w:rFonts w:ascii="Times New Roman" w:eastAsia="Times New Roman" w:hAnsi="Times New Roman" w:cs="Times New Roman"/>
          <w:kern w:val="0"/>
          <w14:ligatures w14:val="none"/>
        </w:rPr>
        <w:t>REITs</w:t>
      </w: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仓位</w:t>
      </w:r>
      <w:r w:rsidRPr="008331DE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389ED635" w14:textId="77777777" w:rsidR="008331DE" w:rsidRPr="008331DE" w:rsidRDefault="008331DE" w:rsidP="0083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8C863F" w14:textId="77777777" w:rsidR="008331DE" w:rsidRPr="008331DE" w:rsidRDefault="008331DE" w:rsidP="0083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对于个人投资者而言，</w:t>
      </w:r>
      <w:r w:rsidRPr="008331DE">
        <w:rPr>
          <w:rFonts w:ascii="Times New Roman" w:eastAsia="Times New Roman" w:hAnsi="Times New Roman" w:cs="Times New Roman"/>
          <w:kern w:val="0"/>
          <w14:ligatures w14:val="none"/>
        </w:rPr>
        <w:t>VNQ</w:t>
      </w: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完全可以承担这个组合角色的基础配置</w:t>
      </w:r>
      <w:r w:rsidRPr="008331DE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6A06F44D" w14:textId="25C11483" w:rsidR="008331DE" w:rsidRPr="008331DE" w:rsidRDefault="008331DE" w:rsidP="008331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D730E0" w14:textId="77777777" w:rsidR="008331DE" w:rsidRPr="008331DE" w:rsidRDefault="008331DE" w:rsidP="008331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31DE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lastRenderedPageBreak/>
        <w:t>五、周期不会撒谎，机会也不会等</w:t>
      </w:r>
      <w:r w:rsidRPr="008331DE">
        <w:rPr>
          <w:rFonts w:ascii="PingFang TC" w:eastAsia="PingFang TC" w:hAnsi="PingFang TC" w:cs="PingFang TC"/>
          <w:b/>
          <w:bCs/>
          <w:kern w:val="0"/>
          <w:sz w:val="36"/>
          <w:szCs w:val="36"/>
          <w14:ligatures w14:val="none"/>
        </w:rPr>
        <w:t>人</w:t>
      </w:r>
    </w:p>
    <w:p w14:paraId="057AC15E" w14:textId="77777777" w:rsidR="008331DE" w:rsidRPr="008331DE" w:rsidRDefault="008331DE" w:rsidP="0083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58EB45" w14:textId="77777777" w:rsidR="008331DE" w:rsidRPr="008331DE" w:rsidRDefault="008331DE" w:rsidP="0083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历史经验告诉我们</w:t>
      </w:r>
      <w:r w:rsidRPr="008331DE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5B4691C7" w14:textId="77777777" w:rsidR="008331DE" w:rsidRPr="008331DE" w:rsidRDefault="008331DE" w:rsidP="008331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在</w:t>
      </w:r>
      <w:r w:rsidRPr="008331DE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低估值</w:t>
      </w:r>
      <w:r w:rsidRPr="008331DE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利率见顶</w:t>
      </w:r>
      <w:r w:rsidRPr="008331DE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的窗口期配置</w:t>
      </w:r>
      <w:r w:rsidRPr="008331DE">
        <w:rPr>
          <w:rFonts w:ascii="Times New Roman" w:eastAsia="Times New Roman" w:hAnsi="Times New Roman" w:cs="Times New Roman"/>
          <w:kern w:val="0"/>
          <w14:ligatures w14:val="none"/>
        </w:rPr>
        <w:t>REITs</w:t>
      </w: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，长期回报往往优于平均</w:t>
      </w:r>
      <w:r w:rsidRPr="008331DE">
        <w:rPr>
          <w:rFonts w:ascii="PingFang TC" w:eastAsia="PingFang TC" w:hAnsi="PingFang TC" w:cs="PingFang TC"/>
          <w:kern w:val="0"/>
          <w14:ligatures w14:val="none"/>
        </w:rPr>
        <w:t>；</w:t>
      </w:r>
    </w:p>
    <w:p w14:paraId="3D5365B8" w14:textId="77777777" w:rsidR="008331DE" w:rsidRPr="008331DE" w:rsidRDefault="008331DE" w:rsidP="008331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大多数投资者在</w:t>
      </w:r>
      <w:r w:rsidRPr="008331DE">
        <w:rPr>
          <w:rFonts w:ascii="Times New Roman" w:eastAsia="Times New Roman" w:hAnsi="Times New Roman" w:cs="Times New Roman"/>
          <w:kern w:val="0"/>
          <w14:ligatures w14:val="none"/>
        </w:rPr>
        <w:t>REITs</w:t>
      </w: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横盘震荡时撤退，而长期收益往往属于那些提前布局并耐心持有的人</w:t>
      </w:r>
      <w:r w:rsidRPr="008331DE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4372294C" w14:textId="77777777" w:rsidR="008331DE" w:rsidRPr="008331DE" w:rsidRDefault="008331DE" w:rsidP="0083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A72034" w14:textId="77777777" w:rsidR="008331DE" w:rsidRPr="008331DE" w:rsidRDefault="008331DE" w:rsidP="0083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1DE">
        <w:rPr>
          <w:rFonts w:ascii="Apple Color Emoji" w:eastAsia="Times New Roman" w:hAnsi="Apple Color Emoji" w:cs="Apple Color Emoji"/>
          <w:kern w:val="0"/>
          <w14:ligatures w14:val="none"/>
        </w:rPr>
        <w:t>📌</w:t>
      </w:r>
      <w:r w:rsidRPr="008331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如果你正在寻找一种</w:t>
      </w:r>
      <w:r w:rsidRPr="008331DE">
        <w:rPr>
          <w:rFonts w:ascii="Times New Roman" w:eastAsia="Times New Roman" w:hAnsi="Times New Roman" w:cs="Times New Roman"/>
          <w:kern w:val="0"/>
          <w14:ligatures w14:val="none"/>
        </w:rPr>
        <w:t>**“</w:t>
      </w: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抗通胀、收现金、不追高</w:t>
      </w:r>
      <w:r w:rsidRPr="008331DE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的组合补充工具</w:t>
      </w:r>
      <w:r w:rsidRPr="008331DE">
        <w:rPr>
          <w:rFonts w:ascii="Times New Roman" w:eastAsia="Times New Roman" w:hAnsi="Times New Roman" w:cs="Times New Roman"/>
          <w:kern w:val="0"/>
          <w14:ligatures w14:val="none"/>
        </w:rPr>
        <w:t>**</w:t>
      </w: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，那么现在的</w:t>
      </w:r>
      <w:r w:rsidRPr="008331DE">
        <w:rPr>
          <w:rFonts w:ascii="Times New Roman" w:eastAsia="Times New Roman" w:hAnsi="Times New Roman" w:cs="Times New Roman"/>
          <w:kern w:val="0"/>
          <w14:ligatures w14:val="none"/>
        </w:rPr>
        <w:t>VNQ</w:t>
      </w: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，值得你重新评估</w:t>
      </w:r>
      <w:r w:rsidRPr="008331DE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5F8B2B54" w14:textId="77777777" w:rsidR="008331DE" w:rsidRPr="008331DE" w:rsidRDefault="000F21B3" w:rsidP="008331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2E781D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90A1772" w14:textId="77777777" w:rsidR="008331DE" w:rsidRPr="008331DE" w:rsidRDefault="008331DE" w:rsidP="008331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31D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✍️</w:t>
      </w:r>
      <w:r w:rsidRPr="008331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8331DE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写在最</w:t>
      </w:r>
      <w:r w:rsidRPr="008331DE">
        <w:rPr>
          <w:rFonts w:ascii="PingFang TC" w:eastAsia="PingFang TC" w:hAnsi="PingFang TC" w:cs="PingFang TC"/>
          <w:b/>
          <w:bCs/>
          <w:kern w:val="0"/>
          <w:sz w:val="36"/>
          <w:szCs w:val="36"/>
          <w14:ligatures w14:val="none"/>
        </w:rPr>
        <w:t>后</w:t>
      </w:r>
    </w:p>
    <w:p w14:paraId="133259C4" w14:textId="77777777" w:rsidR="008331DE" w:rsidRPr="008331DE" w:rsidRDefault="008331DE" w:rsidP="0083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AA7685" w14:textId="77777777" w:rsidR="008331DE" w:rsidRPr="008331DE" w:rsidRDefault="008331DE" w:rsidP="0083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1DE">
        <w:rPr>
          <w:rFonts w:ascii="Times New Roman" w:eastAsia="Times New Roman" w:hAnsi="Times New Roman" w:cs="Times New Roman"/>
          <w:kern w:val="0"/>
          <w14:ligatures w14:val="none"/>
        </w:rPr>
        <w:t>REITs</w:t>
      </w: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从不是赚快钱的工具，而是</w:t>
      </w:r>
      <w:r w:rsidRPr="008331DE">
        <w:rPr>
          <w:rFonts w:ascii="SimSun" w:eastAsia="SimSun" w:hAnsi="SimSun" w:cs="SimSun" w:hint="eastAsia"/>
          <w:kern w:val="0"/>
          <w14:ligatures w14:val="none"/>
        </w:rPr>
        <w:t>稳稳</w:t>
      </w: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复利的</w:t>
      </w:r>
      <w:r w:rsidRPr="008331DE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现金牛</w:t>
      </w:r>
      <w:r w:rsidRPr="008331DE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8331DE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5F917646" w14:textId="77777777" w:rsidR="008331DE" w:rsidRPr="008331DE" w:rsidRDefault="008331DE" w:rsidP="0083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1DE">
        <w:rPr>
          <w:rFonts w:ascii="Times New Roman" w:eastAsia="Times New Roman" w:hAnsi="Times New Roman" w:cs="Times New Roman"/>
          <w:kern w:val="0"/>
          <w14:ligatures w14:val="none"/>
        </w:rPr>
        <w:t>VNQ</w:t>
      </w: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过去十年的低迷，不是逻辑失效，而是给理性投资者的一次配置机会</w:t>
      </w:r>
      <w:r w:rsidRPr="008331DE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6A7350D7" w14:textId="77777777" w:rsidR="008331DE" w:rsidRPr="008331DE" w:rsidRDefault="008331DE" w:rsidP="0083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F13A25" w14:textId="77777777" w:rsidR="008331DE" w:rsidRPr="008331DE" w:rsidRDefault="008331DE" w:rsidP="0083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1DE">
        <w:rPr>
          <w:rFonts w:ascii="PingFang TC" w:eastAsia="PingFang TC" w:hAnsi="PingFang TC" w:cs="PingFang TC" w:hint="eastAsia"/>
          <w:kern w:val="0"/>
          <w14:ligatures w14:val="none"/>
        </w:rPr>
        <w:t>在纷扰的市场中，越能看清资产的长期价值，越能掌握主动权</w:t>
      </w:r>
      <w:r w:rsidRPr="008331DE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155088D1" w14:textId="77777777" w:rsidR="008331DE" w:rsidRPr="008331DE" w:rsidRDefault="008331DE" w:rsidP="0083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9D7891" w14:textId="77777777" w:rsidR="008331DE" w:rsidRPr="008331DE" w:rsidRDefault="008331DE" w:rsidP="0083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1DE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愿你能在周期的低谷中，播下复利的种子</w:t>
      </w:r>
      <w:r w:rsidRPr="008331DE">
        <w:rPr>
          <w:rFonts w:ascii="PingFang TC" w:eastAsia="PingFang TC" w:hAnsi="PingFang TC" w:cs="PingFang TC"/>
          <w:b/>
          <w:bCs/>
          <w:kern w:val="0"/>
          <w14:ligatures w14:val="none"/>
        </w:rPr>
        <w:t>。</w:t>
      </w:r>
    </w:p>
    <w:p w14:paraId="2775D53B" w14:textId="77777777" w:rsidR="008331DE" w:rsidRPr="008331DE" w:rsidRDefault="008331DE" w:rsidP="008331DE"/>
    <w:sectPr w:rsidR="008331DE" w:rsidRPr="008331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2E5348"/>
    <w:multiLevelType w:val="multilevel"/>
    <w:tmpl w:val="9210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1345A"/>
    <w:multiLevelType w:val="multilevel"/>
    <w:tmpl w:val="51DA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771DF"/>
    <w:multiLevelType w:val="multilevel"/>
    <w:tmpl w:val="77DEE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B00604"/>
    <w:multiLevelType w:val="multilevel"/>
    <w:tmpl w:val="EE48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0A3150"/>
    <w:multiLevelType w:val="multilevel"/>
    <w:tmpl w:val="1868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C97D14"/>
    <w:multiLevelType w:val="multilevel"/>
    <w:tmpl w:val="754E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5A0F56"/>
    <w:multiLevelType w:val="multilevel"/>
    <w:tmpl w:val="034C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AA45B7"/>
    <w:multiLevelType w:val="multilevel"/>
    <w:tmpl w:val="783A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44262F"/>
    <w:multiLevelType w:val="multilevel"/>
    <w:tmpl w:val="35F4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3F0DAF"/>
    <w:multiLevelType w:val="multilevel"/>
    <w:tmpl w:val="39B0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7108B7"/>
    <w:multiLevelType w:val="multilevel"/>
    <w:tmpl w:val="0DD6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0716009">
    <w:abstractNumId w:val="10"/>
  </w:num>
  <w:num w:numId="2" w16cid:durableId="1311322386">
    <w:abstractNumId w:val="4"/>
  </w:num>
  <w:num w:numId="3" w16cid:durableId="1768455589">
    <w:abstractNumId w:val="6"/>
  </w:num>
  <w:num w:numId="4" w16cid:durableId="1805388321">
    <w:abstractNumId w:val="0"/>
  </w:num>
  <w:num w:numId="5" w16cid:durableId="753284096">
    <w:abstractNumId w:val="2"/>
  </w:num>
  <w:num w:numId="6" w16cid:durableId="377247701">
    <w:abstractNumId w:val="3"/>
  </w:num>
  <w:num w:numId="7" w16cid:durableId="1534229276">
    <w:abstractNumId w:val="5"/>
  </w:num>
  <w:num w:numId="8" w16cid:durableId="843130087">
    <w:abstractNumId w:val="7"/>
  </w:num>
  <w:num w:numId="9" w16cid:durableId="2121676372">
    <w:abstractNumId w:val="1"/>
  </w:num>
  <w:num w:numId="10" w16cid:durableId="1566912853">
    <w:abstractNumId w:val="9"/>
  </w:num>
  <w:num w:numId="11" w16cid:durableId="12674207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1DE"/>
    <w:rsid w:val="000F21B3"/>
    <w:rsid w:val="00424734"/>
    <w:rsid w:val="008331DE"/>
    <w:rsid w:val="00EA10ED"/>
    <w:rsid w:val="00F52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452B5"/>
  <w15:chartTrackingRefBased/>
  <w15:docId w15:val="{0FB95BE3-1998-2841-AF9A-3138AAB2A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1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31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31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1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1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1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1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1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1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1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31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31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1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1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1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1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1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1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1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1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1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1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1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1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1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1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1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1D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8331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8331DE"/>
  </w:style>
  <w:style w:type="paragraph" w:customStyle="1" w:styleId="p3">
    <w:name w:val="p3"/>
    <w:basedOn w:val="Normal"/>
    <w:rsid w:val="008331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8331DE"/>
  </w:style>
  <w:style w:type="paragraph" w:customStyle="1" w:styleId="p4">
    <w:name w:val="p4"/>
    <w:basedOn w:val="Normal"/>
    <w:rsid w:val="008331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8331DE"/>
  </w:style>
  <w:style w:type="paragraph" w:customStyle="1" w:styleId="p2">
    <w:name w:val="p2"/>
    <w:basedOn w:val="Normal"/>
    <w:rsid w:val="008331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8331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919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9620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8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93532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33699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259</Words>
  <Characters>1478</Characters>
  <Application>Microsoft Office Word</Application>
  <DocSecurity>0</DocSecurity>
  <Lines>12</Lines>
  <Paragraphs>3</Paragraphs>
  <ScaleCrop>false</ScaleCrop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Wu</dc:creator>
  <cp:keywords/>
  <dc:description/>
  <cp:lastModifiedBy>Derek Wu</cp:lastModifiedBy>
  <cp:revision>2</cp:revision>
  <dcterms:created xsi:type="dcterms:W3CDTF">2025-07-17T03:53:00Z</dcterms:created>
  <dcterms:modified xsi:type="dcterms:W3CDTF">2025-07-17T04:05:00Z</dcterms:modified>
</cp:coreProperties>
</file>