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AA6C5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F565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8CB007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5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D0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为什么这么好的</w:t>
      </w:r>
      <w:r w:rsidRPr="00D0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REITs</w:t>
      </w:r>
      <w:r w:rsidRPr="00D0250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，过去十年里的</w:t>
      </w:r>
      <w:r w:rsidRPr="00D0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VNQ </w:t>
      </w:r>
      <w:r w:rsidRPr="00D0250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却不</w:t>
      </w:r>
      <w:r w:rsidRPr="00D0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香</w:t>
      </w:r>
      <w:r w:rsidRPr="00D02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了</w:t>
      </w:r>
      <w:r w:rsidRPr="00D02504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7149DBED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6F5B4" w14:textId="77777777" w:rsidR="00D02504" w:rsidRPr="00D02504" w:rsidRDefault="00D02504" w:rsidP="00D0250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明明有</w:t>
      </w:r>
      <w:r w:rsidRPr="00D0250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稳</w:t>
      </w: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定分红、抗通胀、多元化优势，为什么</w:t>
      </w:r>
      <w:r w:rsidRPr="00D0250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REITs </w:t>
      </w: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代表性</w:t>
      </w:r>
      <w:r w:rsidRPr="00D0250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ETF —— VNQ </w:t>
      </w: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表现</w:t>
      </w:r>
      <w:r w:rsidRPr="00D0250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远远</w:t>
      </w: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落后标普</w:t>
      </w:r>
      <w:r w:rsidRPr="00D0250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500</w:t>
      </w:r>
      <w:r w:rsidRPr="00D02504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？</w:t>
      </w:r>
    </w:p>
    <w:p w14:paraId="098CD5BB" w14:textId="77777777" w:rsidR="00D02504" w:rsidRPr="00D02504" w:rsidRDefault="00D02504" w:rsidP="00D0250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D02504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本文带你深入理解背后的结构性与周期性原因</w:t>
      </w:r>
      <w:r w:rsidRPr="00D02504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7AF02A84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C8B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9C0402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一、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看起来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很香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，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VNQ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却跑输了谁</w:t>
      </w:r>
      <w:r w:rsidRPr="00D02504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7E52BCE1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5031E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房地产投资信托基金（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REITs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）长期以来被誉为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能收租还能炒股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的双优资产。它</w:t>
      </w:r>
      <w:r w:rsidRPr="00D02504">
        <w:rPr>
          <w:rFonts w:ascii="SimSun" w:eastAsia="SimSun" w:hAnsi="SimSun" w:cs="SimSun" w:hint="eastAsia"/>
          <w:kern w:val="0"/>
          <w14:ligatures w14:val="none"/>
        </w:rPr>
        <w:t>稳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定分红、可抗通胀、还能提供一定的资本增值，一直被很多机构投资者作为资产配置中的核心组成部分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1F567A4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6054C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但是，一打开过去十年的回报对比图，普通投资者常常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瞬间劝退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2736"/>
      </w:tblGrid>
      <w:tr w:rsidR="00D02504" w:rsidRPr="00D02504" w14:paraId="2BF19705" w14:textId="77777777" w:rsidTr="00E512EB">
        <w:tc>
          <w:tcPr>
            <w:tcW w:w="0" w:type="auto"/>
            <w:hideMark/>
          </w:tcPr>
          <w:p w14:paraId="0C562515" w14:textId="77777777" w:rsidR="00D02504" w:rsidRPr="00D02504" w:rsidRDefault="00D02504" w:rsidP="00D025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投资品种</w:t>
            </w:r>
          </w:p>
        </w:tc>
        <w:tc>
          <w:tcPr>
            <w:tcW w:w="0" w:type="auto"/>
            <w:hideMark/>
          </w:tcPr>
          <w:p w14:paraId="5FD93C77" w14:textId="77777777" w:rsidR="00D02504" w:rsidRPr="00D02504" w:rsidRDefault="00D02504" w:rsidP="00D025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年化回报（</w:t>
            </w: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2014–2024</w:t>
            </w: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）</w:t>
            </w:r>
          </w:p>
        </w:tc>
      </w:tr>
      <w:tr w:rsidR="00D02504" w:rsidRPr="00D02504" w14:paraId="70118E95" w14:textId="77777777" w:rsidTr="00E512EB">
        <w:tc>
          <w:tcPr>
            <w:tcW w:w="0" w:type="auto"/>
            <w:hideMark/>
          </w:tcPr>
          <w:p w14:paraId="6E3B62F8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SPY</w:t>
            </w: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（标普</w:t>
            </w: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500 ETF</w:t>
            </w: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7750C139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约</w:t>
            </w: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13.3%</w:t>
            </w:r>
          </w:p>
        </w:tc>
      </w:tr>
      <w:tr w:rsidR="00D02504" w:rsidRPr="00D02504" w14:paraId="3645F074" w14:textId="77777777" w:rsidTr="00E512EB">
        <w:tc>
          <w:tcPr>
            <w:tcW w:w="0" w:type="auto"/>
            <w:hideMark/>
          </w:tcPr>
          <w:p w14:paraId="6C97D31A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VNQ</w:t>
            </w: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（房地产</w:t>
            </w: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REIT ETF</w:t>
            </w: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178A78B8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b/>
                <w:bCs/>
                <w:kern w:val="0"/>
                <w14:ligatures w14:val="none"/>
              </w:rPr>
              <w:t>约</w:t>
            </w:r>
            <w:r w:rsidRPr="00D025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5.4%</w:t>
            </w:r>
          </w:p>
        </w:tc>
      </w:tr>
      <w:tr w:rsidR="00D02504" w:rsidRPr="00D02504" w14:paraId="2EF47446" w14:textId="77777777" w:rsidTr="00E512EB">
        <w:tc>
          <w:tcPr>
            <w:tcW w:w="0" w:type="auto"/>
            <w:hideMark/>
          </w:tcPr>
          <w:p w14:paraId="3426622A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美债</w:t>
            </w:r>
            <w:r w:rsidRPr="00D0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ETF</w:t>
            </w: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（</w:t>
            </w:r>
            <w:r w:rsidRPr="00D0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</w:t>
            </w: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3F90BECC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约</w:t>
            </w:r>
            <w:r w:rsidRPr="00D0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1.5–2.0%</w:t>
            </w:r>
          </w:p>
        </w:tc>
      </w:tr>
      <w:tr w:rsidR="00D02504" w:rsidRPr="00D02504" w14:paraId="6F8003A1" w14:textId="77777777" w:rsidTr="00E512EB">
        <w:tc>
          <w:tcPr>
            <w:tcW w:w="0" w:type="auto"/>
            <w:hideMark/>
          </w:tcPr>
          <w:p w14:paraId="731D64F0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黄金（</w:t>
            </w:r>
            <w:r w:rsidRPr="00D0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GLD</w:t>
            </w: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49B63E47" w14:textId="77777777" w:rsidR="00D02504" w:rsidRPr="00D02504" w:rsidRDefault="00D02504" w:rsidP="00D025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2504">
              <w:rPr>
                <w:rFonts w:ascii="PingFang TC" w:eastAsia="PingFang TC" w:hAnsi="PingFang TC" w:cs="PingFang TC"/>
                <w:kern w:val="0"/>
                <w14:ligatures w14:val="none"/>
              </w:rPr>
              <w:t>约</w:t>
            </w:r>
            <w:r w:rsidRPr="00D025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5.8%</w:t>
            </w:r>
          </w:p>
        </w:tc>
      </w:tr>
    </w:tbl>
    <w:p w14:paraId="28A6A18A" w14:textId="77777777" w:rsidR="00E512EB" w:rsidRDefault="00E512EB" w:rsidP="00D02504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7C52B633" w14:textId="5CF5E327" w:rsidR="00E512EB" w:rsidRDefault="00E512EB" w:rsidP="00D02504">
      <w:p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noProof/>
          <w:kern w:val="0"/>
        </w:rPr>
        <w:lastRenderedPageBreak/>
        <w:drawing>
          <wp:inline distT="0" distB="0" distL="0" distR="0" wp14:anchorId="601834D8" wp14:editId="529547FD">
            <wp:extent cx="5943600" cy="3374390"/>
            <wp:effectExtent l="0" t="0" r="0" b="3810"/>
            <wp:docPr id="713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381" name="Picture 713653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2F87" w14:textId="1B8FF264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Apple Color Emoji" w:eastAsia="Times New Roman" w:hAnsi="Apple Color Emoji" w:cs="Apple Color Emoji"/>
          <w:kern w:val="0"/>
          <w14:ligatures w14:val="none"/>
        </w:rPr>
        <w:t>📉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VNQ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的年化回报不仅</w:t>
      </w:r>
      <w:r w:rsidRPr="00D02504">
        <w:rPr>
          <w:rFonts w:ascii="SimSun" w:eastAsia="SimSun" w:hAnsi="SimSun" w:cs="SimSun" w:hint="eastAsia"/>
          <w:b/>
          <w:bCs/>
          <w:kern w:val="0"/>
          <w14:ligatures w14:val="none"/>
        </w:rPr>
        <w:t>远远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落后于大盘，还与黄金相当，甚至一度低于通胀</w:t>
      </w:r>
      <w:r w:rsidRPr="00D0250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43E40112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这引发了一个尖锐的问题：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REITs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是不是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失效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了</w:t>
      </w:r>
      <w:r w:rsidRPr="00D02504">
        <w:rPr>
          <w:rFonts w:ascii="PingFang TC" w:eastAsia="PingFang TC" w:hAnsi="PingFang TC" w:cs="PingFang TC"/>
          <w:b/>
          <w:bCs/>
          <w:kern w:val="0"/>
          <w14:ligatures w14:val="none"/>
        </w:rPr>
        <w:t>？</w:t>
      </w:r>
    </w:p>
    <w:p w14:paraId="1D09DDC4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BAB4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8D73F5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二、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回报不佳的四大深层原</w:t>
      </w:r>
      <w:r w:rsidRPr="00D02504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因</w:t>
      </w:r>
    </w:p>
    <w:p w14:paraId="33A649FB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10312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很多人以为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VNQ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表现不佳是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赛道老化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或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结构有问题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，其实原因并不简单，以下四点共同决定了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在过去十年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跑不动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的状态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38F77B2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B0D3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EFBD4E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D02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美联储加息周期压制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REIT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估</w:t>
      </w:r>
      <w:r w:rsidRPr="00D0250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值</w:t>
      </w:r>
    </w:p>
    <w:p w14:paraId="153E4AC8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78E49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被认为是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利率敏感型资产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。因为其分红能力来自长期物业租金现金流，而利率上升时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FAA3FC4" w14:textId="77777777" w:rsidR="00D02504" w:rsidRPr="00D02504" w:rsidRDefault="00D02504" w:rsidP="00D0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投资者对高分红的吸引力下降（有了国债替代）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15D135A" w14:textId="77777777" w:rsidR="00D02504" w:rsidRPr="00D02504" w:rsidRDefault="00D02504" w:rsidP="00D0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折现未来租金的模型中，折现率上升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估值下调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5ABC32AB" w14:textId="77777777" w:rsidR="00D02504" w:rsidRPr="00D02504" w:rsidRDefault="00D02504" w:rsidP="00D02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融资成本提高，压缩了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FFO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（可分配现金流）增长空间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0F0B533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4084C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举例：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2022–2023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年，美联储连续十次加息，将联邦基金利率从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0%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提至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5.5%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。这段时间内，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VNQ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最大跌幅超过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20%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，而标普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500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基本横盘震荡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19F09E0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AB98A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简言之：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没有业绩爆发，也遇上了估值</w:t>
      </w:r>
      <w:r w:rsidRPr="00D02504">
        <w:rPr>
          <w:rFonts w:ascii="SimSun" w:eastAsia="SimSun" w:hAnsi="SimSun" w:cs="SimSun" w:hint="eastAsia"/>
          <w:b/>
          <w:bCs/>
          <w:kern w:val="0"/>
          <w14:ligatures w14:val="none"/>
        </w:rPr>
        <w:t>杀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伤</w:t>
      </w:r>
      <w:r w:rsidRPr="00D0250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36BCDF97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A3C4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DA7276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02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疫情改变了房地产租赁结</w:t>
      </w:r>
      <w:r w:rsidRPr="00D0250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构</w:t>
      </w:r>
    </w:p>
    <w:p w14:paraId="0565BABD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99C09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COVID-19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不只是公共卫生事件，更深刻改变了全球商业地产的运营方式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DA3C1AA" w14:textId="77777777" w:rsidR="00D02504" w:rsidRPr="00D02504" w:rsidRDefault="00D02504" w:rsidP="00D0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办公楼空置率飙升，</w:t>
      </w:r>
      <w:r w:rsidRPr="00D02504">
        <w:rPr>
          <w:rFonts w:ascii="SimSun" w:eastAsia="SimSun" w:hAnsi="SimSun" w:cs="SimSun" w:hint="eastAsia"/>
          <w:kern w:val="0"/>
          <w14:ligatures w14:val="none"/>
        </w:rPr>
        <w:t>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程办公成为常态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7E4959AA" w14:textId="77777777" w:rsidR="00D02504" w:rsidRPr="00D02504" w:rsidRDefault="00D02504" w:rsidP="00D0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传统零售物业受电商冲击影响更大，商场租金萎缩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5F01D6D3" w14:textId="77777777" w:rsidR="00D02504" w:rsidRPr="00D02504" w:rsidRDefault="00D02504" w:rsidP="00D02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唯有工业仓储、数据中心等物业需求增长，但这些板块在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VNQ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中权重有限（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2024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年仍不超过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20%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49B5775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7188B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结果是：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总体运营指标出现结构性疲软，营收增长慢、租金谈判力下降，影响长期回报能力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1F55BB3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B6C6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CB9548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</w:t>
      </w:r>
      <w:r w:rsidRPr="00D02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ETF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结构权重拖累回</w:t>
      </w:r>
      <w:r w:rsidRPr="00D0250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报</w:t>
      </w:r>
    </w:p>
    <w:p w14:paraId="792AA7EC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8EE7C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VNQ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是市值加权型指数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ETF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，其投资组合主要集中在大型、</w:t>
      </w:r>
      <w:r w:rsidRPr="00D02504">
        <w:rPr>
          <w:rFonts w:ascii="SimSun" w:eastAsia="SimSun" w:hAnsi="SimSun" w:cs="SimSun" w:hint="eastAsia"/>
          <w:kern w:val="0"/>
          <w14:ligatures w14:val="none"/>
        </w:rPr>
        <w:t>稳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定型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REIT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企业（如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AMT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PLD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WELL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等）。这些企业虽然</w:t>
      </w:r>
      <w:r w:rsidRPr="00D02504">
        <w:rPr>
          <w:rFonts w:ascii="SimSun" w:eastAsia="SimSun" w:hAnsi="SimSun" w:cs="SimSun" w:hint="eastAsia"/>
          <w:kern w:val="0"/>
          <w14:ligatures w14:val="none"/>
        </w:rPr>
        <w:t>稳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定，但成长性不如中小型新兴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REITs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（如仓储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通信领域），错过了一些爆发式机会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E61FE83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DBDFB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例如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D1E3095" w14:textId="77777777" w:rsidR="00D02504" w:rsidRPr="00D02504" w:rsidRDefault="00D02504" w:rsidP="00D02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仓储巨头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Prologis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PLD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近十年表现</w:t>
      </w:r>
      <w:r w:rsidRPr="00D02504">
        <w:rPr>
          <w:rFonts w:ascii="SimSun" w:eastAsia="SimSun" w:hAnsi="SimSun" w:cs="SimSun" w:hint="eastAsia"/>
          <w:kern w:val="0"/>
          <w14:ligatures w14:val="none"/>
        </w:rPr>
        <w:t>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超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VNQ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A3A9B45" w14:textId="77777777" w:rsidR="00D02504" w:rsidRPr="00D02504" w:rsidRDefault="00D02504" w:rsidP="00D02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医疗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REIT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、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VTR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由于人口老龄化加持，具长期潜力，但在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VNQ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中权重仅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5–8%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563896C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9BC888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ETF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懒人式配置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虽然分散了风险，但也容易错失高增长板块，造成整体回报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温吞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168CA24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DBD9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C1FC4E2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02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2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VNQ </w:t>
      </w:r>
      <w:r w:rsidRPr="00D02504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过去曾过度上涨，现在是回归均</w:t>
      </w:r>
      <w:r w:rsidRPr="00D02504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值</w:t>
      </w:r>
    </w:p>
    <w:p w14:paraId="49D0EB0B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5CFC6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2009–2014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年期间，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在超低利率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资产通胀环境下大幅上涨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B90C369" w14:textId="77777777" w:rsidR="00D02504" w:rsidRPr="00D02504" w:rsidRDefault="00D02504" w:rsidP="00D0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房地产价格强势修复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1BA55CF4" w14:textId="77777777" w:rsidR="00D02504" w:rsidRPr="00D02504" w:rsidRDefault="00D02504" w:rsidP="00D0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商业地产租金回升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1EBACE5" w14:textId="77777777" w:rsidR="00D02504" w:rsidRPr="00D02504" w:rsidRDefault="00D02504" w:rsidP="00D02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估值水平（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P/FFO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）达到历史高点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3954A622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63120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这段时期的透支式上涨，使得后十年（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2014–2024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）更像是一种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均值回归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447A377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增长降速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利率回升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疫情扰动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横盘震</w:t>
      </w:r>
      <w:r w:rsidRPr="00D02504">
        <w:rPr>
          <w:rFonts w:ascii="PingFang TC" w:eastAsia="PingFang TC" w:hAnsi="PingFang TC" w:cs="PingFang TC"/>
          <w:b/>
          <w:bCs/>
          <w:kern w:val="0"/>
          <w14:ligatures w14:val="none"/>
        </w:rPr>
        <w:t>荡</w:t>
      </w:r>
    </w:p>
    <w:p w14:paraId="7B56FC65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DABBF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这不是失效，而是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周期休整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4529E5F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31D5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927023" w14:textId="77777777" w:rsidR="00D02504" w:rsidRPr="00D02504" w:rsidRDefault="00D02504" w:rsidP="00D02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504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三、小结：周期不是逻辑的终点，而是理性起</w:t>
      </w:r>
      <w:r w:rsidRPr="00D02504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点</w:t>
      </w:r>
    </w:p>
    <w:p w14:paraId="6CE4CF72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7355D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如果我们用错误的时间维度来观察资产，就容易做出过度反应。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近十年回报不佳，更多是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宏观政策叠加估值回调的双重压力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，而非其本质的投资逻辑被推翻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6C6E84F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AE907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下一部分，我们将重点回答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E5A9294" w14:textId="77777777" w:rsidR="00D02504" w:rsidRPr="00D02504" w:rsidRDefault="00D02504" w:rsidP="00D0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如果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本质仍具价值，投资者该如何智慧参与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13B5F3DC" w14:textId="77777777" w:rsidR="00D02504" w:rsidRPr="00D02504" w:rsidRDefault="00D02504" w:rsidP="00D0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VNQ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估值已低，那是否是当前适合配置的时点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46590C53" w14:textId="77777777" w:rsidR="00D02504" w:rsidRPr="00D02504" w:rsidRDefault="00D02504" w:rsidP="00D02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面对周期轮动，我们如何设置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D02504">
        <w:rPr>
          <w:rFonts w:ascii="PingFang TC" w:eastAsia="PingFang TC" w:hAnsi="PingFang TC" w:cs="PingFang TC" w:hint="eastAsia"/>
          <w:kern w:val="0"/>
          <w14:ligatures w14:val="none"/>
        </w:rPr>
        <w:t>的长期配置比例</w:t>
      </w:r>
      <w:r w:rsidRPr="00D02504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613A97FA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54B22" w14:textId="77777777" w:rsidR="00D02504" w:rsidRPr="00D02504" w:rsidRDefault="00D02504" w:rsidP="00D02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50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D025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敬请阅读下篇：</w:t>
      </w:r>
      <w:r w:rsidRPr="00D025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REITs </w:t>
      </w:r>
      <w:r w:rsidRPr="00D0250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回报失色，我们该如何应对</w:t>
      </w:r>
      <w:r w:rsidRPr="00D02504">
        <w:rPr>
          <w:rFonts w:ascii="PingFang TC" w:eastAsia="PingFang TC" w:hAnsi="PingFang TC" w:cs="PingFang TC"/>
          <w:b/>
          <w:bCs/>
          <w:kern w:val="0"/>
          <w14:ligatures w14:val="none"/>
        </w:rPr>
        <w:t>？</w:t>
      </w:r>
    </w:p>
    <w:p w14:paraId="3A800DC0" w14:textId="77777777" w:rsidR="00D02504" w:rsidRPr="00D02504" w:rsidRDefault="00E767E3" w:rsidP="00D025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CC66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0E8DC7" w14:textId="77777777" w:rsidR="00D02504" w:rsidRDefault="00D02504"/>
    <w:sectPr w:rsidR="00D02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B920E2"/>
    <w:multiLevelType w:val="multilevel"/>
    <w:tmpl w:val="648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66FA5"/>
    <w:multiLevelType w:val="multilevel"/>
    <w:tmpl w:val="D6E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D3F51"/>
    <w:multiLevelType w:val="multilevel"/>
    <w:tmpl w:val="898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D5DCC"/>
    <w:multiLevelType w:val="multilevel"/>
    <w:tmpl w:val="5B4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C7140"/>
    <w:multiLevelType w:val="multilevel"/>
    <w:tmpl w:val="C34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77710">
    <w:abstractNumId w:val="3"/>
  </w:num>
  <w:num w:numId="2" w16cid:durableId="1369840225">
    <w:abstractNumId w:val="0"/>
  </w:num>
  <w:num w:numId="3" w16cid:durableId="1014066089">
    <w:abstractNumId w:val="1"/>
  </w:num>
  <w:num w:numId="4" w16cid:durableId="44185318">
    <w:abstractNumId w:val="4"/>
  </w:num>
  <w:num w:numId="5" w16cid:durableId="81895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04"/>
    <w:rsid w:val="00052AF6"/>
    <w:rsid w:val="00236C96"/>
    <w:rsid w:val="00D02504"/>
    <w:rsid w:val="00E512EB"/>
    <w:rsid w:val="00E767E3"/>
    <w:rsid w:val="00EA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3BEE"/>
  <w15:chartTrackingRefBased/>
  <w15:docId w15:val="{6EC27798-D7BD-0742-A829-49ABE294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02504"/>
  </w:style>
  <w:style w:type="paragraph" w:customStyle="1" w:styleId="p3">
    <w:name w:val="p3"/>
    <w:basedOn w:val="Normal"/>
    <w:rsid w:val="00D0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02504"/>
  </w:style>
  <w:style w:type="paragraph" w:customStyle="1" w:styleId="p4">
    <w:name w:val="p4"/>
    <w:basedOn w:val="Normal"/>
    <w:rsid w:val="00D02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02504"/>
  </w:style>
  <w:style w:type="table" w:styleId="TableGrid">
    <w:name w:val="Table Grid"/>
    <w:basedOn w:val="TableNormal"/>
    <w:uiPriority w:val="39"/>
    <w:rsid w:val="00E51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83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11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28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2</cp:revision>
  <dcterms:created xsi:type="dcterms:W3CDTF">2025-07-17T03:41:00Z</dcterms:created>
  <dcterms:modified xsi:type="dcterms:W3CDTF">2025-07-24T01:44:00Z</dcterms:modified>
</cp:coreProperties>
</file>