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9DC80" w14:textId="77777777"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亲爱的朋友，</w:t>
      </w:r>
    </w:p>
    <w:p w14:paraId="667CF7B5" w14:textId="77777777" w:rsidR="00A77AA2" w:rsidRPr="000C1D9B" w:rsidRDefault="00A77AA2" w:rsidP="00A77AA2">
      <w:pPr>
        <w:pStyle w:val="p2"/>
        <w:rPr>
          <w:rFonts w:ascii="KaiTi" w:eastAsia="KaiTi" w:hAnsi="KaiTi"/>
          <w:sz w:val="24"/>
          <w:szCs w:val="24"/>
        </w:rPr>
      </w:pPr>
    </w:p>
    <w:p w14:paraId="2052E5D0" w14:textId="77777777" w:rsidR="00A77AA2" w:rsidRPr="000C1D9B" w:rsidRDefault="00A77AA2" w:rsidP="00A77AA2">
      <w:pPr>
        <w:pStyle w:val="p1"/>
        <w:rPr>
          <w:rFonts w:ascii="KaiTi" w:eastAsia="KaiTi" w:hAnsi="KaiTi" w:cs="PingFang TC"/>
          <w:sz w:val="24"/>
          <w:szCs w:val="24"/>
        </w:rPr>
      </w:pPr>
      <w:r w:rsidRPr="000C1D9B">
        <w:rPr>
          <w:rFonts w:ascii="KaiTi" w:eastAsia="KaiTi" w:hAnsi="KaiTi" w:cs="PingFang TC" w:hint="eastAsia"/>
          <w:sz w:val="24"/>
          <w:szCs w:val="24"/>
        </w:rPr>
        <w:t>随着天气渐凉，昼夜温差逐渐拉大，希望你和家人都能保重身体。健康是最大的财富，无论是为自己还是家人，我们都需要未雨绸缪。</w:t>
      </w:r>
    </w:p>
    <w:p w14:paraId="716F258E" w14:textId="77777777" w:rsidR="00A77AA2" w:rsidRPr="000C1D9B" w:rsidRDefault="00A77AA2" w:rsidP="00A77AA2">
      <w:pPr>
        <w:pStyle w:val="p1"/>
        <w:rPr>
          <w:rFonts w:ascii="KaiTi" w:eastAsia="KaiTi" w:hAnsi="KaiTi" w:cs="PingFang TC"/>
          <w:sz w:val="24"/>
          <w:szCs w:val="24"/>
        </w:rPr>
      </w:pPr>
    </w:p>
    <w:p w14:paraId="5E136AA8" w14:textId="018EC3A5"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本期《</w:t>
      </w:r>
      <w:r w:rsidRPr="000C1D9B">
        <w:rPr>
          <w:rFonts w:ascii="KaiTi" w:eastAsia="KaiTi" w:hAnsi="KaiTi"/>
          <w:sz w:val="24"/>
          <w:szCs w:val="24"/>
        </w:rPr>
        <w:t>Wonder</w:t>
      </w:r>
      <w:r w:rsidRPr="000C1D9B">
        <w:rPr>
          <w:rFonts w:ascii="KaiTi" w:eastAsia="KaiTi" w:hAnsi="KaiTi" w:cs="PingFang TC" w:hint="eastAsia"/>
          <w:sz w:val="24"/>
          <w:szCs w:val="24"/>
        </w:rPr>
        <w:t>财智客户通讯》，我们精心为您准备了健康保障和资产配置的最新动态，期待为你的生活带来一些实用的支持，也希望这些内容能成为你规划未来的好帮手。</w:t>
      </w:r>
    </w:p>
    <w:p w14:paraId="4AAC1ED5" w14:textId="77777777" w:rsidR="00C25F33" w:rsidRDefault="00C25F33" w:rsidP="00C25F33">
      <w:pPr>
        <w:autoSpaceDE w:val="0"/>
        <w:autoSpaceDN w:val="0"/>
        <w:adjustRightInd w:val="0"/>
        <w:spacing w:after="0" w:line="240" w:lineRule="auto"/>
        <w:rPr>
          <w:rFonts w:ascii="KaiTi" w:eastAsia="KaiTi" w:hAnsi="KaiTi" w:cs="Arial"/>
          <w:b/>
          <w:bCs/>
          <w:kern w:val="0"/>
        </w:rPr>
      </w:pPr>
    </w:p>
    <w:p w14:paraId="05D9C8D1" w14:textId="4F960E36" w:rsidR="00C25F33" w:rsidRPr="000C1D9B" w:rsidRDefault="00C25F33" w:rsidP="00C25F33">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公司服务更新</w:t>
      </w:r>
    </w:p>
    <w:p w14:paraId="0EF9B220" w14:textId="77777777" w:rsidR="00C25F33" w:rsidRDefault="00C25F33" w:rsidP="00C25F33">
      <w:pPr>
        <w:autoSpaceDE w:val="0"/>
        <w:autoSpaceDN w:val="0"/>
        <w:adjustRightInd w:val="0"/>
        <w:spacing w:after="0" w:line="240" w:lineRule="auto"/>
        <w:rPr>
          <w:rFonts w:ascii="KaiTi" w:eastAsia="KaiTi" w:hAnsi="KaiTi" w:cs="Arial"/>
          <w:kern w:val="0"/>
        </w:rPr>
      </w:pPr>
    </w:p>
    <w:p w14:paraId="1C3331F2" w14:textId="77777777" w:rsidR="00C25F33" w:rsidRDefault="00C25F33" w:rsidP="00C25F33">
      <w:pPr>
        <w:autoSpaceDE w:val="0"/>
        <w:autoSpaceDN w:val="0"/>
        <w:adjustRightInd w:val="0"/>
        <w:spacing w:after="0" w:line="240" w:lineRule="auto"/>
        <w:rPr>
          <w:rFonts w:ascii="KaiTi" w:eastAsia="KaiTi" w:hAnsi="KaiTi" w:cs="Arial"/>
          <w:kern w:val="0"/>
        </w:rPr>
      </w:pPr>
      <w:r>
        <w:rPr>
          <w:rFonts w:ascii="KaiTi" w:eastAsia="KaiTi" w:hAnsi="KaiTi" w:cs="Arial" w:hint="eastAsia"/>
          <w:kern w:val="0"/>
        </w:rPr>
        <w:t>由2024年11月25日起，除了现有的电邮及传真，个人医疗保险计划客户可透过手机应用程式AIA+申请非医疗网络的医疗费预先批核级出院免找数服务（如适用）</w:t>
      </w:r>
    </w:p>
    <w:p w14:paraId="730FCCDB" w14:textId="77777777" w:rsidR="00C25F33" w:rsidRDefault="00C25F33" w:rsidP="00C25F33">
      <w:pPr>
        <w:autoSpaceDE w:val="0"/>
        <w:autoSpaceDN w:val="0"/>
        <w:adjustRightInd w:val="0"/>
        <w:spacing w:after="0" w:line="240" w:lineRule="auto"/>
        <w:rPr>
          <w:rFonts w:ascii="KaiTi" w:eastAsia="KaiTi" w:hAnsi="KaiTi" w:cs="Arial"/>
          <w:kern w:val="0"/>
        </w:rPr>
      </w:pPr>
      <w:r w:rsidRPr="00C25F33">
        <w:rPr>
          <w:rFonts w:ascii="KaiTi" w:eastAsia="KaiTi" w:hAnsi="KaiTi" w:cs="Arial"/>
          <w:noProof/>
          <w:kern w:val="0"/>
        </w:rPr>
        <w:drawing>
          <wp:inline distT="0" distB="0" distL="0" distR="0" wp14:anchorId="6A087856" wp14:editId="61FD5AED">
            <wp:extent cx="5943600" cy="5655310"/>
            <wp:effectExtent l="0" t="0" r="0" b="0"/>
            <wp:docPr id="4019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2410" name=""/>
                    <pic:cNvPicPr/>
                  </pic:nvPicPr>
                  <pic:blipFill>
                    <a:blip r:embed="rId6"/>
                    <a:stretch>
                      <a:fillRect/>
                    </a:stretch>
                  </pic:blipFill>
                  <pic:spPr>
                    <a:xfrm>
                      <a:off x="0" y="0"/>
                      <a:ext cx="5943600" cy="5655310"/>
                    </a:xfrm>
                    <a:prstGeom prst="rect">
                      <a:avLst/>
                    </a:prstGeom>
                  </pic:spPr>
                </pic:pic>
              </a:graphicData>
            </a:graphic>
          </wp:inline>
        </w:drawing>
      </w:r>
    </w:p>
    <w:p w14:paraId="4032D363" w14:textId="77777777" w:rsidR="00C25F33" w:rsidRDefault="00C25F33" w:rsidP="00C25F33">
      <w:pPr>
        <w:autoSpaceDE w:val="0"/>
        <w:autoSpaceDN w:val="0"/>
        <w:adjustRightInd w:val="0"/>
        <w:spacing w:after="0" w:line="240" w:lineRule="auto"/>
        <w:rPr>
          <w:rFonts w:ascii="KaiTi" w:eastAsia="KaiTi" w:hAnsi="KaiTi" w:cs="Arial"/>
          <w:kern w:val="0"/>
        </w:rPr>
      </w:pPr>
    </w:p>
    <w:p w14:paraId="78E4511B" w14:textId="77777777" w:rsidR="00C25F33" w:rsidRDefault="00C25F33" w:rsidP="00C25F33">
      <w:pPr>
        <w:autoSpaceDE w:val="0"/>
        <w:autoSpaceDN w:val="0"/>
        <w:adjustRightInd w:val="0"/>
        <w:spacing w:after="0" w:line="240" w:lineRule="auto"/>
        <w:rPr>
          <w:rFonts w:ascii="KaiTi" w:eastAsia="KaiTi" w:hAnsi="KaiTi" w:cs="Arial"/>
          <w:kern w:val="0"/>
        </w:rPr>
      </w:pPr>
      <w:r>
        <w:rPr>
          <w:rFonts w:ascii="KaiTi" w:eastAsia="KaiTi" w:hAnsi="KaiTi" w:cs="Arial" w:hint="eastAsia"/>
          <w:kern w:val="0"/>
        </w:rPr>
        <w:lastRenderedPageBreak/>
        <w:t>同样，您也可以联系财务顾问帮您进行相关服务申请。</w:t>
      </w:r>
    </w:p>
    <w:p w14:paraId="56748CEB" w14:textId="77777777" w:rsidR="00095622" w:rsidRPr="000C1D9B" w:rsidRDefault="00095622" w:rsidP="000243A7">
      <w:pPr>
        <w:autoSpaceDE w:val="0"/>
        <w:autoSpaceDN w:val="0"/>
        <w:adjustRightInd w:val="0"/>
        <w:spacing w:after="0" w:line="240" w:lineRule="auto"/>
        <w:rPr>
          <w:rFonts w:ascii="KaiTi" w:eastAsia="KaiTi" w:hAnsi="KaiTi" w:cs="Arial"/>
          <w:kern w:val="0"/>
        </w:rPr>
      </w:pPr>
    </w:p>
    <w:p w14:paraId="047489DE" w14:textId="77777777" w:rsidR="00C25F33" w:rsidRDefault="00C25F33" w:rsidP="00FA66BE">
      <w:pPr>
        <w:autoSpaceDE w:val="0"/>
        <w:autoSpaceDN w:val="0"/>
        <w:adjustRightInd w:val="0"/>
        <w:spacing w:after="0" w:line="240" w:lineRule="auto"/>
        <w:rPr>
          <w:rFonts w:ascii="KaiTi" w:eastAsia="KaiTi" w:hAnsi="KaiTi" w:cs="Arial"/>
          <w:b/>
          <w:bCs/>
          <w:kern w:val="0"/>
        </w:rPr>
      </w:pPr>
    </w:p>
    <w:p w14:paraId="0745BCC6" w14:textId="70E10B1F" w:rsidR="00FA66BE" w:rsidRPr="000C1D9B" w:rsidRDefault="00FA66BE" w:rsidP="00FA66BE">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储蓄分红险收益政策新动向</w:t>
      </w:r>
    </w:p>
    <w:p w14:paraId="1967B0F4" w14:textId="77777777" w:rsidR="00FA66BE" w:rsidRPr="000C1D9B" w:rsidRDefault="00FA66BE" w:rsidP="00FA66BE">
      <w:pPr>
        <w:autoSpaceDE w:val="0"/>
        <w:autoSpaceDN w:val="0"/>
        <w:adjustRightInd w:val="0"/>
        <w:spacing w:after="0" w:line="240" w:lineRule="auto"/>
        <w:rPr>
          <w:rFonts w:ascii="KaiTi" w:eastAsia="KaiTi" w:hAnsi="KaiTi" w:cs="Arial"/>
          <w:kern w:val="0"/>
        </w:rPr>
      </w:pPr>
    </w:p>
    <w:p w14:paraId="39FC3CE2" w14:textId="77777777" w:rsidR="00FA66BE" w:rsidRPr="000C1D9B" w:rsidRDefault="00FA66BE" w:rsidP="00FA66BE">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近期，有消息称香港保监局计划对储蓄分红险的预期收益设定上限为6.5%。我们认为，这一政策的出台</w:t>
      </w:r>
      <w:r w:rsidRPr="000C1D9B">
        <w:rPr>
          <w:rFonts w:ascii="KaiTi" w:eastAsia="KaiTi" w:hAnsi="KaiTi" w:cs="Arial" w:hint="eastAsia"/>
          <w:kern w:val="0"/>
        </w:rPr>
        <w:t>并不是意味着香港保险会如同内地一样，不断降低未来产品收益，毕竟底层资产和投资逻辑有着巨大的差异。反而</w:t>
      </w:r>
      <w:r>
        <w:rPr>
          <w:rFonts w:ascii="KaiTi" w:eastAsia="KaiTi" w:hAnsi="KaiTi" w:cs="Arial" w:hint="eastAsia"/>
          <w:kern w:val="0"/>
        </w:rPr>
        <w:t>这</w:t>
      </w:r>
      <w:r w:rsidRPr="000C1D9B">
        <w:rPr>
          <w:rFonts w:ascii="KaiTi" w:eastAsia="KaiTi" w:hAnsi="KaiTi" w:cs="Arial" w:hint="eastAsia"/>
          <w:kern w:val="0"/>
        </w:rPr>
        <w:t>是体现了保监加强行业规管，目的在于保持香港保险业长期有序的良性竞争形态。</w:t>
      </w:r>
    </w:p>
    <w:p w14:paraId="1CB88571" w14:textId="77777777" w:rsidR="00FA66BE" w:rsidRPr="000C1D9B" w:rsidRDefault="00FA66BE" w:rsidP="00FA66BE">
      <w:pPr>
        <w:autoSpaceDE w:val="0"/>
        <w:autoSpaceDN w:val="0"/>
        <w:adjustRightInd w:val="0"/>
        <w:spacing w:after="0" w:line="240" w:lineRule="auto"/>
        <w:rPr>
          <w:rFonts w:ascii="KaiTi" w:eastAsia="KaiTi" w:hAnsi="KaiTi" w:cs="Arial"/>
          <w:kern w:val="0"/>
        </w:rPr>
      </w:pPr>
    </w:p>
    <w:p w14:paraId="6DE403A2" w14:textId="77777777" w:rsidR="00FA66BE" w:rsidRPr="000C1D9B" w:rsidRDefault="00FA66BE" w:rsidP="00FA66BE">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这也将</w:t>
      </w:r>
      <w:r w:rsidRPr="000C1D9B">
        <w:rPr>
          <w:rFonts w:ascii="KaiTi" w:eastAsia="KaiTi" w:hAnsi="KaiTi" w:cs="Arial"/>
          <w:kern w:val="0"/>
        </w:rPr>
        <w:t>为行业和客户带来多方面的利好：</w:t>
      </w:r>
    </w:p>
    <w:p w14:paraId="5F6C57E8" w14:textId="77777777" w:rsidR="00FA66BE" w:rsidRPr="000C1D9B" w:rsidRDefault="00FA66BE" w:rsidP="00FA66BE">
      <w:pPr>
        <w:autoSpaceDE w:val="0"/>
        <w:autoSpaceDN w:val="0"/>
        <w:adjustRightInd w:val="0"/>
        <w:spacing w:after="0" w:line="240" w:lineRule="auto"/>
        <w:rPr>
          <w:rFonts w:ascii="KaiTi" w:eastAsia="KaiTi" w:hAnsi="KaiTi" w:cs="Arial"/>
          <w:kern w:val="0"/>
        </w:rPr>
      </w:pPr>
    </w:p>
    <w:p w14:paraId="5A755B70" w14:textId="77777777" w:rsidR="00FA66BE" w:rsidRPr="000C1D9B" w:rsidRDefault="00FA66BE" w:rsidP="00FA66BE">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1.更透明的市场竞争：减少不负责任的高收益演示行为，让客户关注保险公司的实力</w:t>
      </w:r>
      <w:r>
        <w:rPr>
          <w:rFonts w:ascii="KaiTi" w:eastAsia="KaiTi" w:hAnsi="KaiTi" w:cs="Arial" w:hint="eastAsia"/>
          <w:kern w:val="0"/>
        </w:rPr>
        <w:t>和履约能力</w:t>
      </w:r>
      <w:r w:rsidRPr="000C1D9B">
        <w:rPr>
          <w:rFonts w:ascii="KaiTi" w:eastAsia="KaiTi" w:hAnsi="KaiTi" w:cs="Arial"/>
          <w:kern w:val="0"/>
        </w:rPr>
        <w:t>，避免误导决策。</w:t>
      </w:r>
    </w:p>
    <w:p w14:paraId="6341B0B3" w14:textId="77777777" w:rsidR="00FA66BE" w:rsidRPr="000C1D9B" w:rsidRDefault="00FA66BE" w:rsidP="00FA66BE">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2.长期稳定的收益预期：</w:t>
      </w:r>
      <w:r>
        <w:rPr>
          <w:rFonts w:ascii="KaiTi" w:eastAsia="KaiTi" w:hAnsi="KaiTi" w:cs="Arial" w:hint="eastAsia"/>
          <w:kern w:val="0"/>
        </w:rPr>
        <w:t>保监如果设定6.5%为英式分红险产品的</w:t>
      </w:r>
      <w:r w:rsidRPr="000C1D9B">
        <w:rPr>
          <w:rFonts w:ascii="KaiTi" w:eastAsia="KaiTi" w:hAnsi="KaiTi" w:cs="Arial"/>
          <w:kern w:val="0"/>
        </w:rPr>
        <w:t>收益上限</w:t>
      </w:r>
      <w:r>
        <w:rPr>
          <w:rFonts w:ascii="KaiTi" w:eastAsia="KaiTi" w:hAnsi="KaiTi" w:cs="Arial" w:hint="eastAsia"/>
          <w:kern w:val="0"/>
        </w:rPr>
        <w:t>，是否可以理解保监实际上认为</w:t>
      </w:r>
      <w:r w:rsidRPr="000C1D9B">
        <w:rPr>
          <w:rFonts w:ascii="KaiTi" w:eastAsia="KaiTi" w:hAnsi="KaiTi" w:cs="Arial"/>
          <w:kern w:val="0"/>
        </w:rPr>
        <w:t>6.5%</w:t>
      </w:r>
      <w:r>
        <w:rPr>
          <w:rFonts w:ascii="KaiTi" w:eastAsia="KaiTi" w:hAnsi="KaiTi" w:cs="Arial" w:hint="eastAsia"/>
          <w:kern w:val="0"/>
        </w:rPr>
        <w:t>的长线收益其实是</w:t>
      </w:r>
      <w:r w:rsidRPr="000C1D9B">
        <w:rPr>
          <w:rFonts w:ascii="KaiTi" w:eastAsia="KaiTi" w:hAnsi="KaiTi" w:cs="Arial" w:hint="eastAsia"/>
          <w:kern w:val="0"/>
        </w:rPr>
        <w:t>符</w:t>
      </w:r>
      <w:r w:rsidRPr="000C1D9B">
        <w:rPr>
          <w:rFonts w:ascii="KaiTi" w:eastAsia="KaiTi" w:hAnsi="KaiTi" w:cs="Arial"/>
          <w:kern w:val="0"/>
        </w:rPr>
        <w:t>合精算逻辑</w:t>
      </w:r>
      <w:r>
        <w:rPr>
          <w:rFonts w:ascii="KaiTi" w:eastAsia="KaiTi" w:hAnsi="KaiTi" w:cs="Arial" w:hint="eastAsia"/>
          <w:kern w:val="0"/>
        </w:rPr>
        <w:t>的</w:t>
      </w:r>
      <w:r w:rsidRPr="000C1D9B">
        <w:rPr>
          <w:rFonts w:ascii="KaiTi" w:eastAsia="KaiTi" w:hAnsi="KaiTi" w:cs="Arial"/>
          <w:kern w:val="0"/>
        </w:rPr>
        <w:t>，</w:t>
      </w:r>
      <w:r>
        <w:rPr>
          <w:rFonts w:ascii="KaiTi" w:eastAsia="KaiTi" w:hAnsi="KaiTi" w:cs="Arial" w:hint="eastAsia"/>
          <w:kern w:val="0"/>
        </w:rPr>
        <w:t>也</w:t>
      </w:r>
      <w:r w:rsidRPr="000C1D9B">
        <w:rPr>
          <w:rFonts w:ascii="KaiTi" w:eastAsia="KaiTi" w:hAnsi="KaiTi" w:cs="Arial"/>
          <w:kern w:val="0"/>
        </w:rPr>
        <w:t>是</w:t>
      </w:r>
      <w:r>
        <w:rPr>
          <w:rFonts w:ascii="KaiTi" w:eastAsia="KaiTi" w:hAnsi="KaiTi" w:cs="Arial" w:hint="eastAsia"/>
          <w:kern w:val="0"/>
        </w:rPr>
        <w:t>可以实现的收益</w:t>
      </w:r>
      <w:r w:rsidRPr="000C1D9B">
        <w:rPr>
          <w:rFonts w:ascii="KaiTi" w:eastAsia="KaiTi" w:hAnsi="KaiTi" w:cs="Arial"/>
          <w:kern w:val="0"/>
        </w:rPr>
        <w:t>目标</w:t>
      </w:r>
      <w:r>
        <w:rPr>
          <w:rFonts w:ascii="KaiTi" w:eastAsia="KaiTi" w:hAnsi="KaiTi" w:cs="Arial" w:hint="eastAsia"/>
          <w:kern w:val="0"/>
        </w:rPr>
        <w:t>。反而成为一种官方的认可。也可以打消投保人对于非保证收益的一些担心。</w:t>
      </w:r>
    </w:p>
    <w:p w14:paraId="6A24BB23" w14:textId="77777777" w:rsidR="00FA66BE" w:rsidRPr="000C1D9B" w:rsidRDefault="00FA66BE" w:rsidP="00FA66BE">
      <w:pPr>
        <w:autoSpaceDE w:val="0"/>
        <w:autoSpaceDN w:val="0"/>
        <w:adjustRightInd w:val="0"/>
        <w:spacing w:after="0" w:line="240" w:lineRule="auto"/>
        <w:rPr>
          <w:rFonts w:ascii="KaiTi" w:eastAsia="KaiTi" w:hAnsi="KaiTi" w:cs="Arial"/>
          <w:kern w:val="0"/>
        </w:rPr>
      </w:pPr>
    </w:p>
    <w:p w14:paraId="1E2C0E13" w14:textId="77777777" w:rsidR="00FA66BE" w:rsidRPr="000C1D9B" w:rsidRDefault="00FA66BE" w:rsidP="00FA66BE">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未来预期收益是否设定上限，对于优秀和自律的保险公司而言影响不大。对于客户而言，减少被高预期收益的产品带偏的可能性，更关注于产品的适合性</w:t>
      </w:r>
      <w:r>
        <w:rPr>
          <w:rFonts w:ascii="KaiTi" w:eastAsia="KaiTi" w:hAnsi="KaiTi" w:cs="Arial" w:hint="eastAsia"/>
          <w:kern w:val="0"/>
        </w:rPr>
        <w:t>，以及如何实现自己和家庭的长期财务目标</w:t>
      </w:r>
      <w:r w:rsidRPr="000C1D9B">
        <w:rPr>
          <w:rFonts w:ascii="KaiTi" w:eastAsia="KaiTi" w:hAnsi="KaiTi" w:cs="Arial" w:hint="eastAsia"/>
          <w:kern w:val="0"/>
        </w:rPr>
        <w:t>。</w:t>
      </w:r>
    </w:p>
    <w:p w14:paraId="02A0B7BF" w14:textId="77777777" w:rsidR="00095622" w:rsidRDefault="00095622" w:rsidP="000243A7">
      <w:pPr>
        <w:autoSpaceDE w:val="0"/>
        <w:autoSpaceDN w:val="0"/>
        <w:adjustRightInd w:val="0"/>
        <w:spacing w:after="0" w:line="240" w:lineRule="auto"/>
        <w:rPr>
          <w:rFonts w:ascii="KaiTi" w:eastAsia="KaiTi" w:hAnsi="KaiTi" w:cs="Arial"/>
          <w:kern w:val="0"/>
        </w:rPr>
      </w:pPr>
    </w:p>
    <w:p w14:paraId="6F84C3DC" w14:textId="77777777" w:rsidR="00C25F33" w:rsidRPr="000C1D9B" w:rsidRDefault="00C25F33" w:rsidP="00C25F33">
      <w:pPr>
        <w:autoSpaceDE w:val="0"/>
        <w:autoSpaceDN w:val="0"/>
        <w:adjustRightInd w:val="0"/>
        <w:spacing w:after="0" w:line="240" w:lineRule="auto"/>
        <w:rPr>
          <w:rFonts w:ascii="KaiTi" w:eastAsia="KaiTi" w:hAnsi="KaiTi" w:cs="Arial"/>
          <w:b/>
          <w:bCs/>
          <w:kern w:val="0"/>
        </w:rPr>
      </w:pPr>
      <w:r w:rsidRPr="000C1D9B">
        <w:rPr>
          <w:rFonts w:ascii="KaiTi" w:eastAsia="KaiTi" w:hAnsi="KaiTi" w:cs="Arial" w:hint="eastAsia"/>
          <w:b/>
          <w:bCs/>
          <w:kern w:val="0"/>
        </w:rPr>
        <w:t>健康险本季度优惠：</w:t>
      </w:r>
    </w:p>
    <w:p w14:paraId="535ABD97" w14:textId="77777777" w:rsidR="00C25F33" w:rsidRPr="000C1D9B" w:rsidRDefault="00C25F33" w:rsidP="00C25F33">
      <w:pPr>
        <w:autoSpaceDE w:val="0"/>
        <w:autoSpaceDN w:val="0"/>
        <w:adjustRightInd w:val="0"/>
        <w:spacing w:after="0" w:line="240" w:lineRule="auto"/>
        <w:rPr>
          <w:rFonts w:ascii="KaiTi" w:eastAsia="KaiTi" w:hAnsi="KaiTi" w:cs="Arial"/>
          <w:kern w:val="0"/>
        </w:rPr>
      </w:pPr>
    </w:p>
    <w:p w14:paraId="5B282EA2" w14:textId="77777777" w:rsidR="00C25F33" w:rsidRPr="000C1D9B" w:rsidRDefault="00C25F33" w:rsidP="00C25F33">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本月重疾险优惠幅度很大，如搭配储蓄与医疗产品投保，最高优惠可达7个月保费回赠。错过11月优惠的朋友也不用担心，通常年末优惠也不会太差。从核保角度上讲，年末核保</w:t>
      </w:r>
      <w:r>
        <w:rPr>
          <w:rFonts w:ascii="KaiTi" w:eastAsia="KaiTi" w:hAnsi="KaiTi" w:cs="Arial" w:hint="eastAsia"/>
          <w:kern w:val="0"/>
        </w:rPr>
        <w:t>甚至</w:t>
      </w:r>
      <w:r w:rsidRPr="000C1D9B">
        <w:rPr>
          <w:rFonts w:ascii="KaiTi" w:eastAsia="KaiTi" w:hAnsi="KaiTi" w:cs="Arial" w:hint="eastAsia"/>
          <w:kern w:val="0"/>
        </w:rPr>
        <w:t>会</w:t>
      </w:r>
      <w:r>
        <w:rPr>
          <w:rFonts w:ascii="KaiTi" w:eastAsia="KaiTi" w:hAnsi="KaiTi" w:cs="Arial" w:hint="eastAsia"/>
          <w:kern w:val="0"/>
        </w:rPr>
        <w:t>更</w:t>
      </w:r>
      <w:r w:rsidRPr="000C1D9B">
        <w:rPr>
          <w:rFonts w:ascii="KaiTi" w:eastAsia="KaiTi" w:hAnsi="KaiTi" w:cs="Arial" w:hint="eastAsia"/>
          <w:kern w:val="0"/>
        </w:rPr>
        <w:t>宽松一些，想补充保障的朋友可以考虑抓住12月的机会。如何选择适合自己的重疾和医疗保险，请参考这篇文章《</w:t>
      </w:r>
      <w:hyperlink r:id="rId7" w:anchor="rd" w:history="1">
        <w:r w:rsidRPr="000C1D9B">
          <w:rPr>
            <w:rStyle w:val="Hyperlink"/>
            <w:rFonts w:ascii="KaiTi" w:eastAsia="KaiTi" w:hAnsi="KaiTi" w:cs="Arial" w:hint="eastAsia"/>
            <w:kern w:val="0"/>
          </w:rPr>
          <w:t>证券分析师的家庭人身保险配置策略研究</w:t>
        </w:r>
      </w:hyperlink>
      <w:r w:rsidRPr="000C1D9B">
        <w:rPr>
          <w:rFonts w:ascii="KaiTi" w:eastAsia="KaiTi" w:hAnsi="KaiTi" w:cs="Arial" w:hint="eastAsia"/>
          <w:kern w:val="0"/>
        </w:rPr>
        <w:t>》</w:t>
      </w:r>
    </w:p>
    <w:p w14:paraId="2F91E275" w14:textId="77777777" w:rsidR="00C25F33" w:rsidRPr="000C1D9B" w:rsidRDefault="00C25F33" w:rsidP="00C25F33">
      <w:pPr>
        <w:autoSpaceDE w:val="0"/>
        <w:autoSpaceDN w:val="0"/>
        <w:adjustRightInd w:val="0"/>
        <w:spacing w:after="0" w:line="240" w:lineRule="auto"/>
        <w:rPr>
          <w:rFonts w:ascii="KaiTi" w:eastAsia="KaiTi" w:hAnsi="KaiTi" w:cs="Arial"/>
          <w:kern w:val="0"/>
        </w:rPr>
      </w:pPr>
    </w:p>
    <w:p w14:paraId="0AA961AC" w14:textId="77777777" w:rsidR="00C25F33" w:rsidRPr="000C1D9B" w:rsidRDefault="00C25F33" w:rsidP="00C25F33">
      <w:pPr>
        <w:autoSpaceDE w:val="0"/>
        <w:autoSpaceDN w:val="0"/>
        <w:adjustRightInd w:val="0"/>
        <w:spacing w:after="0" w:line="240" w:lineRule="auto"/>
        <w:rPr>
          <w:rFonts w:ascii="KaiTi" w:eastAsia="KaiTi" w:hAnsi="KaiTi" w:cs="Arial"/>
          <w:kern w:val="0"/>
        </w:rPr>
      </w:pPr>
      <w:r w:rsidRPr="000C1D9B">
        <w:rPr>
          <w:rFonts w:ascii="KaiTi" w:eastAsia="KaiTi" w:hAnsi="KaiTi" w:cs="Arial"/>
          <w:noProof/>
          <w:kern w:val="0"/>
        </w:rPr>
        <w:drawing>
          <wp:inline distT="0" distB="0" distL="0" distR="0" wp14:anchorId="1F14BBAF" wp14:editId="7970E4E3">
            <wp:extent cx="2718707" cy="1925460"/>
            <wp:effectExtent l="0" t="0" r="0" b="5080"/>
            <wp:docPr id="941051079"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1079" name="Picture 1" descr="A screenshot of a screen&#10;&#10;Description automatically generated"/>
                    <pic:cNvPicPr/>
                  </pic:nvPicPr>
                  <pic:blipFill>
                    <a:blip r:embed="rId8"/>
                    <a:stretch>
                      <a:fillRect/>
                    </a:stretch>
                  </pic:blipFill>
                  <pic:spPr>
                    <a:xfrm>
                      <a:off x="0" y="0"/>
                      <a:ext cx="2752610" cy="1949471"/>
                    </a:xfrm>
                    <a:prstGeom prst="rect">
                      <a:avLst/>
                    </a:prstGeom>
                  </pic:spPr>
                </pic:pic>
              </a:graphicData>
            </a:graphic>
          </wp:inline>
        </w:drawing>
      </w:r>
      <w:r w:rsidRPr="000C1D9B">
        <w:rPr>
          <w:rFonts w:ascii="KaiTi" w:eastAsia="KaiTi" w:hAnsi="KaiTi" w:cs="Arial"/>
          <w:noProof/>
          <w:kern w:val="0"/>
        </w:rPr>
        <w:drawing>
          <wp:inline distT="0" distB="0" distL="0" distR="0" wp14:anchorId="7B09E121" wp14:editId="450EBB2E">
            <wp:extent cx="2665599" cy="1804405"/>
            <wp:effectExtent l="0" t="0" r="1905" b="0"/>
            <wp:docPr id="136931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17354" name=""/>
                    <pic:cNvPicPr/>
                  </pic:nvPicPr>
                  <pic:blipFill>
                    <a:blip r:embed="rId9"/>
                    <a:stretch>
                      <a:fillRect/>
                    </a:stretch>
                  </pic:blipFill>
                  <pic:spPr>
                    <a:xfrm>
                      <a:off x="0" y="0"/>
                      <a:ext cx="2751462" cy="1862528"/>
                    </a:xfrm>
                    <a:prstGeom prst="rect">
                      <a:avLst/>
                    </a:prstGeom>
                  </pic:spPr>
                </pic:pic>
              </a:graphicData>
            </a:graphic>
          </wp:inline>
        </w:drawing>
      </w:r>
    </w:p>
    <w:p w14:paraId="5195810D" w14:textId="77777777" w:rsidR="00C25F33" w:rsidRPr="000C1D9B" w:rsidRDefault="00C25F33" w:rsidP="000243A7">
      <w:pPr>
        <w:autoSpaceDE w:val="0"/>
        <w:autoSpaceDN w:val="0"/>
        <w:adjustRightInd w:val="0"/>
        <w:spacing w:after="0" w:line="240" w:lineRule="auto"/>
        <w:rPr>
          <w:rFonts w:ascii="KaiTi" w:eastAsia="KaiTi" w:hAnsi="KaiTi" w:cs="Arial"/>
          <w:kern w:val="0"/>
        </w:rPr>
      </w:pPr>
    </w:p>
    <w:p w14:paraId="599F205E" w14:textId="77777777" w:rsidR="00095622" w:rsidRPr="000C1D9B" w:rsidRDefault="00095622" w:rsidP="000243A7">
      <w:pPr>
        <w:autoSpaceDE w:val="0"/>
        <w:autoSpaceDN w:val="0"/>
        <w:adjustRightInd w:val="0"/>
        <w:spacing w:after="0" w:line="240" w:lineRule="auto"/>
        <w:rPr>
          <w:rFonts w:ascii="KaiTi" w:eastAsia="KaiTi" w:hAnsi="KaiTi" w:cs="Arial"/>
          <w:kern w:val="0"/>
        </w:rPr>
      </w:pPr>
    </w:p>
    <w:p w14:paraId="53ADCE8A" w14:textId="77777777" w:rsidR="00C25F33" w:rsidRDefault="00C25F33" w:rsidP="000243A7">
      <w:pPr>
        <w:autoSpaceDE w:val="0"/>
        <w:autoSpaceDN w:val="0"/>
        <w:adjustRightInd w:val="0"/>
        <w:spacing w:after="0" w:line="240" w:lineRule="auto"/>
        <w:rPr>
          <w:rFonts w:ascii="KaiTi" w:eastAsia="KaiTi" w:hAnsi="KaiTi" w:cs="Arial"/>
          <w:kern w:val="0"/>
        </w:rPr>
      </w:pPr>
    </w:p>
    <w:p w14:paraId="61284FB2" w14:textId="57CD8826" w:rsidR="000243A7" w:rsidRPr="00C25F33" w:rsidRDefault="00C25F33" w:rsidP="000243A7">
      <w:pPr>
        <w:autoSpaceDE w:val="0"/>
        <w:autoSpaceDN w:val="0"/>
        <w:adjustRightInd w:val="0"/>
        <w:spacing w:after="0" w:line="240" w:lineRule="auto"/>
        <w:rPr>
          <w:rFonts w:ascii="KaiTi" w:eastAsia="KaiTi" w:hAnsi="KaiTi" w:cs="Arial"/>
          <w:b/>
          <w:bCs/>
          <w:kern w:val="0"/>
        </w:rPr>
      </w:pPr>
      <w:r w:rsidRPr="00C25F33">
        <w:rPr>
          <w:rFonts w:ascii="KaiTi" w:eastAsia="KaiTi" w:hAnsi="KaiTi" w:cs="Arial" w:hint="eastAsia"/>
          <w:b/>
          <w:bCs/>
          <w:kern w:val="0"/>
        </w:rPr>
        <w:t>公司推出新产品</w:t>
      </w:r>
      <w:r>
        <w:rPr>
          <w:rFonts w:ascii="KaiTi" w:eastAsia="KaiTi" w:hAnsi="KaiTi" w:cs="Arial" w:hint="eastAsia"/>
          <w:b/>
          <w:bCs/>
          <w:kern w:val="0"/>
        </w:rPr>
        <w:t xml:space="preserve"> </w:t>
      </w:r>
      <w:r w:rsidR="000243A7" w:rsidRPr="000C1D9B">
        <w:rPr>
          <w:rFonts w:ascii="KaiTi" w:eastAsia="KaiTi" w:hAnsi="KaiTi" w:cs="Arial"/>
          <w:kern w:val="0"/>
        </w:rPr>
        <w:t>极臻·至尊明珠医疗计划</w:t>
      </w:r>
    </w:p>
    <w:p w14:paraId="62863FF2"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5350106A" w14:textId="45CC3ABF"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本月，我们很高兴为您带来最新的高端医疗保险产品——极臻·至尊明珠医疗计划。作为对以往CEO系列医疗保单的全面升级，此产品为客户提供更完善的健康保障，包括：</w:t>
      </w:r>
    </w:p>
    <w:p w14:paraId="419282C2" w14:textId="77777777"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ab/>
      </w:r>
      <w:r w:rsidRPr="000C1D9B">
        <w:rPr>
          <w:rFonts w:ascii="Courier New" w:eastAsia="KaiTi" w:hAnsi="Courier New" w:cs="Courier New"/>
          <w:kern w:val="0"/>
        </w:rPr>
        <w:t>•</w:t>
      </w:r>
      <w:r w:rsidRPr="000C1D9B">
        <w:rPr>
          <w:rFonts w:ascii="KaiTi" w:eastAsia="KaiTi" w:hAnsi="KaiTi" w:cs="Arial"/>
          <w:kern w:val="0"/>
        </w:rPr>
        <w:tab/>
        <w:t>长者癌症支援：特别关怀高龄客户，为其提供更全面的癌症治疗支持；</w:t>
      </w:r>
    </w:p>
    <w:p w14:paraId="2CAF148F" w14:textId="77777777"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ab/>
      </w:r>
      <w:r w:rsidRPr="000C1D9B">
        <w:rPr>
          <w:rFonts w:ascii="Courier New" w:eastAsia="KaiTi" w:hAnsi="Courier New" w:cs="Courier New"/>
          <w:kern w:val="0"/>
        </w:rPr>
        <w:t>•</w:t>
      </w:r>
      <w:r w:rsidRPr="000C1D9B">
        <w:rPr>
          <w:rFonts w:ascii="KaiTi" w:eastAsia="KaiTi" w:hAnsi="KaiTi" w:cs="Arial"/>
          <w:kern w:val="0"/>
        </w:rPr>
        <w:tab/>
        <w:t>改进的无索偿奖赏方式：更灵活、更具激励性的回馈机制；</w:t>
      </w:r>
    </w:p>
    <w:p w14:paraId="53B481BF" w14:textId="2B1ABA5B"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ab/>
      </w:r>
      <w:r w:rsidRPr="000C1D9B">
        <w:rPr>
          <w:rFonts w:ascii="Courier New" w:eastAsia="KaiTi" w:hAnsi="Courier New" w:cs="Courier New"/>
          <w:kern w:val="0"/>
        </w:rPr>
        <w:t>•</w:t>
      </w:r>
      <w:r w:rsidRPr="000C1D9B">
        <w:rPr>
          <w:rFonts w:ascii="KaiTi" w:eastAsia="KaiTi" w:hAnsi="KaiTi" w:cs="Arial"/>
          <w:kern w:val="0"/>
        </w:rPr>
        <w:tab/>
        <w:t>未出生宝宝保障：提前为新生命提供安全保障；</w:t>
      </w:r>
    </w:p>
    <w:p w14:paraId="4EE26762" w14:textId="77777777"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ab/>
      </w:r>
      <w:r w:rsidRPr="000C1D9B">
        <w:rPr>
          <w:rFonts w:ascii="Courier New" w:eastAsia="KaiTi" w:hAnsi="Courier New" w:cs="Courier New"/>
          <w:kern w:val="0"/>
        </w:rPr>
        <w:t>•</w:t>
      </w:r>
      <w:r w:rsidRPr="000C1D9B">
        <w:rPr>
          <w:rFonts w:ascii="KaiTi" w:eastAsia="KaiTi" w:hAnsi="KaiTi" w:cs="Arial"/>
          <w:kern w:val="0"/>
        </w:rPr>
        <w:tab/>
        <w:t>专属增值服务：涵盖养生建议及顶级医疗服务支持。</w:t>
      </w:r>
    </w:p>
    <w:p w14:paraId="5EA50320"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7B75CB5F" w14:textId="54963238" w:rsidR="000243A7"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此外，香港高端医疗险的独特优势——保证终身续保，将为您及家人带来一生的安心与保障。这款产品将成为您健康管理的重要伙伴，助力构建更安全的未来。</w:t>
      </w:r>
    </w:p>
    <w:p w14:paraId="056263E7" w14:textId="77777777" w:rsidR="000C1D9B" w:rsidRPr="000C1D9B" w:rsidRDefault="000C1D9B" w:rsidP="000243A7">
      <w:pPr>
        <w:autoSpaceDE w:val="0"/>
        <w:autoSpaceDN w:val="0"/>
        <w:adjustRightInd w:val="0"/>
        <w:spacing w:after="0" w:line="240" w:lineRule="auto"/>
        <w:rPr>
          <w:rFonts w:ascii="KaiTi" w:eastAsia="KaiTi" w:hAnsi="KaiTi" w:cs="Arial"/>
          <w:kern w:val="0"/>
        </w:rPr>
      </w:pPr>
    </w:p>
    <w:p w14:paraId="7107F92A" w14:textId="7F72022C"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noProof/>
          <w:kern w:val="0"/>
        </w:rPr>
        <w:drawing>
          <wp:inline distT="0" distB="0" distL="0" distR="0" wp14:anchorId="53CA5E40" wp14:editId="7BFDBEDF">
            <wp:extent cx="5943600" cy="2917825"/>
            <wp:effectExtent l="0" t="0" r="0" b="3175"/>
            <wp:docPr id="12636708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0835"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17825"/>
                    </a:xfrm>
                    <a:prstGeom prst="rect">
                      <a:avLst/>
                    </a:prstGeom>
                  </pic:spPr>
                </pic:pic>
              </a:graphicData>
            </a:graphic>
          </wp:inline>
        </w:drawing>
      </w:r>
    </w:p>
    <w:p w14:paraId="751EFA97" w14:textId="77777777" w:rsidR="000243A7" w:rsidRPr="000C1D9B" w:rsidRDefault="000243A7" w:rsidP="000243A7">
      <w:pPr>
        <w:autoSpaceDE w:val="0"/>
        <w:autoSpaceDN w:val="0"/>
        <w:adjustRightInd w:val="0"/>
        <w:spacing w:after="0" w:line="240" w:lineRule="auto"/>
        <w:rPr>
          <w:rFonts w:ascii="KaiTi" w:eastAsia="KaiTi" w:hAnsi="KaiTi" w:cs="Arial"/>
          <w:b/>
          <w:bCs/>
          <w:kern w:val="0"/>
        </w:rPr>
      </w:pPr>
    </w:p>
    <w:p w14:paraId="4080657F" w14:textId="77777777" w:rsidR="000243A7" w:rsidRPr="000C1D9B" w:rsidRDefault="000243A7" w:rsidP="000243A7">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全球主流市场动态</w:t>
      </w:r>
    </w:p>
    <w:p w14:paraId="4150FF61" w14:textId="77777777" w:rsidR="00F50281" w:rsidRPr="000C1D9B" w:rsidRDefault="00F50281" w:rsidP="000243A7">
      <w:pPr>
        <w:autoSpaceDE w:val="0"/>
        <w:autoSpaceDN w:val="0"/>
        <w:adjustRightInd w:val="0"/>
        <w:spacing w:after="0" w:line="240" w:lineRule="auto"/>
        <w:rPr>
          <w:rFonts w:ascii="KaiTi" w:eastAsia="KaiTi" w:hAnsi="KaiTi" w:cs="Arial"/>
          <w:b/>
          <w:bCs/>
          <w:kern w:val="0"/>
        </w:rPr>
      </w:pPr>
    </w:p>
    <w:p w14:paraId="448F29C1" w14:textId="6AAB9E88" w:rsidR="00F50281" w:rsidRPr="000C1D9B" w:rsidRDefault="00F50281" w:rsidP="00F50281">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本月内，发生了</w:t>
      </w:r>
      <w:r w:rsidR="00A77AA2" w:rsidRPr="000C1D9B">
        <w:rPr>
          <w:rFonts w:ascii="KaiTi" w:eastAsia="KaiTi" w:hAnsi="KaiTi" w:cs="Arial" w:hint="eastAsia"/>
          <w:kern w:val="0"/>
        </w:rPr>
        <w:t>两</w:t>
      </w:r>
      <w:r w:rsidRPr="000C1D9B">
        <w:rPr>
          <w:rFonts w:ascii="KaiTi" w:eastAsia="KaiTi" w:hAnsi="KaiTi" w:cs="Arial" w:hint="eastAsia"/>
          <w:kern w:val="0"/>
        </w:rPr>
        <w:t>件对全球金融市场有显著影响的事件。</w:t>
      </w:r>
      <w:r w:rsidR="00A77AA2" w:rsidRPr="000C1D9B">
        <w:rPr>
          <w:rFonts w:ascii="KaiTi" w:eastAsia="KaiTi" w:hAnsi="KaiTi" w:cs="Arial" w:hint="eastAsia"/>
          <w:kern w:val="0"/>
        </w:rPr>
        <w:t>其中之一</w:t>
      </w:r>
      <w:r w:rsidRPr="000C1D9B">
        <w:rPr>
          <w:rFonts w:ascii="KaiTi" w:eastAsia="KaiTi" w:hAnsi="KaiTi" w:cs="Arial" w:hint="eastAsia"/>
          <w:kern w:val="0"/>
        </w:rPr>
        <w:t>是美国总统选举水落石出，共和党的特朗普赢得选举；</w:t>
      </w:r>
      <w:r w:rsidR="00A77AA2" w:rsidRPr="000C1D9B">
        <w:rPr>
          <w:rFonts w:ascii="KaiTi" w:eastAsia="KaiTi" w:hAnsi="KaiTi" w:cs="Arial" w:hint="eastAsia"/>
          <w:kern w:val="0"/>
        </w:rPr>
        <w:t>另一件</w:t>
      </w:r>
      <w:r w:rsidRPr="000C1D9B">
        <w:rPr>
          <w:rFonts w:ascii="KaiTi" w:eastAsia="KaiTi" w:hAnsi="KaiTi" w:cs="Arial" w:hint="eastAsia"/>
          <w:kern w:val="0"/>
        </w:rPr>
        <w:t>是美联储如期降息25个基点。</w:t>
      </w:r>
      <w:r w:rsidRPr="000C1D9B">
        <w:rPr>
          <w:rFonts w:ascii="KaiTi" w:eastAsia="KaiTi" w:hAnsi="KaiTi" w:cs="Arial"/>
          <w:kern w:val="0"/>
        </w:rPr>
        <w:t>11月7日，美联储再次降低将联邦基金利率25bp，降至4.5%至4.75%。</w:t>
      </w:r>
    </w:p>
    <w:p w14:paraId="6D9FA7A5" w14:textId="77777777" w:rsidR="0093744D" w:rsidRDefault="0093744D" w:rsidP="000243A7">
      <w:pPr>
        <w:autoSpaceDE w:val="0"/>
        <w:autoSpaceDN w:val="0"/>
        <w:adjustRightInd w:val="0"/>
        <w:spacing w:after="0" w:line="240" w:lineRule="auto"/>
        <w:rPr>
          <w:rFonts w:ascii="KaiTi" w:eastAsia="KaiTi" w:hAnsi="KaiTi" w:cs="Arial"/>
          <w:kern w:val="0"/>
        </w:rPr>
      </w:pPr>
    </w:p>
    <w:p w14:paraId="6524EB6F" w14:textId="77777777"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KaiTi" w:eastAsia="KaiTi" w:hAnsi="KaiTi" w:cs="Arial"/>
          <w:b/>
          <w:bCs/>
          <w:kern w:val="0"/>
        </w:rPr>
        <w:t>美联储货币政策动态：</w:t>
      </w:r>
    </w:p>
    <w:p w14:paraId="5468F77C" w14:textId="476208BE" w:rsidR="0093744D" w:rsidRPr="0093744D" w:rsidRDefault="0093744D" w:rsidP="00E1323B">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美联储在11月的联邦公开市场委员会（FOMC）会议上，将联邦基金利率下调了25个基点，至4.50%-4.75%。这是今年的第二次降息，预计在12月17日开始的2024年最后一次会议上，还将进行一次25个基点的降息。</w:t>
      </w:r>
    </w:p>
    <w:p w14:paraId="59EB3B0B" w14:textId="16F64C66" w:rsidR="0093744D" w:rsidRPr="0093744D" w:rsidRDefault="0093744D" w:rsidP="00E1323B">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美联储主席鲍威尔表示，央行将继续评估数据，以确定利率的“节奏和目标”。</w:t>
      </w:r>
    </w:p>
    <w:p w14:paraId="3044FD86" w14:textId="77777777" w:rsidR="0093744D" w:rsidRPr="0093744D" w:rsidRDefault="0093744D" w:rsidP="0093744D">
      <w:pPr>
        <w:autoSpaceDE w:val="0"/>
        <w:autoSpaceDN w:val="0"/>
        <w:adjustRightInd w:val="0"/>
        <w:spacing w:after="0" w:line="240" w:lineRule="auto"/>
        <w:rPr>
          <w:rFonts w:ascii="KaiTi" w:eastAsia="KaiTi" w:hAnsi="KaiTi" w:cs="Arial"/>
          <w:kern w:val="0"/>
        </w:rPr>
      </w:pPr>
    </w:p>
    <w:p w14:paraId="61BEC010" w14:textId="58448CA6" w:rsidR="0093744D" w:rsidRPr="0093744D" w:rsidRDefault="0093744D" w:rsidP="0093744D">
      <w:pPr>
        <w:autoSpaceDE w:val="0"/>
        <w:autoSpaceDN w:val="0"/>
        <w:adjustRightInd w:val="0"/>
        <w:spacing w:after="0" w:line="240" w:lineRule="auto"/>
        <w:rPr>
          <w:rFonts w:ascii="KaiTi" w:eastAsia="KaiTi" w:hAnsi="KaiTi" w:cs="Arial"/>
          <w:kern w:val="0"/>
        </w:rPr>
      </w:pPr>
      <w:r>
        <w:rPr>
          <w:rFonts w:ascii="KaiTi" w:eastAsia="KaiTi" w:hAnsi="KaiTi" w:cs="Arial" w:hint="eastAsia"/>
          <w:b/>
          <w:bCs/>
          <w:kern w:val="0"/>
        </w:rPr>
        <w:lastRenderedPageBreak/>
        <w:t>美国</w:t>
      </w:r>
      <w:r w:rsidRPr="0093744D">
        <w:rPr>
          <w:rFonts w:ascii="KaiTi" w:eastAsia="KaiTi" w:hAnsi="KaiTi" w:cs="Arial"/>
          <w:b/>
          <w:bCs/>
          <w:kern w:val="0"/>
        </w:rPr>
        <w:t>通胀与就业数据：</w:t>
      </w:r>
    </w:p>
    <w:p w14:paraId="6DDB2377" w14:textId="40FF12CE" w:rsidR="0093744D" w:rsidRPr="0093744D" w:rsidRDefault="0093744D" w:rsidP="00E1323B">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10月消费者价格指数（CPI）环比上涨0.2%，同比上涨2.6%，略微高于此前数据。</w:t>
      </w:r>
    </w:p>
    <w:p w14:paraId="0AEC7D87" w14:textId="14814274" w:rsidR="0093744D" w:rsidRPr="0093744D" w:rsidRDefault="0093744D" w:rsidP="00E1323B">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核心CPI（剔除食品和能源）环比上涨0.3%，同比上涨3.3%，与市场预期一致。</w:t>
      </w:r>
    </w:p>
    <w:p w14:paraId="2D9849BC" w14:textId="3DDF18E8" w:rsidR="0093744D" w:rsidRPr="0093744D" w:rsidRDefault="0093744D" w:rsidP="00E1323B">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然而，10月新增就业人数仅为1.2万，表现疲软，可能受秋季的两场飓风和多次罢工影响。尽管如此，初请失业金人数依然维持在较低水平。</w:t>
      </w:r>
    </w:p>
    <w:p w14:paraId="3DAD596B" w14:textId="77777777" w:rsidR="0093744D" w:rsidRPr="0093744D" w:rsidRDefault="0093744D" w:rsidP="0093744D">
      <w:pPr>
        <w:autoSpaceDE w:val="0"/>
        <w:autoSpaceDN w:val="0"/>
        <w:adjustRightInd w:val="0"/>
        <w:spacing w:after="0" w:line="240" w:lineRule="auto"/>
        <w:rPr>
          <w:rFonts w:ascii="KaiTi" w:eastAsia="KaiTi" w:hAnsi="KaiTi" w:cs="Arial"/>
          <w:kern w:val="0"/>
        </w:rPr>
      </w:pPr>
    </w:p>
    <w:p w14:paraId="3E4C33E4" w14:textId="77777777"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KaiTi" w:eastAsia="KaiTi" w:hAnsi="KaiTi" w:cs="Arial"/>
          <w:b/>
          <w:bCs/>
          <w:kern w:val="0"/>
        </w:rPr>
        <w:t>企业盈利：</w:t>
      </w:r>
    </w:p>
    <w:p w14:paraId="0C6F7963" w14:textId="61456935"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第三季度，美国企业表现强劲，标普500企业的利润增长率平均为5%。这是标普500企业连续第五个季度实现同比增长，且这一增长被认为对当前指数较高的市盈率是必要的支撑。</w:t>
      </w:r>
    </w:p>
    <w:p w14:paraId="2B90905A" w14:textId="77777777" w:rsidR="0093744D" w:rsidRPr="0093744D" w:rsidRDefault="0093744D" w:rsidP="0093744D">
      <w:pPr>
        <w:autoSpaceDE w:val="0"/>
        <w:autoSpaceDN w:val="0"/>
        <w:adjustRightInd w:val="0"/>
        <w:spacing w:after="0" w:line="240" w:lineRule="auto"/>
        <w:rPr>
          <w:rFonts w:ascii="KaiTi" w:eastAsia="KaiTi" w:hAnsi="KaiTi" w:cs="Arial"/>
          <w:kern w:val="0"/>
        </w:rPr>
      </w:pPr>
    </w:p>
    <w:p w14:paraId="63FE87D0" w14:textId="77777777"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KaiTi" w:eastAsia="KaiTi" w:hAnsi="KaiTi" w:cs="Arial"/>
          <w:b/>
          <w:bCs/>
          <w:kern w:val="0"/>
        </w:rPr>
        <w:t>市场对选举结果的反应：</w:t>
      </w:r>
    </w:p>
    <w:p w14:paraId="36AD1C77" w14:textId="3EE2029A"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美国大选后，市场反应积极。候任总统特朗普承诺维持或降低企业税率，并减少拜登政府的监管，尤其是对银行和能源行业，这被认为对企业有利。</w:t>
      </w:r>
    </w:p>
    <w:p w14:paraId="2A29DC45" w14:textId="7F8A9A72" w:rsidR="0093744D" w:rsidRPr="0093744D" w:rsidRDefault="0093744D" w:rsidP="0093744D">
      <w:pPr>
        <w:autoSpaceDE w:val="0"/>
        <w:autoSpaceDN w:val="0"/>
        <w:adjustRightInd w:val="0"/>
        <w:spacing w:after="0" w:line="240" w:lineRule="auto"/>
        <w:rPr>
          <w:rFonts w:ascii="KaiTi" w:eastAsia="KaiTi" w:hAnsi="KaiTi" w:cs="Arial"/>
          <w:kern w:val="0"/>
        </w:rPr>
      </w:pPr>
      <w:r w:rsidRPr="0093744D">
        <w:rPr>
          <w:rFonts w:ascii="Courier New" w:eastAsia="KaiTi" w:hAnsi="Courier New" w:cs="Courier New"/>
          <w:kern w:val="0"/>
        </w:rPr>
        <w:t>•</w:t>
      </w:r>
      <w:r w:rsidRPr="0093744D">
        <w:rPr>
          <w:rFonts w:ascii="KaiTi" w:eastAsia="KaiTi" w:hAnsi="KaiTi" w:cs="Arial"/>
          <w:kern w:val="0"/>
        </w:rPr>
        <w:t>新政府计划的实施效果尚需观察，但快速的过渡进程及共和党对国会两院的控制预计将加速有利于企业的政策推进。</w:t>
      </w:r>
    </w:p>
    <w:p w14:paraId="19C33CBB" w14:textId="77777777" w:rsidR="0093744D" w:rsidRPr="000C1D9B" w:rsidRDefault="0093744D" w:rsidP="000243A7">
      <w:pPr>
        <w:autoSpaceDE w:val="0"/>
        <w:autoSpaceDN w:val="0"/>
        <w:adjustRightInd w:val="0"/>
        <w:spacing w:after="0" w:line="240" w:lineRule="auto"/>
        <w:rPr>
          <w:rFonts w:ascii="KaiTi" w:eastAsia="KaiTi" w:hAnsi="KaiTi" w:cs="Arial"/>
          <w:kern w:val="0"/>
        </w:rPr>
      </w:pPr>
    </w:p>
    <w:p w14:paraId="26FB7E32"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1925013C" w14:textId="1292C670" w:rsidR="000243A7" w:rsidRPr="000C1D9B" w:rsidRDefault="000243A7" w:rsidP="000243A7">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美国大选及新总统政策</w:t>
      </w:r>
      <w:r w:rsidR="00E1323B">
        <w:rPr>
          <w:rFonts w:ascii="KaiTi" w:eastAsia="KaiTi" w:hAnsi="KaiTi" w:cs="Arial" w:hint="eastAsia"/>
          <w:b/>
          <w:bCs/>
          <w:kern w:val="0"/>
        </w:rPr>
        <w:t>的</w:t>
      </w:r>
      <w:r w:rsidRPr="000C1D9B">
        <w:rPr>
          <w:rFonts w:ascii="KaiTi" w:eastAsia="KaiTi" w:hAnsi="KaiTi" w:cs="Arial"/>
          <w:b/>
          <w:bCs/>
          <w:kern w:val="0"/>
        </w:rPr>
        <w:t>可能影响</w:t>
      </w:r>
    </w:p>
    <w:p w14:paraId="3BAD0FB2"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794002A4" w14:textId="77777777"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唐纳德·特朗普再次当选美国总统，其政策主张可能对经济产生多方面影响：</w:t>
      </w:r>
    </w:p>
    <w:p w14:paraId="49B7A83E" w14:textId="77777777" w:rsidR="00F50281" w:rsidRPr="000C1D9B" w:rsidRDefault="00F50281" w:rsidP="000243A7">
      <w:pPr>
        <w:autoSpaceDE w:val="0"/>
        <w:autoSpaceDN w:val="0"/>
        <w:adjustRightInd w:val="0"/>
        <w:spacing w:after="0" w:line="240" w:lineRule="auto"/>
        <w:rPr>
          <w:rFonts w:ascii="KaiTi" w:eastAsia="KaiTi" w:hAnsi="KaiTi" w:cs="Arial"/>
          <w:kern w:val="0"/>
        </w:rPr>
      </w:pPr>
    </w:p>
    <w:p w14:paraId="27B24BC2" w14:textId="32AB0267" w:rsidR="000243A7" w:rsidRPr="009E15E4" w:rsidRDefault="000243A7" w:rsidP="009E15E4">
      <w:pPr>
        <w:pStyle w:val="ListParagraph"/>
        <w:numPr>
          <w:ilvl w:val="0"/>
          <w:numId w:val="4"/>
        </w:numPr>
        <w:autoSpaceDE w:val="0"/>
        <w:autoSpaceDN w:val="0"/>
        <w:adjustRightInd w:val="0"/>
        <w:spacing w:after="0" w:line="240" w:lineRule="auto"/>
        <w:rPr>
          <w:rFonts w:ascii="KaiTi" w:eastAsia="KaiTi" w:hAnsi="KaiTi" w:cs="Arial"/>
          <w:kern w:val="0"/>
        </w:rPr>
      </w:pPr>
      <w:r w:rsidRPr="009E15E4">
        <w:rPr>
          <w:rFonts w:ascii="KaiTi" w:eastAsia="KaiTi" w:hAnsi="KaiTi" w:cs="Arial"/>
          <w:kern w:val="0"/>
        </w:rPr>
        <w:t xml:space="preserve">税收政策：计划实施大规模减税，可能在短期内刺激经济增长，但也可能导致财政赤字扩大。 </w:t>
      </w:r>
    </w:p>
    <w:p w14:paraId="7E1126D1" w14:textId="7743FB7E" w:rsidR="000243A7" w:rsidRPr="009E15E4" w:rsidRDefault="000243A7" w:rsidP="009E15E4">
      <w:pPr>
        <w:pStyle w:val="ListParagraph"/>
        <w:numPr>
          <w:ilvl w:val="0"/>
          <w:numId w:val="4"/>
        </w:numPr>
        <w:autoSpaceDE w:val="0"/>
        <w:autoSpaceDN w:val="0"/>
        <w:adjustRightInd w:val="0"/>
        <w:spacing w:after="0" w:line="240" w:lineRule="auto"/>
        <w:rPr>
          <w:rFonts w:ascii="KaiTi" w:eastAsia="KaiTi" w:hAnsi="KaiTi" w:cs="Arial"/>
          <w:kern w:val="0"/>
        </w:rPr>
      </w:pPr>
      <w:r w:rsidRPr="009E15E4">
        <w:rPr>
          <w:rFonts w:ascii="KaiTi" w:eastAsia="KaiTi" w:hAnsi="KaiTi" w:cs="Arial"/>
          <w:kern w:val="0"/>
        </w:rPr>
        <w:t xml:space="preserve">贸易政策：拟对进口商品征收高额关税，特别是来自中国的商品，这可能导致全球贸易摩擦升级，影响国际供应链。 </w:t>
      </w:r>
    </w:p>
    <w:p w14:paraId="730B1BDB" w14:textId="061409A3" w:rsidR="000243A7" w:rsidRPr="009E15E4" w:rsidRDefault="000243A7" w:rsidP="009E15E4">
      <w:pPr>
        <w:pStyle w:val="ListParagraph"/>
        <w:numPr>
          <w:ilvl w:val="0"/>
          <w:numId w:val="4"/>
        </w:numPr>
        <w:autoSpaceDE w:val="0"/>
        <w:autoSpaceDN w:val="0"/>
        <w:adjustRightInd w:val="0"/>
        <w:spacing w:after="0" w:line="240" w:lineRule="auto"/>
        <w:rPr>
          <w:rFonts w:ascii="KaiTi" w:eastAsia="KaiTi" w:hAnsi="KaiTi" w:cs="Arial"/>
          <w:kern w:val="0"/>
        </w:rPr>
      </w:pPr>
      <w:r w:rsidRPr="009E15E4">
        <w:rPr>
          <w:rFonts w:ascii="KaiTi" w:eastAsia="KaiTi" w:hAnsi="KaiTi" w:cs="Arial"/>
          <w:kern w:val="0"/>
        </w:rPr>
        <w:t xml:space="preserve">移民政策：计划减少移民流入，可能导致劳动力市场紧张，影响某些行业的劳动力供应。 </w:t>
      </w:r>
    </w:p>
    <w:p w14:paraId="0C388B09"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703A9017" w14:textId="77777777" w:rsidR="000243A7" w:rsidRDefault="000243A7" w:rsidP="000243A7">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地缘政治演变</w:t>
      </w:r>
    </w:p>
    <w:p w14:paraId="3F1873FA" w14:textId="77777777" w:rsidR="00B87E04" w:rsidRPr="000C1D9B" w:rsidRDefault="00B87E04" w:rsidP="000243A7">
      <w:pPr>
        <w:autoSpaceDE w:val="0"/>
        <w:autoSpaceDN w:val="0"/>
        <w:adjustRightInd w:val="0"/>
        <w:spacing w:after="0" w:line="240" w:lineRule="auto"/>
        <w:rPr>
          <w:rFonts w:ascii="KaiTi" w:eastAsia="KaiTi" w:hAnsi="KaiTi" w:cs="Arial"/>
          <w:b/>
          <w:bCs/>
          <w:kern w:val="0"/>
        </w:rPr>
      </w:pPr>
    </w:p>
    <w:p w14:paraId="11B6A890" w14:textId="529220C7" w:rsidR="000243A7" w:rsidRPr="009E15E4" w:rsidRDefault="000243A7" w:rsidP="009E15E4">
      <w:pPr>
        <w:pStyle w:val="ListParagraph"/>
        <w:numPr>
          <w:ilvl w:val="0"/>
          <w:numId w:val="5"/>
        </w:numPr>
        <w:autoSpaceDE w:val="0"/>
        <w:autoSpaceDN w:val="0"/>
        <w:adjustRightInd w:val="0"/>
        <w:spacing w:after="0" w:line="240" w:lineRule="auto"/>
        <w:rPr>
          <w:rFonts w:ascii="KaiTi" w:eastAsia="KaiTi" w:hAnsi="KaiTi" w:cs="Arial"/>
          <w:kern w:val="0"/>
        </w:rPr>
      </w:pPr>
      <w:r w:rsidRPr="009E15E4">
        <w:rPr>
          <w:rFonts w:ascii="KaiTi" w:eastAsia="KaiTi" w:hAnsi="KaiTi" w:cs="Arial"/>
          <w:kern w:val="0"/>
        </w:rPr>
        <w:t xml:space="preserve">俄乌战争：截至2024年11月，俄乌冲突已持续1000天。七国集团（G7）领导人重申对乌克兰的支持，强调将继续通过制裁和其他措施让俄罗斯为其行动付出代价。 </w:t>
      </w:r>
    </w:p>
    <w:p w14:paraId="276D4680" w14:textId="4B00435D" w:rsidR="000243A7" w:rsidRPr="009E15E4" w:rsidRDefault="000243A7" w:rsidP="009E15E4">
      <w:pPr>
        <w:pStyle w:val="ListParagraph"/>
        <w:numPr>
          <w:ilvl w:val="0"/>
          <w:numId w:val="5"/>
        </w:numPr>
        <w:autoSpaceDE w:val="0"/>
        <w:autoSpaceDN w:val="0"/>
        <w:adjustRightInd w:val="0"/>
        <w:spacing w:after="0" w:line="240" w:lineRule="auto"/>
        <w:rPr>
          <w:rFonts w:ascii="KaiTi" w:eastAsia="KaiTi" w:hAnsi="KaiTi" w:cs="Arial"/>
          <w:kern w:val="0"/>
        </w:rPr>
      </w:pPr>
      <w:r w:rsidRPr="009E15E4">
        <w:rPr>
          <w:rFonts w:ascii="KaiTi" w:eastAsia="KaiTi" w:hAnsi="KaiTi" w:cs="Arial"/>
          <w:kern w:val="0"/>
        </w:rPr>
        <w:t>巴以冲突：近期，巴以地区紧张局势有所升级。以色列与加沙地带的武装组织之间的冲突加剧，导致双方人员伤亡增加。国际社会呼吁双方保持克制，通过对话解决争端。</w:t>
      </w:r>
    </w:p>
    <w:p w14:paraId="6D0E3460" w14:textId="10E8B794" w:rsidR="000243A7" w:rsidRPr="000C1D9B" w:rsidRDefault="000243A7" w:rsidP="000243A7">
      <w:pPr>
        <w:autoSpaceDE w:val="0"/>
        <w:autoSpaceDN w:val="0"/>
        <w:adjustRightInd w:val="0"/>
        <w:spacing w:after="0" w:line="240" w:lineRule="auto"/>
        <w:rPr>
          <w:rFonts w:ascii="KaiTi" w:eastAsia="KaiTi" w:hAnsi="KaiTi" w:cs="Arial"/>
          <w:kern w:val="0"/>
        </w:rPr>
      </w:pPr>
    </w:p>
    <w:p w14:paraId="54FC2A61"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68F2AD78" w14:textId="064E9AC2"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近期的全球政治经济局势，包括美联储的利率政策调整、美国大选及其政策方向，以及持续的地缘政治冲突（如俄乌战争、巴以冲突），对</w:t>
      </w:r>
      <w:r w:rsidR="00F50281" w:rsidRPr="000C1D9B">
        <w:rPr>
          <w:rFonts w:ascii="KaiTi" w:eastAsia="KaiTi" w:hAnsi="KaiTi" w:cs="Arial" w:hint="eastAsia"/>
          <w:kern w:val="0"/>
        </w:rPr>
        <w:t>短期市场的走势</w:t>
      </w:r>
      <w:r w:rsidRPr="000C1D9B">
        <w:rPr>
          <w:rFonts w:ascii="KaiTi" w:eastAsia="KaiTi" w:hAnsi="KaiTi" w:cs="Arial"/>
          <w:kern w:val="0"/>
        </w:rPr>
        <w:t>具有</w:t>
      </w:r>
      <w:r w:rsidR="00F50281" w:rsidRPr="000C1D9B">
        <w:rPr>
          <w:rFonts w:ascii="KaiTi" w:eastAsia="KaiTi" w:hAnsi="KaiTi" w:cs="Arial" w:hint="eastAsia"/>
          <w:kern w:val="0"/>
        </w:rPr>
        <w:t>较大</w:t>
      </w:r>
      <w:r w:rsidRPr="000C1D9B">
        <w:rPr>
          <w:rFonts w:ascii="KaiTi" w:eastAsia="KaiTi" w:hAnsi="KaiTi" w:cs="Arial"/>
          <w:kern w:val="0"/>
        </w:rPr>
        <w:t>影响，但也提供了重新审视资产配置的契机。</w:t>
      </w:r>
    </w:p>
    <w:p w14:paraId="40F5B374"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10BCFAE8" w14:textId="4741FD93" w:rsidR="000243A7" w:rsidRPr="00B87E04" w:rsidRDefault="00F50281" w:rsidP="000243A7">
      <w:pPr>
        <w:autoSpaceDE w:val="0"/>
        <w:autoSpaceDN w:val="0"/>
        <w:adjustRightInd w:val="0"/>
        <w:spacing w:after="0" w:line="240" w:lineRule="auto"/>
        <w:rPr>
          <w:rFonts w:ascii="KaiTi" w:eastAsia="KaiTi" w:hAnsi="KaiTi" w:cs="Arial"/>
          <w:b/>
          <w:bCs/>
          <w:kern w:val="0"/>
        </w:rPr>
      </w:pPr>
      <w:r w:rsidRPr="00B87E04">
        <w:rPr>
          <w:rFonts w:ascii="KaiTi" w:eastAsia="KaiTi" w:hAnsi="KaiTi" w:cs="Arial" w:hint="eastAsia"/>
          <w:b/>
          <w:bCs/>
          <w:kern w:val="0"/>
        </w:rPr>
        <w:t>作为</w:t>
      </w:r>
      <w:r w:rsidR="00562477" w:rsidRPr="00B87E04">
        <w:rPr>
          <w:rFonts w:ascii="KaiTi" w:eastAsia="KaiTi" w:hAnsi="KaiTi" w:cs="Arial" w:hint="eastAsia"/>
          <w:b/>
          <w:bCs/>
          <w:kern w:val="0"/>
        </w:rPr>
        <w:t>一个立足于</w:t>
      </w:r>
      <w:r w:rsidRPr="00B87E04">
        <w:rPr>
          <w:rFonts w:ascii="KaiTi" w:eastAsia="KaiTi" w:hAnsi="KaiTi" w:cs="Arial" w:hint="eastAsia"/>
          <w:b/>
          <w:bCs/>
          <w:kern w:val="0"/>
        </w:rPr>
        <w:t>长期</w:t>
      </w:r>
      <w:r w:rsidR="00562477" w:rsidRPr="00B87E04">
        <w:rPr>
          <w:rFonts w:ascii="KaiTi" w:eastAsia="KaiTi" w:hAnsi="KaiTi" w:cs="Arial" w:hint="eastAsia"/>
          <w:b/>
          <w:bCs/>
          <w:kern w:val="0"/>
        </w:rPr>
        <w:t>的</w:t>
      </w:r>
      <w:r w:rsidRPr="00B87E04">
        <w:rPr>
          <w:rFonts w:ascii="KaiTi" w:eastAsia="KaiTi" w:hAnsi="KaiTi" w:cs="Arial" w:hint="eastAsia"/>
          <w:b/>
          <w:bCs/>
          <w:kern w:val="0"/>
        </w:rPr>
        <w:t>资产配置</w:t>
      </w:r>
      <w:r w:rsidR="00562477" w:rsidRPr="00B87E04">
        <w:rPr>
          <w:rFonts w:ascii="KaiTi" w:eastAsia="KaiTi" w:hAnsi="KaiTi" w:cs="Arial" w:hint="eastAsia"/>
          <w:b/>
          <w:bCs/>
          <w:kern w:val="0"/>
        </w:rPr>
        <w:t>者，我们应当</w:t>
      </w:r>
      <w:r w:rsidR="000243A7" w:rsidRPr="00B87E04">
        <w:rPr>
          <w:rFonts w:ascii="KaiTi" w:eastAsia="KaiTi" w:hAnsi="KaiTi" w:cs="Arial"/>
          <w:b/>
          <w:bCs/>
          <w:kern w:val="0"/>
        </w:rPr>
        <w:t>如何看待</w:t>
      </w:r>
      <w:r w:rsidR="00562477" w:rsidRPr="00B87E04">
        <w:rPr>
          <w:rFonts w:ascii="KaiTi" w:eastAsia="KaiTi" w:hAnsi="KaiTi" w:cs="Arial" w:hint="eastAsia"/>
          <w:b/>
          <w:bCs/>
          <w:kern w:val="0"/>
        </w:rPr>
        <w:t>短期重大事件的影响</w:t>
      </w:r>
      <w:r w:rsidR="000243A7" w:rsidRPr="00B87E04">
        <w:rPr>
          <w:rFonts w:ascii="KaiTi" w:eastAsia="KaiTi" w:hAnsi="KaiTi" w:cs="Arial"/>
          <w:b/>
          <w:bCs/>
          <w:kern w:val="0"/>
        </w:rPr>
        <w:t>？</w:t>
      </w:r>
    </w:p>
    <w:p w14:paraId="3CF251B3"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37351B71" w14:textId="38629A12" w:rsidR="000243A7" w:rsidRPr="00B87E04" w:rsidRDefault="000243A7" w:rsidP="00B87E04">
      <w:pPr>
        <w:autoSpaceDE w:val="0"/>
        <w:autoSpaceDN w:val="0"/>
        <w:adjustRightInd w:val="0"/>
        <w:spacing w:after="0" w:line="240" w:lineRule="auto"/>
        <w:rPr>
          <w:rFonts w:ascii="KaiTi" w:eastAsia="KaiTi" w:hAnsi="KaiTi" w:cs="Arial"/>
          <w:kern w:val="0"/>
        </w:rPr>
      </w:pPr>
      <w:r w:rsidRPr="00B87E04">
        <w:rPr>
          <w:rFonts w:ascii="KaiTi" w:eastAsia="KaiTi" w:hAnsi="KaiTi" w:cs="Arial"/>
          <w:kern w:val="0"/>
        </w:rPr>
        <w:t>短期波动是长期趋势的组成部分：</w:t>
      </w:r>
    </w:p>
    <w:p w14:paraId="117E612C" w14:textId="77777777" w:rsidR="00562477" w:rsidRPr="000C1D9B" w:rsidRDefault="00562477" w:rsidP="00562477">
      <w:pPr>
        <w:pStyle w:val="ListParagraph"/>
        <w:autoSpaceDE w:val="0"/>
        <w:autoSpaceDN w:val="0"/>
        <w:adjustRightInd w:val="0"/>
        <w:spacing w:after="0" w:line="240" w:lineRule="auto"/>
        <w:ind w:left="1440"/>
        <w:rPr>
          <w:rFonts w:ascii="KaiTi" w:eastAsia="KaiTi" w:hAnsi="KaiTi" w:cs="Arial"/>
          <w:kern w:val="0"/>
        </w:rPr>
      </w:pPr>
    </w:p>
    <w:p w14:paraId="0B6A889C" w14:textId="4AD77544"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Courier New" w:eastAsia="KaiTi" w:hAnsi="Courier New" w:cs="Courier New"/>
          <w:kern w:val="0"/>
        </w:rPr>
        <w:t>•</w:t>
      </w:r>
      <w:r w:rsidRPr="000C1D9B">
        <w:rPr>
          <w:rFonts w:ascii="KaiTi" w:eastAsia="KaiTi" w:hAnsi="KaiTi" w:cs="Arial"/>
          <w:kern w:val="0"/>
        </w:rPr>
        <w:t>政治和经济事件虽然会在短期内影响市场情绪，但其长期影响往往低于市场预期。</w:t>
      </w:r>
    </w:p>
    <w:p w14:paraId="28A459FD" w14:textId="6D91CF1C" w:rsidR="00562477" w:rsidRPr="000C1D9B" w:rsidRDefault="00562477" w:rsidP="00562477">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比如，大家都会担心美国总统选举会对资产表现有重大的影响，很关心市场未来会如何发展？但从历史数据看，无论哪个党派上台，美国股市的长期回报率并没有太大差别。1933年至2023年期间，不同政党执政下的标普500指数年均回报率基本都在11%-14%之间。</w:t>
      </w:r>
    </w:p>
    <w:p w14:paraId="441D17DA" w14:textId="77777777" w:rsidR="00562477" w:rsidRPr="000C1D9B" w:rsidRDefault="00562477" w:rsidP="00562477">
      <w:pPr>
        <w:autoSpaceDE w:val="0"/>
        <w:autoSpaceDN w:val="0"/>
        <w:adjustRightInd w:val="0"/>
        <w:spacing w:after="0" w:line="240" w:lineRule="auto"/>
        <w:rPr>
          <w:rFonts w:ascii="KaiTi" w:eastAsia="KaiTi" w:hAnsi="KaiTi" w:cs="Arial"/>
          <w:kern w:val="0"/>
        </w:rPr>
      </w:pPr>
    </w:p>
    <w:p w14:paraId="65E8006E" w14:textId="676A1AA3" w:rsidR="00562477" w:rsidRPr="000C1D9B" w:rsidRDefault="00562477" w:rsidP="00562477">
      <w:pPr>
        <w:autoSpaceDE w:val="0"/>
        <w:autoSpaceDN w:val="0"/>
        <w:adjustRightInd w:val="0"/>
        <w:spacing w:after="0" w:line="240" w:lineRule="auto"/>
        <w:rPr>
          <w:rFonts w:ascii="KaiTi" w:eastAsia="KaiTi" w:hAnsi="KaiTi" w:cs="Arial"/>
          <w:kern w:val="0"/>
        </w:rPr>
      </w:pPr>
      <w:r w:rsidRPr="000C1D9B">
        <w:rPr>
          <w:rFonts w:ascii="KaiTi" w:eastAsia="KaiTi" w:hAnsi="KaiTi" w:cs="Arial" w:hint="eastAsia"/>
          <w:kern w:val="0"/>
        </w:rPr>
        <w:t>所以，投资者应该更关注结果的确定性，而非具体的当选人是谁。短期市场可能会有些波动，但如果你有长远的投资视角，这段过渡期不过是市场正常波动的一部分。</w:t>
      </w:r>
      <w:r w:rsidRPr="000C1D9B">
        <w:rPr>
          <w:rFonts w:ascii="KaiTi" w:eastAsia="KaiTi" w:hAnsi="KaiTi" w:cs="System Font"/>
          <w:noProof/>
          <w:color w:val="0E0E0E"/>
          <w:kern w:val="0"/>
        </w:rPr>
        <w:drawing>
          <wp:inline distT="0" distB="0" distL="0" distR="0" wp14:anchorId="6C8CDEAA" wp14:editId="73471ED5">
            <wp:extent cx="5274310" cy="3768090"/>
            <wp:effectExtent l="0" t="0" r="0" b="3810"/>
            <wp:docPr id="1424827710"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7710" name="图片 1" descr="图表, 条形图&#10;&#10;描述已自动生成"/>
                    <pic:cNvPicPr/>
                  </pic:nvPicPr>
                  <pic:blipFill>
                    <a:blip r:embed="rId11"/>
                    <a:stretch>
                      <a:fillRect/>
                    </a:stretch>
                  </pic:blipFill>
                  <pic:spPr>
                    <a:xfrm>
                      <a:off x="0" y="0"/>
                      <a:ext cx="5274310" cy="3768090"/>
                    </a:xfrm>
                    <a:prstGeom prst="rect">
                      <a:avLst/>
                    </a:prstGeom>
                  </pic:spPr>
                </pic:pic>
              </a:graphicData>
            </a:graphic>
          </wp:inline>
        </w:drawing>
      </w:r>
    </w:p>
    <w:p w14:paraId="1EC99AE9"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7557EC3C"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0795301A" w14:textId="77777777" w:rsidR="00F50281" w:rsidRPr="000C1D9B" w:rsidRDefault="00F50281" w:rsidP="000243A7">
      <w:pPr>
        <w:autoSpaceDE w:val="0"/>
        <w:autoSpaceDN w:val="0"/>
        <w:adjustRightInd w:val="0"/>
        <w:spacing w:after="0" w:line="240" w:lineRule="auto"/>
        <w:rPr>
          <w:rFonts w:ascii="KaiTi" w:eastAsia="KaiTi" w:hAnsi="KaiTi" w:cs="Arial"/>
          <w:kern w:val="0"/>
        </w:rPr>
      </w:pPr>
    </w:p>
    <w:p w14:paraId="65A8C131" w14:textId="6FAA0F54" w:rsidR="000243A7" w:rsidRPr="00B87E04" w:rsidRDefault="000243A7" w:rsidP="000243A7">
      <w:pPr>
        <w:autoSpaceDE w:val="0"/>
        <w:autoSpaceDN w:val="0"/>
        <w:adjustRightInd w:val="0"/>
        <w:spacing w:after="0" w:line="240" w:lineRule="auto"/>
        <w:rPr>
          <w:rFonts w:ascii="KaiTi" w:eastAsia="KaiTi" w:hAnsi="KaiTi" w:cs="Arial"/>
          <w:b/>
          <w:bCs/>
          <w:kern w:val="0"/>
        </w:rPr>
      </w:pPr>
      <w:r w:rsidRPr="00B87E04">
        <w:rPr>
          <w:rFonts w:ascii="KaiTi" w:eastAsia="KaiTi" w:hAnsi="KaiTi" w:cs="Arial"/>
          <w:b/>
          <w:bCs/>
          <w:kern w:val="0"/>
        </w:rPr>
        <w:t>坚持分散化投资</w:t>
      </w:r>
    </w:p>
    <w:p w14:paraId="278209EC" w14:textId="77777777" w:rsidR="00B87E04" w:rsidRPr="000C1D9B" w:rsidRDefault="00B87E04" w:rsidP="000243A7">
      <w:pPr>
        <w:autoSpaceDE w:val="0"/>
        <w:autoSpaceDN w:val="0"/>
        <w:adjustRightInd w:val="0"/>
        <w:spacing w:after="0" w:line="240" w:lineRule="auto"/>
        <w:rPr>
          <w:rFonts w:ascii="KaiTi" w:eastAsia="KaiTi" w:hAnsi="KaiTi" w:cs="Arial"/>
          <w:kern w:val="0"/>
        </w:rPr>
      </w:pPr>
    </w:p>
    <w:p w14:paraId="160869B1" w14:textId="6CF2D832"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分散化可以有效降低特定地区或行业风险。例如，在当前全球局势下，配置全球多样化基金能减少因单一区域风险带来的影响。</w:t>
      </w:r>
      <w:r w:rsidR="00562477" w:rsidRPr="000C1D9B">
        <w:rPr>
          <w:rFonts w:ascii="KaiTi" w:eastAsia="KaiTi" w:hAnsi="KaiTi" w:cs="Arial" w:hint="eastAsia"/>
          <w:kern w:val="0"/>
        </w:rPr>
        <w:t>我们在文章《</w:t>
      </w:r>
      <w:hyperlink r:id="rId12" w:anchor="rd" w:history="1">
        <w:r w:rsidR="00562477" w:rsidRPr="000C1D9B">
          <w:rPr>
            <w:rStyle w:val="Hyperlink"/>
            <w:rFonts w:ascii="KaiTi" w:eastAsia="KaiTi" w:hAnsi="KaiTi" w:cs="Arial" w:hint="eastAsia"/>
            <w:kern w:val="0"/>
          </w:rPr>
          <w:t>全球资产配置：穿越周期的科学之道</w:t>
        </w:r>
      </w:hyperlink>
      <w:r w:rsidR="00562477" w:rsidRPr="000C1D9B">
        <w:rPr>
          <w:rFonts w:ascii="KaiTi" w:eastAsia="KaiTi" w:hAnsi="KaiTi" w:cs="Arial" w:hint="eastAsia"/>
          <w:kern w:val="0"/>
        </w:rPr>
        <w:t>》举了一个例子，仅仅是一个50%:50%的分散策略，就可以达到长线跑赢通胀、降低波动以及对冲单一国家风险的作用。</w:t>
      </w:r>
    </w:p>
    <w:p w14:paraId="382A38A0"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794BCC74"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5BCB6C90" w14:textId="43171795" w:rsidR="000243A7" w:rsidRPr="00B87E04" w:rsidRDefault="000243A7" w:rsidP="000243A7">
      <w:pPr>
        <w:autoSpaceDE w:val="0"/>
        <w:autoSpaceDN w:val="0"/>
        <w:adjustRightInd w:val="0"/>
        <w:spacing w:after="0" w:line="240" w:lineRule="auto"/>
        <w:rPr>
          <w:rFonts w:ascii="KaiTi" w:eastAsia="KaiTi" w:hAnsi="KaiTi" w:cs="Arial"/>
          <w:b/>
          <w:bCs/>
          <w:kern w:val="0"/>
        </w:rPr>
      </w:pPr>
      <w:r w:rsidRPr="00B87E04">
        <w:rPr>
          <w:rFonts w:ascii="KaiTi" w:eastAsia="KaiTi" w:hAnsi="KaiTi" w:cs="Arial"/>
          <w:b/>
          <w:bCs/>
          <w:kern w:val="0"/>
        </w:rPr>
        <w:t>关注基本面和长期增长</w:t>
      </w:r>
    </w:p>
    <w:p w14:paraId="10D4CE81" w14:textId="77777777" w:rsidR="00B87E04" w:rsidRPr="000C1D9B" w:rsidRDefault="00B87E04" w:rsidP="000243A7">
      <w:pPr>
        <w:autoSpaceDE w:val="0"/>
        <w:autoSpaceDN w:val="0"/>
        <w:adjustRightInd w:val="0"/>
        <w:spacing w:after="0" w:line="240" w:lineRule="auto"/>
        <w:rPr>
          <w:rFonts w:ascii="KaiTi" w:eastAsia="KaiTi" w:hAnsi="KaiTi" w:cs="Arial"/>
          <w:kern w:val="0"/>
        </w:rPr>
      </w:pPr>
    </w:p>
    <w:p w14:paraId="2FD735BC" w14:textId="3B5CDC71" w:rsidR="0056247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长期投资应基于资产的基本面价值，而非短期事件驱动。科技创新、人口趋势、企业盈利能力仍是投资回报的核心驱动力。</w:t>
      </w:r>
    </w:p>
    <w:p w14:paraId="0CC31DB8"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274653A3" w14:textId="77777777" w:rsidR="00562477" w:rsidRPr="000C1D9B" w:rsidRDefault="00562477" w:rsidP="000243A7">
      <w:pPr>
        <w:autoSpaceDE w:val="0"/>
        <w:autoSpaceDN w:val="0"/>
        <w:adjustRightInd w:val="0"/>
        <w:spacing w:after="0" w:line="240" w:lineRule="auto"/>
        <w:rPr>
          <w:rFonts w:ascii="KaiTi" w:eastAsia="KaiTi" w:hAnsi="KaiTi" w:cs="Arial"/>
          <w:kern w:val="0"/>
        </w:rPr>
      </w:pPr>
    </w:p>
    <w:p w14:paraId="698FFE00" w14:textId="22B79BB9" w:rsidR="000243A7" w:rsidRDefault="000243A7" w:rsidP="000243A7">
      <w:pPr>
        <w:autoSpaceDE w:val="0"/>
        <w:autoSpaceDN w:val="0"/>
        <w:adjustRightInd w:val="0"/>
        <w:spacing w:after="0" w:line="240" w:lineRule="auto"/>
        <w:rPr>
          <w:rFonts w:ascii="KaiTi" w:eastAsia="KaiTi" w:hAnsi="KaiTi" w:cs="Arial"/>
          <w:b/>
          <w:bCs/>
          <w:kern w:val="0"/>
        </w:rPr>
      </w:pPr>
      <w:r w:rsidRPr="00B87E04">
        <w:rPr>
          <w:rFonts w:ascii="KaiTi" w:eastAsia="KaiTi" w:hAnsi="KaiTi" w:cs="Arial"/>
          <w:b/>
          <w:bCs/>
          <w:kern w:val="0"/>
        </w:rPr>
        <w:t>利用市场波动优化配置</w:t>
      </w:r>
    </w:p>
    <w:p w14:paraId="6E421110" w14:textId="77777777" w:rsidR="00B87E04" w:rsidRPr="00B87E04" w:rsidRDefault="00B87E04" w:rsidP="000243A7">
      <w:pPr>
        <w:autoSpaceDE w:val="0"/>
        <w:autoSpaceDN w:val="0"/>
        <w:adjustRightInd w:val="0"/>
        <w:spacing w:after="0" w:line="240" w:lineRule="auto"/>
        <w:rPr>
          <w:rFonts w:ascii="KaiTi" w:eastAsia="KaiTi" w:hAnsi="KaiTi" w:cs="Arial"/>
          <w:b/>
          <w:bCs/>
          <w:kern w:val="0"/>
        </w:rPr>
      </w:pPr>
    </w:p>
    <w:p w14:paraId="541032CC" w14:textId="10137F2C" w:rsidR="000243A7" w:rsidRPr="000C1D9B" w:rsidRDefault="000243A7" w:rsidP="000243A7">
      <w:pPr>
        <w:autoSpaceDE w:val="0"/>
        <w:autoSpaceDN w:val="0"/>
        <w:adjustRightInd w:val="0"/>
        <w:spacing w:after="0" w:line="240" w:lineRule="auto"/>
        <w:rPr>
          <w:rFonts w:ascii="KaiTi" w:eastAsia="KaiTi" w:hAnsi="KaiTi" w:cs="Arial"/>
          <w:kern w:val="0"/>
        </w:rPr>
      </w:pPr>
      <w:r w:rsidRPr="000C1D9B">
        <w:rPr>
          <w:rFonts w:ascii="KaiTi" w:eastAsia="KaiTi" w:hAnsi="KaiTi" w:cs="Arial"/>
          <w:kern w:val="0"/>
        </w:rPr>
        <w:t>动荡带来资产</w:t>
      </w:r>
      <w:r w:rsidR="00610169" w:rsidRPr="000C1D9B">
        <w:rPr>
          <w:rFonts w:ascii="KaiTi" w:eastAsia="KaiTi" w:hAnsi="KaiTi" w:cs="Arial" w:hint="eastAsia"/>
          <w:kern w:val="0"/>
        </w:rPr>
        <w:t>配置调整</w:t>
      </w:r>
      <w:r w:rsidRPr="000C1D9B">
        <w:rPr>
          <w:rFonts w:ascii="KaiTi" w:eastAsia="KaiTi" w:hAnsi="KaiTi" w:cs="Arial"/>
          <w:kern w:val="0"/>
        </w:rPr>
        <w:t>的机会，投资者可以在市场恐慌时低价买入优质资产，</w:t>
      </w:r>
      <w:r w:rsidR="00562477" w:rsidRPr="000C1D9B">
        <w:rPr>
          <w:rFonts w:ascii="KaiTi" w:eastAsia="KaiTi" w:hAnsi="KaiTi" w:cs="Arial" w:hint="eastAsia"/>
          <w:kern w:val="0"/>
        </w:rPr>
        <w:t>或者选择性价比最高的资产</w:t>
      </w:r>
      <w:r w:rsidRPr="000C1D9B">
        <w:rPr>
          <w:rFonts w:ascii="KaiTi" w:eastAsia="KaiTi" w:hAnsi="KaiTi" w:cs="Arial"/>
          <w:kern w:val="0"/>
        </w:rPr>
        <w:t>。</w:t>
      </w:r>
    </w:p>
    <w:p w14:paraId="0CA7AB51" w14:textId="77777777" w:rsidR="00610169" w:rsidRPr="000C1D9B" w:rsidRDefault="00610169" w:rsidP="00610169">
      <w:pPr>
        <w:rPr>
          <w:rFonts w:ascii="KaiTi" w:eastAsia="KaiTi" w:hAnsi="KaiTi"/>
        </w:rPr>
      </w:pPr>
    </w:p>
    <w:p w14:paraId="701FB91F" w14:textId="5D716A25" w:rsidR="00610169" w:rsidRDefault="00610169" w:rsidP="00610169">
      <w:pPr>
        <w:rPr>
          <w:rFonts w:ascii="KaiTi" w:eastAsia="KaiTi" w:hAnsi="KaiTi"/>
          <w:b/>
          <w:bCs/>
        </w:rPr>
      </w:pPr>
      <w:r w:rsidRPr="000C1D9B">
        <w:rPr>
          <w:rFonts w:ascii="KaiTi" w:eastAsia="KaiTi" w:hAnsi="KaiTi" w:hint="eastAsia"/>
          <w:b/>
          <w:bCs/>
        </w:rPr>
        <w:t>示例组合运行情况</w:t>
      </w:r>
    </w:p>
    <w:p w14:paraId="3C8CBC5C" w14:textId="77777777" w:rsidR="00B87E04" w:rsidRPr="000C1D9B" w:rsidRDefault="00B87E04" w:rsidP="00610169">
      <w:pPr>
        <w:rPr>
          <w:rFonts w:ascii="KaiTi" w:eastAsia="KaiTi" w:hAnsi="KaiTi"/>
          <w:b/>
          <w:bCs/>
        </w:rPr>
      </w:pPr>
    </w:p>
    <w:p w14:paraId="285657C1" w14:textId="1763F0F6" w:rsidR="00610169" w:rsidRPr="000C1D9B" w:rsidRDefault="00610169" w:rsidP="00610169">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41DC8E22" w14:textId="77777777" w:rsidR="00610169" w:rsidRPr="000C1D9B" w:rsidRDefault="00610169" w:rsidP="00610169">
      <w:pPr>
        <w:rPr>
          <w:rFonts w:ascii="KaiTi" w:eastAsia="KaiTi" w:hAnsi="KaiTi"/>
        </w:rPr>
      </w:pPr>
    </w:p>
    <w:p w14:paraId="454592C1" w14:textId="77777777" w:rsidR="00610169" w:rsidRPr="000C1D9B" w:rsidRDefault="00610169" w:rsidP="00610169">
      <w:pPr>
        <w:rPr>
          <w:rFonts w:ascii="KaiTi" w:eastAsia="KaiTi" w:hAnsi="KaiTi"/>
          <w:b/>
          <w:bCs/>
        </w:rPr>
      </w:pPr>
      <w:r w:rsidRPr="000C1D9B">
        <w:rPr>
          <w:rFonts w:ascii="KaiTi" w:eastAsia="KaiTi" w:hAnsi="KaiTi" w:hint="eastAsia"/>
          <w:b/>
          <w:bCs/>
        </w:rPr>
        <w:t>组合1: 长线增长 ILI Long Term Accumulation</w:t>
      </w:r>
    </w:p>
    <w:p w14:paraId="191BDF3E" w14:textId="77777777" w:rsidR="00610169" w:rsidRPr="000C1D9B" w:rsidRDefault="00610169" w:rsidP="00610169">
      <w:pPr>
        <w:rPr>
          <w:rFonts w:ascii="KaiTi" w:eastAsia="KaiTi" w:hAnsi="KaiTi"/>
        </w:rPr>
      </w:pPr>
    </w:p>
    <w:p w14:paraId="76BE4D8D" w14:textId="297D103B" w:rsidR="00610169" w:rsidRPr="000C1D9B" w:rsidRDefault="00610169" w:rsidP="00610169">
      <w:pPr>
        <w:rPr>
          <w:rFonts w:ascii="KaiTi" w:eastAsia="KaiTi" w:hAnsi="KaiTi"/>
        </w:rPr>
      </w:pPr>
      <w:r w:rsidRPr="000C1D9B">
        <w:rPr>
          <w:rFonts w:ascii="KaiTi" w:eastAsia="KaiTi" w:hAnsi="KaiTi" w:hint="eastAsia"/>
        </w:rPr>
        <w:t>其中第一个组合更关注长期的增长，通过固定收益、房地产和优质股票的组合来实现</w:t>
      </w:r>
      <w:r w:rsidR="00974058" w:rsidRPr="000C1D9B">
        <w:rPr>
          <w:rFonts w:ascii="KaiTi" w:eastAsia="KaiTi" w:hAnsi="KaiTi" w:hint="eastAsia"/>
        </w:rPr>
        <w:t>，他们的配置比例为40%：25%：35%</w:t>
      </w:r>
      <w:r w:rsidRPr="000C1D9B">
        <w:rPr>
          <w:rFonts w:ascii="KaiTi" w:eastAsia="KaiTi" w:hAnsi="KaiTi" w:hint="eastAsia"/>
        </w:rPr>
        <w:t>。</w:t>
      </w:r>
    </w:p>
    <w:p w14:paraId="715FE02C" w14:textId="4D5CA8A3" w:rsidR="00610169" w:rsidRPr="000C1D9B" w:rsidRDefault="00610169" w:rsidP="00610169">
      <w:pPr>
        <w:rPr>
          <w:rFonts w:ascii="KaiTi" w:eastAsia="KaiTi" w:hAnsi="KaiTi"/>
        </w:rPr>
      </w:pPr>
      <w:r w:rsidRPr="000C1D9B">
        <w:rPr>
          <w:rFonts w:ascii="KaiTi" w:eastAsia="KaiTi" w:hAnsi="KaiTi" w:hint="eastAsia"/>
        </w:rPr>
        <w:t>截止2024年11月22日，这个组合的运行情况如下：</w:t>
      </w:r>
    </w:p>
    <w:p w14:paraId="5965973B" w14:textId="718DDF61" w:rsidR="00974058" w:rsidRPr="000C1D9B" w:rsidRDefault="00974058" w:rsidP="00610169">
      <w:pPr>
        <w:rPr>
          <w:rFonts w:ascii="KaiTi" w:eastAsia="KaiTi" w:hAnsi="KaiTi"/>
        </w:rPr>
      </w:pPr>
      <w:r w:rsidRPr="000C1D9B">
        <w:rPr>
          <w:rFonts w:ascii="KaiTi" w:eastAsia="KaiTi" w:hAnsi="KaiTi"/>
          <w:noProof/>
        </w:rPr>
        <w:drawing>
          <wp:inline distT="0" distB="0" distL="0" distR="0" wp14:anchorId="6ABF7702" wp14:editId="400C72F3">
            <wp:extent cx="5943600" cy="1915160"/>
            <wp:effectExtent l="0" t="0" r="0" b="2540"/>
            <wp:docPr id="204929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99875" name=""/>
                    <pic:cNvPicPr/>
                  </pic:nvPicPr>
                  <pic:blipFill>
                    <a:blip r:embed="rId13"/>
                    <a:stretch>
                      <a:fillRect/>
                    </a:stretch>
                  </pic:blipFill>
                  <pic:spPr>
                    <a:xfrm>
                      <a:off x="0" y="0"/>
                      <a:ext cx="5943600" cy="1915160"/>
                    </a:xfrm>
                    <a:prstGeom prst="rect">
                      <a:avLst/>
                    </a:prstGeom>
                  </pic:spPr>
                </pic:pic>
              </a:graphicData>
            </a:graphic>
          </wp:inline>
        </w:drawing>
      </w:r>
    </w:p>
    <w:p w14:paraId="7D0C2EFD" w14:textId="77777777" w:rsidR="00A77AA2" w:rsidRPr="000C1D9B" w:rsidRDefault="00974058" w:rsidP="00610169">
      <w:pPr>
        <w:rPr>
          <w:rFonts w:ascii="KaiTi" w:eastAsia="KaiTi" w:hAnsi="KaiTi"/>
        </w:rPr>
      </w:pPr>
      <w:r w:rsidRPr="000C1D9B">
        <w:rPr>
          <w:rFonts w:ascii="KaiTi" w:eastAsia="KaiTi" w:hAnsi="KaiTi" w:hint="eastAsia"/>
        </w:rPr>
        <w:lastRenderedPageBreak/>
        <w:t>组合运行1个月整体表现较为稳定，在11月上下颠簸的市场环境中，组合仅产生了0.27%的</w:t>
      </w:r>
      <w:r w:rsidR="00A77AA2" w:rsidRPr="000C1D9B">
        <w:rPr>
          <w:rFonts w:ascii="KaiTi" w:eastAsia="KaiTi" w:hAnsi="KaiTi" w:hint="eastAsia"/>
        </w:rPr>
        <w:t>下跌</w:t>
      </w:r>
      <w:r w:rsidRPr="000C1D9B">
        <w:rPr>
          <w:rFonts w:ascii="KaiTi" w:eastAsia="KaiTi" w:hAnsi="KaiTi" w:hint="eastAsia"/>
        </w:rPr>
        <w:t>。</w:t>
      </w:r>
    </w:p>
    <w:p w14:paraId="318B97D1" w14:textId="0D57ED73" w:rsidR="00EA2E0B" w:rsidRPr="000C1D9B" w:rsidRDefault="00974058" w:rsidP="00610169">
      <w:pPr>
        <w:rPr>
          <w:rFonts w:ascii="KaiTi" w:eastAsia="KaiTi" w:hAnsi="KaiTi"/>
        </w:rPr>
      </w:pPr>
      <w:r w:rsidRPr="000C1D9B">
        <w:rPr>
          <w:rFonts w:ascii="KaiTi" w:eastAsia="KaiTi" w:hAnsi="KaiTi" w:hint="eastAsia"/>
        </w:rPr>
        <w:t>由于美国经济数据强劲，特朗普上台的政策预期，使得降息预期减弱，美元指数走强，从而带动</w:t>
      </w:r>
      <w:r w:rsidR="00A77AA2" w:rsidRPr="000C1D9B">
        <w:rPr>
          <w:rFonts w:ascii="KaiTi" w:eastAsia="KaiTi" w:hAnsi="KaiTi" w:hint="eastAsia"/>
        </w:rPr>
        <w:t>具有</w:t>
      </w:r>
      <w:r w:rsidRPr="000C1D9B">
        <w:rPr>
          <w:rFonts w:ascii="KaiTi" w:eastAsia="KaiTi" w:hAnsi="KaiTi" w:hint="eastAsia"/>
        </w:rPr>
        <w:t>固定收益</w:t>
      </w:r>
      <w:r w:rsidR="00A77AA2" w:rsidRPr="000C1D9B">
        <w:rPr>
          <w:rFonts w:ascii="KaiTi" w:eastAsia="KaiTi" w:hAnsi="KaiTi" w:hint="eastAsia"/>
        </w:rPr>
        <w:t>属性</w:t>
      </w:r>
      <w:r w:rsidRPr="000C1D9B">
        <w:rPr>
          <w:rFonts w:ascii="KaiTi" w:eastAsia="KaiTi" w:hAnsi="KaiTi" w:hint="eastAsia"/>
        </w:rPr>
        <w:t>的资产价格</w:t>
      </w:r>
      <w:r w:rsidR="00EA2E0B" w:rsidRPr="000C1D9B">
        <w:rPr>
          <w:rFonts w:ascii="KaiTi" w:eastAsia="KaiTi" w:hAnsi="KaiTi" w:hint="eastAsia"/>
        </w:rPr>
        <w:t>回调：</w:t>
      </w:r>
    </w:p>
    <w:p w14:paraId="5CBC2D1E" w14:textId="3A1BCC43" w:rsidR="00185554" w:rsidRPr="000C1D9B" w:rsidRDefault="00EA2E0B" w:rsidP="00610169">
      <w:pPr>
        <w:rPr>
          <w:rFonts w:ascii="KaiTi" w:eastAsia="KaiTi" w:hAnsi="KaiTi"/>
        </w:rPr>
      </w:pPr>
      <w:r w:rsidRPr="000C1D9B">
        <w:rPr>
          <w:rFonts w:ascii="KaiTi" w:eastAsia="KaiTi" w:hAnsi="KaiTi" w:hint="eastAsia"/>
        </w:rPr>
        <w:t>组合中的房地产基金和债券基金都受到了这方面因素的影响，其中债券基金的波动较小，仅有0.03%的跌幅，但美国房地产基金产生了1.81%的跌幅。</w:t>
      </w:r>
      <w:r w:rsidR="00B87E04">
        <w:rPr>
          <w:rFonts w:ascii="KaiTi" w:eastAsia="KaiTi" w:hAnsi="KaiTi" w:hint="eastAsia"/>
        </w:rPr>
        <w:t>与之对应的是</w:t>
      </w:r>
      <w:r w:rsidRPr="000C1D9B">
        <w:rPr>
          <w:rFonts w:ascii="KaiTi" w:eastAsia="KaiTi" w:hAnsi="KaiTi" w:hint="eastAsia"/>
        </w:rPr>
        <w:t>美国优质股权基金受益于特朗普政策对本土企业对利好，价格上涨了0.55%。</w:t>
      </w:r>
    </w:p>
    <w:p w14:paraId="46CDB695" w14:textId="543425AA" w:rsidR="00610169" w:rsidRPr="000C1D9B" w:rsidRDefault="00610169" w:rsidP="00610169">
      <w:pPr>
        <w:rPr>
          <w:rFonts w:ascii="KaiTi" w:eastAsia="KaiTi" w:hAnsi="KaiTi"/>
        </w:rPr>
      </w:pPr>
    </w:p>
    <w:p w14:paraId="5CE254BC" w14:textId="20FD1961" w:rsidR="00610169" w:rsidRPr="000C1D9B" w:rsidRDefault="00610169" w:rsidP="00610169">
      <w:pPr>
        <w:rPr>
          <w:rFonts w:ascii="KaiTi" w:eastAsia="KaiTi" w:hAnsi="KaiTi"/>
          <w:b/>
          <w:bCs/>
        </w:rPr>
      </w:pPr>
      <w:r w:rsidRPr="000C1D9B">
        <w:rPr>
          <w:rFonts w:ascii="KaiTi" w:eastAsia="KaiTi" w:hAnsi="KaiTi" w:hint="eastAsia"/>
          <w:b/>
          <w:bCs/>
        </w:rPr>
        <w:t>组合2: 收息现金流 ILI CASH GENERATOR</w:t>
      </w:r>
    </w:p>
    <w:p w14:paraId="71D98BA2" w14:textId="77777777" w:rsidR="00610169" w:rsidRPr="000C1D9B" w:rsidRDefault="00610169" w:rsidP="00610169">
      <w:pPr>
        <w:rPr>
          <w:rFonts w:ascii="KaiTi" w:eastAsia="KaiTi" w:hAnsi="KaiTi"/>
        </w:rPr>
      </w:pPr>
    </w:p>
    <w:p w14:paraId="4AABE039" w14:textId="73FA4899" w:rsidR="00263AC5" w:rsidRPr="000C1D9B" w:rsidRDefault="00610169" w:rsidP="00263AC5">
      <w:pPr>
        <w:rPr>
          <w:rFonts w:ascii="KaiTi" w:eastAsia="KaiTi" w:hAnsi="KaiTi"/>
        </w:rPr>
      </w:pPr>
      <w:r w:rsidRPr="000C1D9B">
        <w:rPr>
          <w:rFonts w:ascii="KaiTi" w:eastAsia="KaiTi" w:hAnsi="KaiTi" w:hint="eastAsia"/>
        </w:rPr>
        <w:t>组合2选择派息型的基金，可以在投入后第一个月就开始收取分红，在储蓄分红险之外打造一个即时产生的被动现金流工具</w:t>
      </w:r>
      <w:r w:rsidR="00263AC5">
        <w:rPr>
          <w:rFonts w:ascii="KaiTi" w:eastAsia="KaiTi" w:hAnsi="KaiTi" w:hint="eastAsia"/>
        </w:rPr>
        <w:t>，</w:t>
      </w:r>
      <w:r w:rsidR="00263AC5" w:rsidRPr="000C1D9B">
        <w:rPr>
          <w:rFonts w:ascii="KaiTi" w:eastAsia="KaiTi" w:hAnsi="KaiTi" w:hint="eastAsia"/>
        </w:rPr>
        <w:t>通过固定收益和</w:t>
      </w:r>
      <w:r w:rsidR="00263AC5">
        <w:rPr>
          <w:rFonts w:ascii="KaiTi" w:eastAsia="KaiTi" w:hAnsi="KaiTi" w:hint="eastAsia"/>
        </w:rPr>
        <w:t>美国</w:t>
      </w:r>
      <w:r w:rsidR="00263AC5" w:rsidRPr="000C1D9B">
        <w:rPr>
          <w:rFonts w:ascii="KaiTi" w:eastAsia="KaiTi" w:hAnsi="KaiTi" w:hint="eastAsia"/>
        </w:rPr>
        <w:t>优质股票的组合来实现，他们的配置比例为40%：</w:t>
      </w:r>
      <w:r w:rsidR="00263AC5">
        <w:rPr>
          <w:rFonts w:ascii="KaiTi" w:eastAsia="KaiTi" w:hAnsi="KaiTi" w:hint="eastAsia"/>
        </w:rPr>
        <w:t>60</w:t>
      </w:r>
      <w:r w:rsidR="00263AC5" w:rsidRPr="000C1D9B">
        <w:rPr>
          <w:rFonts w:ascii="KaiTi" w:eastAsia="KaiTi" w:hAnsi="KaiTi" w:hint="eastAsia"/>
        </w:rPr>
        <w:t>%。</w:t>
      </w:r>
    </w:p>
    <w:p w14:paraId="3BE53893" w14:textId="3EC5C0BA" w:rsidR="00F625EC" w:rsidRPr="000C1D9B" w:rsidRDefault="00F625EC" w:rsidP="00610169">
      <w:pPr>
        <w:rPr>
          <w:rFonts w:ascii="KaiTi" w:eastAsia="KaiTi" w:hAnsi="KaiTi"/>
        </w:rPr>
      </w:pPr>
    </w:p>
    <w:p w14:paraId="313B1F2B" w14:textId="11B1281B" w:rsidR="00610169" w:rsidRPr="000C1D9B" w:rsidRDefault="00F625EC" w:rsidP="00610169">
      <w:pPr>
        <w:rPr>
          <w:rFonts w:ascii="KaiTi" w:eastAsia="KaiTi" w:hAnsi="KaiTi"/>
        </w:rPr>
      </w:pPr>
      <w:r w:rsidRPr="000C1D9B">
        <w:rPr>
          <w:rFonts w:ascii="KaiTi" w:eastAsia="KaiTi" w:hAnsi="KaiTi" w:hint="eastAsia"/>
        </w:rPr>
        <w:t>投资人初始投入约100万美金</w:t>
      </w:r>
      <w:r w:rsidR="00610169" w:rsidRPr="000C1D9B">
        <w:rPr>
          <w:rFonts w:ascii="KaiTi" w:eastAsia="KaiTi" w:hAnsi="KaiTi" w:hint="eastAsia"/>
        </w:rPr>
        <w:t>按照买入价格，大约可以产生年化6.5%的分红收益，并按月派发。</w:t>
      </w:r>
    </w:p>
    <w:p w14:paraId="72F6AF63" w14:textId="2C33AC84" w:rsidR="00254FBC" w:rsidRPr="000C1D9B" w:rsidRDefault="00254FBC" w:rsidP="00610169">
      <w:pPr>
        <w:rPr>
          <w:rFonts w:ascii="KaiTi" w:eastAsia="KaiTi" w:hAnsi="KaiTi"/>
        </w:rPr>
      </w:pPr>
      <w:r w:rsidRPr="000C1D9B">
        <w:rPr>
          <w:rFonts w:ascii="KaiTi" w:eastAsia="KaiTi" w:hAnsi="KaiTi" w:hint="eastAsia"/>
        </w:rPr>
        <w:t>截止2024年11月2</w:t>
      </w:r>
      <w:r w:rsidR="00095622" w:rsidRPr="000C1D9B">
        <w:rPr>
          <w:rFonts w:ascii="KaiTi" w:eastAsia="KaiTi" w:hAnsi="KaiTi" w:hint="eastAsia"/>
        </w:rPr>
        <w:t>2</w:t>
      </w:r>
      <w:r w:rsidRPr="000C1D9B">
        <w:rPr>
          <w:rFonts w:ascii="KaiTi" w:eastAsia="KaiTi" w:hAnsi="KaiTi" w:hint="eastAsia"/>
        </w:rPr>
        <w:t>日，组合运行情况：</w:t>
      </w:r>
    </w:p>
    <w:p w14:paraId="44278A57" w14:textId="23C117BC" w:rsidR="00610169" w:rsidRPr="000C1D9B" w:rsidRDefault="00254FBC" w:rsidP="00610169">
      <w:pPr>
        <w:rPr>
          <w:rFonts w:ascii="KaiTi" w:eastAsia="KaiTi" w:hAnsi="KaiTi"/>
        </w:rPr>
      </w:pPr>
      <w:r w:rsidRPr="000C1D9B">
        <w:rPr>
          <w:rFonts w:ascii="KaiTi" w:eastAsia="KaiTi" w:hAnsi="KaiTi"/>
          <w:noProof/>
        </w:rPr>
        <w:drawing>
          <wp:inline distT="0" distB="0" distL="0" distR="0" wp14:anchorId="41B85BE4" wp14:editId="179B47AC">
            <wp:extent cx="5943600" cy="1722120"/>
            <wp:effectExtent l="0" t="0" r="0" b="5080"/>
            <wp:docPr id="117534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2614" name=""/>
                    <pic:cNvPicPr/>
                  </pic:nvPicPr>
                  <pic:blipFill>
                    <a:blip r:embed="rId14"/>
                    <a:stretch>
                      <a:fillRect/>
                    </a:stretch>
                  </pic:blipFill>
                  <pic:spPr>
                    <a:xfrm>
                      <a:off x="0" y="0"/>
                      <a:ext cx="5943600" cy="1722120"/>
                    </a:xfrm>
                    <a:prstGeom prst="rect">
                      <a:avLst/>
                    </a:prstGeom>
                  </pic:spPr>
                </pic:pic>
              </a:graphicData>
            </a:graphic>
          </wp:inline>
        </w:drawing>
      </w:r>
    </w:p>
    <w:p w14:paraId="23C6AB3C" w14:textId="59956C4F" w:rsidR="00604A99" w:rsidRPr="000C1D9B" w:rsidRDefault="00604A99" w:rsidP="00F625EC">
      <w:pPr>
        <w:rPr>
          <w:rFonts w:ascii="KaiTi" w:eastAsia="KaiTi" w:hAnsi="KaiTi"/>
        </w:rPr>
      </w:pPr>
      <w:r w:rsidRPr="000C1D9B">
        <w:rPr>
          <w:rFonts w:ascii="KaiTi" w:eastAsia="KaiTi" w:hAnsi="KaiTi" w:hint="eastAsia"/>
        </w:rPr>
        <w:t>从账面价格来看，本组合在上月表现为-0.31%，但如果</w:t>
      </w:r>
      <w:r w:rsidR="00A77AA2" w:rsidRPr="000C1D9B">
        <w:rPr>
          <w:rFonts w:ascii="KaiTi" w:eastAsia="KaiTi" w:hAnsi="KaiTi" w:hint="eastAsia"/>
        </w:rPr>
        <w:t>加上</w:t>
      </w:r>
      <w:r w:rsidR="00EA2E0B" w:rsidRPr="000C1D9B">
        <w:rPr>
          <w:rFonts w:ascii="KaiTi" w:eastAsia="KaiTi" w:hAnsi="KaiTi" w:hint="eastAsia"/>
        </w:rPr>
        <w:t>本</w:t>
      </w:r>
      <w:r w:rsidRPr="000C1D9B">
        <w:rPr>
          <w:rFonts w:ascii="KaiTi" w:eastAsia="KaiTi" w:hAnsi="KaiTi" w:hint="eastAsia"/>
        </w:rPr>
        <w:t>组合</w:t>
      </w:r>
      <w:r w:rsidR="00185554">
        <w:rPr>
          <w:rFonts w:ascii="KaiTi" w:eastAsia="KaiTi" w:hAnsi="KaiTi" w:hint="eastAsia"/>
        </w:rPr>
        <w:t>本月</w:t>
      </w:r>
      <w:r w:rsidRPr="000C1D9B">
        <w:rPr>
          <w:rFonts w:ascii="KaiTi" w:eastAsia="KaiTi" w:hAnsi="KaiTi" w:hint="eastAsia"/>
        </w:rPr>
        <w:t>发放</w:t>
      </w:r>
      <w:r w:rsidR="00185554">
        <w:rPr>
          <w:rFonts w:ascii="KaiTi" w:eastAsia="KaiTi" w:hAnsi="KaiTi" w:hint="eastAsia"/>
        </w:rPr>
        <w:t>的</w:t>
      </w:r>
      <w:r w:rsidRPr="000C1D9B">
        <w:rPr>
          <w:rFonts w:ascii="KaiTi" w:eastAsia="KaiTi" w:hAnsi="KaiTi" w:hint="eastAsia"/>
        </w:rPr>
        <w:t>分红，整体表现符合预期。</w:t>
      </w:r>
    </w:p>
    <w:p w14:paraId="3E363BE7" w14:textId="1189DFF9" w:rsidR="00EA2E0B" w:rsidRPr="000C1D9B" w:rsidRDefault="00EA2E0B" w:rsidP="00F625EC">
      <w:pPr>
        <w:rPr>
          <w:rFonts w:ascii="KaiTi" w:eastAsia="KaiTi" w:hAnsi="KaiTi"/>
        </w:rPr>
      </w:pPr>
      <w:r w:rsidRPr="000C1D9B">
        <w:rPr>
          <w:rFonts w:ascii="KaiTi" w:eastAsia="KaiTi" w:hAnsi="KaiTi" w:hint="eastAsia"/>
        </w:rPr>
        <w:t>报告期内，两只基金分别于10月3</w:t>
      </w:r>
      <w:r w:rsidR="00185554">
        <w:rPr>
          <w:rFonts w:ascii="KaiTi" w:eastAsia="KaiTi" w:hAnsi="KaiTi" w:hint="eastAsia"/>
        </w:rPr>
        <w:t>0</w:t>
      </w:r>
      <w:r w:rsidRPr="000C1D9B">
        <w:rPr>
          <w:rFonts w:ascii="KaiTi" w:eastAsia="KaiTi" w:hAnsi="KaiTi" w:hint="eastAsia"/>
        </w:rPr>
        <w:t>日和10月3</w:t>
      </w:r>
      <w:r w:rsidR="00185554">
        <w:rPr>
          <w:rFonts w:ascii="KaiTi" w:eastAsia="KaiTi" w:hAnsi="KaiTi" w:hint="eastAsia"/>
        </w:rPr>
        <w:t>1</w:t>
      </w:r>
      <w:r w:rsidRPr="000C1D9B">
        <w:rPr>
          <w:rFonts w:ascii="KaiTi" w:eastAsia="KaiTi" w:hAnsi="KaiTi" w:hint="eastAsia"/>
        </w:rPr>
        <w:t>日派发了分红。其中Z12美国中高等级债券基金派发$0.04/</w:t>
      </w:r>
      <w:r w:rsidR="00F625EC" w:rsidRPr="000C1D9B">
        <w:rPr>
          <w:rFonts w:ascii="KaiTi" w:eastAsia="KaiTi" w:hAnsi="KaiTi" w:hint="eastAsia"/>
        </w:rPr>
        <w:t>股</w:t>
      </w:r>
      <w:r w:rsidRPr="000C1D9B">
        <w:rPr>
          <w:rFonts w:ascii="KaiTi" w:eastAsia="KaiTi" w:hAnsi="KaiTi" w:hint="eastAsia"/>
        </w:rPr>
        <w:t>，Z17美国优质股权基金派发了$0.054/股。</w:t>
      </w:r>
      <w:r w:rsidR="00F625EC" w:rsidRPr="000C1D9B">
        <w:rPr>
          <w:rFonts w:ascii="KaiTi" w:eastAsia="KaiTi" w:hAnsi="KaiTi" w:hint="eastAsia"/>
        </w:rPr>
        <w:t>合计投资者在10月份获得$5468</w:t>
      </w:r>
      <w:r w:rsidR="00185554">
        <w:rPr>
          <w:rFonts w:ascii="KaiTi" w:eastAsia="KaiTi" w:hAnsi="KaiTi" w:hint="eastAsia"/>
        </w:rPr>
        <w:t>（折合人民币39534元）</w:t>
      </w:r>
      <w:r w:rsidR="00254FBC" w:rsidRPr="000C1D9B">
        <w:rPr>
          <w:rFonts w:ascii="KaiTi" w:eastAsia="KaiTi" w:hAnsi="KaiTi" w:hint="eastAsia"/>
        </w:rPr>
        <w:t>的现金流收入，年化派息收益率为6.56%。</w:t>
      </w:r>
    </w:p>
    <w:tbl>
      <w:tblPr>
        <w:tblStyle w:val="TableGrid"/>
        <w:tblW w:w="0" w:type="auto"/>
        <w:jc w:val="center"/>
        <w:tblLook w:val="04A0" w:firstRow="1" w:lastRow="0" w:firstColumn="1" w:lastColumn="0" w:noHBand="0" w:noVBand="1"/>
      </w:tblPr>
      <w:tblGrid>
        <w:gridCol w:w="1548"/>
        <w:gridCol w:w="1096"/>
        <w:gridCol w:w="1276"/>
        <w:gridCol w:w="1134"/>
        <w:gridCol w:w="992"/>
        <w:gridCol w:w="992"/>
        <w:gridCol w:w="1134"/>
        <w:gridCol w:w="1134"/>
      </w:tblGrid>
      <w:tr w:rsidR="00F625EC" w:rsidRPr="00185554" w14:paraId="1AD7569A" w14:textId="77777777" w:rsidTr="00F625EC">
        <w:trPr>
          <w:trHeight w:val="320"/>
          <w:jc w:val="center"/>
        </w:trPr>
        <w:tc>
          <w:tcPr>
            <w:tcW w:w="1548" w:type="dxa"/>
            <w:noWrap/>
            <w:hideMark/>
          </w:tcPr>
          <w:p w14:paraId="0254425F" w14:textId="575EB7C4" w:rsidR="00F625EC" w:rsidRPr="00185554" w:rsidRDefault="00F625EC" w:rsidP="00F625EC">
            <w:pPr>
              <w:jc w:val="center"/>
              <w:rPr>
                <w:rFonts w:ascii="KaiTi" w:eastAsia="KaiTi" w:hAnsi="KaiTi"/>
                <w:sz w:val="22"/>
                <w:szCs w:val="22"/>
              </w:rPr>
            </w:pPr>
            <w:r w:rsidRPr="00185554">
              <w:rPr>
                <w:rFonts w:ascii="KaiTi" w:eastAsia="KaiTi" w:hAnsi="KaiTi" w:hint="eastAsia"/>
                <w:sz w:val="22"/>
                <w:szCs w:val="22"/>
              </w:rPr>
              <w:lastRenderedPageBreak/>
              <w:t>基金</w:t>
            </w:r>
          </w:p>
        </w:tc>
        <w:tc>
          <w:tcPr>
            <w:tcW w:w="999" w:type="dxa"/>
            <w:noWrap/>
            <w:hideMark/>
          </w:tcPr>
          <w:p w14:paraId="7582D574"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派发日期</w:t>
            </w:r>
          </w:p>
        </w:tc>
        <w:tc>
          <w:tcPr>
            <w:tcW w:w="1276" w:type="dxa"/>
            <w:noWrap/>
            <w:hideMark/>
          </w:tcPr>
          <w:p w14:paraId="3743C405"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每单位派发</w:t>
            </w:r>
          </w:p>
        </w:tc>
        <w:tc>
          <w:tcPr>
            <w:tcW w:w="1134" w:type="dxa"/>
            <w:noWrap/>
            <w:hideMark/>
          </w:tcPr>
          <w:p w14:paraId="3DC3CE68"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持有份额</w:t>
            </w:r>
          </w:p>
        </w:tc>
        <w:tc>
          <w:tcPr>
            <w:tcW w:w="992" w:type="dxa"/>
            <w:noWrap/>
            <w:hideMark/>
          </w:tcPr>
          <w:p w14:paraId="1BD2366A"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派发合计</w:t>
            </w:r>
          </w:p>
        </w:tc>
        <w:tc>
          <w:tcPr>
            <w:tcW w:w="992" w:type="dxa"/>
            <w:noWrap/>
            <w:hideMark/>
          </w:tcPr>
          <w:p w14:paraId="6A7E30AF"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初始投资额</w:t>
            </w:r>
          </w:p>
        </w:tc>
        <w:tc>
          <w:tcPr>
            <w:tcW w:w="1134" w:type="dxa"/>
            <w:noWrap/>
            <w:hideMark/>
          </w:tcPr>
          <w:p w14:paraId="061EA1EA"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月度派息收益率</w:t>
            </w:r>
          </w:p>
        </w:tc>
        <w:tc>
          <w:tcPr>
            <w:tcW w:w="1134" w:type="dxa"/>
            <w:noWrap/>
            <w:hideMark/>
          </w:tcPr>
          <w:p w14:paraId="6036368B"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年化派息收益率</w:t>
            </w:r>
          </w:p>
        </w:tc>
      </w:tr>
      <w:tr w:rsidR="00F625EC" w:rsidRPr="00185554" w14:paraId="70465E14" w14:textId="77777777" w:rsidTr="00F625EC">
        <w:trPr>
          <w:trHeight w:val="320"/>
          <w:jc w:val="center"/>
        </w:trPr>
        <w:tc>
          <w:tcPr>
            <w:tcW w:w="1548" w:type="dxa"/>
            <w:noWrap/>
            <w:hideMark/>
          </w:tcPr>
          <w:p w14:paraId="52221F32"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Z12 美国中高等级债券基金</w:t>
            </w:r>
          </w:p>
        </w:tc>
        <w:tc>
          <w:tcPr>
            <w:tcW w:w="999" w:type="dxa"/>
            <w:noWrap/>
            <w:hideMark/>
          </w:tcPr>
          <w:p w14:paraId="0213A56C"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10/31/24</w:t>
            </w:r>
          </w:p>
        </w:tc>
        <w:tc>
          <w:tcPr>
            <w:tcW w:w="1276" w:type="dxa"/>
            <w:noWrap/>
            <w:hideMark/>
          </w:tcPr>
          <w:p w14:paraId="46BDD50F"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0.04</w:t>
            </w:r>
          </w:p>
        </w:tc>
        <w:tc>
          <w:tcPr>
            <w:tcW w:w="1134" w:type="dxa"/>
            <w:noWrap/>
            <w:hideMark/>
          </w:tcPr>
          <w:p w14:paraId="7BA37C76"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76825</w:t>
            </w:r>
          </w:p>
        </w:tc>
        <w:tc>
          <w:tcPr>
            <w:tcW w:w="992" w:type="dxa"/>
            <w:noWrap/>
            <w:hideMark/>
          </w:tcPr>
          <w:p w14:paraId="49EAADCF"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3073</w:t>
            </w:r>
          </w:p>
        </w:tc>
        <w:tc>
          <w:tcPr>
            <w:tcW w:w="992" w:type="dxa"/>
            <w:noWrap/>
            <w:hideMark/>
          </w:tcPr>
          <w:p w14:paraId="4B1AAA1A"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600003</w:t>
            </w:r>
          </w:p>
        </w:tc>
        <w:tc>
          <w:tcPr>
            <w:tcW w:w="1134" w:type="dxa"/>
            <w:noWrap/>
            <w:hideMark/>
          </w:tcPr>
          <w:p w14:paraId="58FC815C"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0.51%</w:t>
            </w:r>
          </w:p>
        </w:tc>
        <w:tc>
          <w:tcPr>
            <w:tcW w:w="1134" w:type="dxa"/>
            <w:noWrap/>
            <w:hideMark/>
          </w:tcPr>
          <w:p w14:paraId="69FB7F0F"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6.15%</w:t>
            </w:r>
          </w:p>
        </w:tc>
      </w:tr>
      <w:tr w:rsidR="00F625EC" w:rsidRPr="00185554" w14:paraId="742C9C24" w14:textId="77777777" w:rsidTr="00F625EC">
        <w:trPr>
          <w:trHeight w:val="320"/>
          <w:jc w:val="center"/>
        </w:trPr>
        <w:tc>
          <w:tcPr>
            <w:tcW w:w="1548" w:type="dxa"/>
            <w:noWrap/>
            <w:hideMark/>
          </w:tcPr>
          <w:p w14:paraId="56941A3A"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Z17 美国优质股权基金</w:t>
            </w:r>
          </w:p>
        </w:tc>
        <w:tc>
          <w:tcPr>
            <w:tcW w:w="999" w:type="dxa"/>
            <w:noWrap/>
            <w:hideMark/>
          </w:tcPr>
          <w:p w14:paraId="0ABF11BE"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10/30/24</w:t>
            </w:r>
          </w:p>
        </w:tc>
        <w:tc>
          <w:tcPr>
            <w:tcW w:w="1276" w:type="dxa"/>
            <w:noWrap/>
            <w:hideMark/>
          </w:tcPr>
          <w:p w14:paraId="5F18645D"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0.054</w:t>
            </w:r>
          </w:p>
        </w:tc>
        <w:tc>
          <w:tcPr>
            <w:tcW w:w="1134" w:type="dxa"/>
            <w:noWrap/>
            <w:hideMark/>
          </w:tcPr>
          <w:p w14:paraId="45CF226B"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44345</w:t>
            </w:r>
          </w:p>
        </w:tc>
        <w:tc>
          <w:tcPr>
            <w:tcW w:w="992" w:type="dxa"/>
            <w:noWrap/>
            <w:hideMark/>
          </w:tcPr>
          <w:p w14:paraId="36684C85"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2395</w:t>
            </w:r>
          </w:p>
        </w:tc>
        <w:tc>
          <w:tcPr>
            <w:tcW w:w="992" w:type="dxa"/>
            <w:noWrap/>
            <w:hideMark/>
          </w:tcPr>
          <w:p w14:paraId="5A4C6880"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399992</w:t>
            </w:r>
          </w:p>
        </w:tc>
        <w:tc>
          <w:tcPr>
            <w:tcW w:w="1134" w:type="dxa"/>
            <w:noWrap/>
            <w:hideMark/>
          </w:tcPr>
          <w:p w14:paraId="4051DCB4"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0.60%</w:t>
            </w:r>
          </w:p>
        </w:tc>
        <w:tc>
          <w:tcPr>
            <w:tcW w:w="1134" w:type="dxa"/>
            <w:noWrap/>
            <w:hideMark/>
          </w:tcPr>
          <w:p w14:paraId="1F8CB5F1"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7.18%</w:t>
            </w:r>
          </w:p>
        </w:tc>
      </w:tr>
      <w:tr w:rsidR="00F625EC" w:rsidRPr="00185554" w14:paraId="68300B5A" w14:textId="77777777" w:rsidTr="00F625EC">
        <w:trPr>
          <w:trHeight w:val="320"/>
          <w:jc w:val="center"/>
        </w:trPr>
        <w:tc>
          <w:tcPr>
            <w:tcW w:w="4957" w:type="dxa"/>
            <w:gridSpan w:val="4"/>
            <w:noWrap/>
            <w:hideMark/>
          </w:tcPr>
          <w:p w14:paraId="40F333FD" w14:textId="79E179CB" w:rsidR="00F625EC" w:rsidRPr="00185554" w:rsidRDefault="00F625EC" w:rsidP="00F625EC">
            <w:pPr>
              <w:jc w:val="center"/>
              <w:rPr>
                <w:rFonts w:ascii="KaiTi" w:eastAsia="KaiTi" w:hAnsi="KaiTi"/>
                <w:sz w:val="22"/>
                <w:szCs w:val="22"/>
              </w:rPr>
            </w:pPr>
            <w:r w:rsidRPr="00185554">
              <w:rPr>
                <w:rFonts w:ascii="KaiTi" w:eastAsia="KaiTi" w:hAnsi="KaiTi"/>
                <w:sz w:val="22"/>
                <w:szCs w:val="22"/>
              </w:rPr>
              <w:t>合计</w:t>
            </w:r>
          </w:p>
        </w:tc>
        <w:tc>
          <w:tcPr>
            <w:tcW w:w="992" w:type="dxa"/>
            <w:noWrap/>
            <w:hideMark/>
          </w:tcPr>
          <w:p w14:paraId="4D1E4BF3" w14:textId="6973A1B1" w:rsidR="00F625EC" w:rsidRPr="00185554" w:rsidRDefault="00F625EC" w:rsidP="00F625EC">
            <w:pPr>
              <w:jc w:val="center"/>
              <w:rPr>
                <w:rFonts w:ascii="KaiTi" w:eastAsia="KaiTi" w:hAnsi="KaiTi"/>
                <w:sz w:val="22"/>
                <w:szCs w:val="22"/>
              </w:rPr>
            </w:pPr>
            <w:r w:rsidRPr="00185554">
              <w:rPr>
                <w:rFonts w:ascii="KaiTi" w:eastAsia="KaiTi" w:hAnsi="KaiTi"/>
                <w:sz w:val="22"/>
                <w:szCs w:val="22"/>
              </w:rPr>
              <w:t>5,468</w:t>
            </w:r>
          </w:p>
        </w:tc>
        <w:tc>
          <w:tcPr>
            <w:tcW w:w="992" w:type="dxa"/>
            <w:noWrap/>
            <w:hideMark/>
          </w:tcPr>
          <w:p w14:paraId="1E54775B" w14:textId="1A6E926F" w:rsidR="00F625EC" w:rsidRPr="00185554" w:rsidRDefault="00F625EC" w:rsidP="00F625EC">
            <w:pPr>
              <w:jc w:val="center"/>
              <w:rPr>
                <w:rFonts w:ascii="KaiTi" w:eastAsia="KaiTi" w:hAnsi="KaiTi"/>
                <w:sz w:val="22"/>
                <w:szCs w:val="22"/>
              </w:rPr>
            </w:pPr>
            <w:r w:rsidRPr="00185554">
              <w:rPr>
                <w:rFonts w:ascii="KaiTi" w:eastAsia="KaiTi" w:hAnsi="KaiTi"/>
                <w:sz w:val="22"/>
                <w:szCs w:val="22"/>
              </w:rPr>
              <w:t>999,995</w:t>
            </w:r>
          </w:p>
        </w:tc>
        <w:tc>
          <w:tcPr>
            <w:tcW w:w="1134" w:type="dxa"/>
            <w:noWrap/>
            <w:hideMark/>
          </w:tcPr>
          <w:p w14:paraId="29739BE0"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0.55%</w:t>
            </w:r>
          </w:p>
        </w:tc>
        <w:tc>
          <w:tcPr>
            <w:tcW w:w="1134" w:type="dxa"/>
            <w:noWrap/>
            <w:hideMark/>
          </w:tcPr>
          <w:p w14:paraId="532FB498" w14:textId="77777777" w:rsidR="00F625EC" w:rsidRPr="00185554" w:rsidRDefault="00F625EC" w:rsidP="00F625EC">
            <w:pPr>
              <w:jc w:val="center"/>
              <w:rPr>
                <w:rFonts w:ascii="KaiTi" w:eastAsia="KaiTi" w:hAnsi="KaiTi"/>
                <w:sz w:val="22"/>
                <w:szCs w:val="22"/>
              </w:rPr>
            </w:pPr>
            <w:r w:rsidRPr="00185554">
              <w:rPr>
                <w:rFonts w:ascii="KaiTi" w:eastAsia="KaiTi" w:hAnsi="KaiTi"/>
                <w:sz w:val="22"/>
                <w:szCs w:val="22"/>
              </w:rPr>
              <w:t>6.56%</w:t>
            </w:r>
          </w:p>
        </w:tc>
      </w:tr>
    </w:tbl>
    <w:p w14:paraId="1BE6FB44" w14:textId="4E9F44EA" w:rsidR="00415269" w:rsidRPr="000C1D9B" w:rsidRDefault="00415269" w:rsidP="000243A7">
      <w:pPr>
        <w:rPr>
          <w:rFonts w:ascii="KaiTi" w:eastAsia="KaiTi" w:hAnsi="KaiTi" w:cs="Arial"/>
        </w:rPr>
      </w:pPr>
    </w:p>
    <w:p w14:paraId="709CB1C5" w14:textId="77777777" w:rsidR="00A77AA2" w:rsidRPr="000C1D9B" w:rsidRDefault="00A77AA2" w:rsidP="000243A7">
      <w:pPr>
        <w:rPr>
          <w:rFonts w:ascii="KaiTi" w:eastAsia="KaiTi" w:hAnsi="KaiTi" w:cs="Arial"/>
        </w:rPr>
      </w:pPr>
    </w:p>
    <w:p w14:paraId="6E31CDCC" w14:textId="69F367F8" w:rsidR="00A77AA2" w:rsidRPr="000C1D9B" w:rsidRDefault="00A77AA2" w:rsidP="000243A7">
      <w:pPr>
        <w:rPr>
          <w:rFonts w:ascii="KaiTi" w:eastAsia="KaiTi" w:hAnsi="KaiTi" w:cs="Arial"/>
        </w:rPr>
      </w:pPr>
      <w:r w:rsidRPr="000C1D9B">
        <w:rPr>
          <w:rFonts w:ascii="KaiTi" w:eastAsia="KaiTi" w:hAnsi="KaiTi" w:cs="Arial" w:hint="eastAsia"/>
        </w:rPr>
        <w:t>以上是两个示例组合的情况，我们希望您能够结合自身的财务目标、风险承受能力以及资金需求，制定适合自己的配置方案。每个人的情况都是独特的，因此没有一成不变的最佳选择，而是要找到与您的需求最匹配的策略。同时，我们也建议您始终保持长期投资的视角，将短期波动视为长期增长中的一部分。若您对资产配置有任何疑问或需要进一步的建议，欢迎随时与我们联系，我们将竭诚为您提供专业支持和个性化服务。</w:t>
      </w:r>
    </w:p>
    <w:p w14:paraId="1D1C9DB5" w14:textId="77777777" w:rsidR="00604A99" w:rsidRPr="000C1D9B" w:rsidRDefault="00604A99" w:rsidP="000243A7">
      <w:pPr>
        <w:rPr>
          <w:rFonts w:ascii="KaiTi" w:eastAsia="KaiTi" w:hAnsi="KaiTi" w:cs="Arial"/>
        </w:rPr>
      </w:pPr>
    </w:p>
    <w:p w14:paraId="072DC4B5" w14:textId="77777777"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无论外界如何变化，我始终希望你和家人能够健康无忧，生活幸福。财富管理是为未来创造保障的方式，而我愿意陪伴你在这条路上，提供更贴心的建议和服务。如果有任何疑问或需要交流，随时联系我！期待与您的下一次分享！</w:t>
      </w:r>
    </w:p>
    <w:p w14:paraId="57A51C39" w14:textId="77777777" w:rsidR="00A77AA2" w:rsidRPr="000C1D9B" w:rsidRDefault="00A77AA2" w:rsidP="00A77AA2">
      <w:pPr>
        <w:pStyle w:val="p2"/>
        <w:rPr>
          <w:rFonts w:ascii="KaiTi" w:eastAsia="KaiTi" w:hAnsi="KaiTi"/>
          <w:sz w:val="24"/>
          <w:szCs w:val="24"/>
        </w:rPr>
      </w:pPr>
    </w:p>
    <w:p w14:paraId="7438A885" w14:textId="77777777" w:rsidR="00A77AA2" w:rsidRDefault="00A77AA2" w:rsidP="00A77AA2">
      <w:pPr>
        <w:pStyle w:val="p1"/>
        <w:rPr>
          <w:rFonts w:ascii="KaiTi" w:eastAsia="KaiTi" w:hAnsi="KaiTi" w:cs="PingFang TC"/>
          <w:sz w:val="24"/>
          <w:szCs w:val="24"/>
        </w:rPr>
      </w:pPr>
      <w:r w:rsidRPr="000C1D9B">
        <w:rPr>
          <w:rFonts w:ascii="KaiTi" w:eastAsia="KaiTi" w:hAnsi="KaiTi" w:cs="PingFang TC" w:hint="eastAsia"/>
          <w:sz w:val="24"/>
          <w:szCs w:val="24"/>
        </w:rPr>
        <w:t>祝你平安顺遂，幸福满满！</w:t>
      </w:r>
    </w:p>
    <w:p w14:paraId="7995D78E" w14:textId="77777777" w:rsidR="00DC494F" w:rsidRDefault="00DC494F" w:rsidP="00A77AA2">
      <w:pPr>
        <w:pStyle w:val="p1"/>
        <w:rPr>
          <w:rFonts w:ascii="KaiTi" w:eastAsia="KaiTi" w:hAnsi="KaiTi" w:cs="PingFang TC"/>
          <w:sz w:val="24"/>
          <w:szCs w:val="24"/>
        </w:rPr>
      </w:pPr>
    </w:p>
    <w:p w14:paraId="0C479408" w14:textId="19A21F15" w:rsidR="00DC494F" w:rsidRPr="000C1D9B" w:rsidRDefault="00DC494F" w:rsidP="00A77AA2">
      <w:pPr>
        <w:pStyle w:val="p1"/>
        <w:rPr>
          <w:rFonts w:ascii="KaiTi" w:eastAsia="KaiTi" w:hAnsi="KaiTi"/>
          <w:sz w:val="24"/>
          <w:szCs w:val="24"/>
        </w:rPr>
      </w:pPr>
      <w:r>
        <w:rPr>
          <w:rFonts w:ascii="KaiTi" w:eastAsia="KaiTi" w:hAnsi="KaiTi" w:cs="PingFang TC" w:hint="eastAsia"/>
          <w:sz w:val="24"/>
          <w:szCs w:val="24"/>
        </w:rPr>
        <w:t>Wonder团队</w:t>
      </w:r>
    </w:p>
    <w:p w14:paraId="17748B82" w14:textId="77777777" w:rsidR="00610169" w:rsidRDefault="00610169" w:rsidP="000243A7">
      <w:pPr>
        <w:rPr>
          <w:rFonts w:ascii="KaiTi" w:eastAsia="KaiTi" w:hAnsi="KaiTi" w:cs="Arial"/>
        </w:rPr>
      </w:pPr>
    </w:p>
    <w:p w14:paraId="722E15C6" w14:textId="77777777" w:rsidR="00E5410F" w:rsidRDefault="00E5410F" w:rsidP="000243A7">
      <w:pPr>
        <w:rPr>
          <w:rFonts w:ascii="KaiTi" w:eastAsia="KaiTi" w:hAnsi="KaiTi" w:cs="Arial"/>
        </w:rPr>
      </w:pPr>
    </w:p>
    <w:p w14:paraId="75A73E20"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2C0737C1"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18743E40" w14:textId="23D3801F"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0961F492" w14:textId="03E6D90B"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172B6609" w14:textId="4A211BD0" w:rsidR="00E5410F" w:rsidRDefault="00E5410F" w:rsidP="00E5410F">
      <w:pPr>
        <w:rPr>
          <w:rFonts w:ascii="System Font" w:hAnsi="System Font" w:cs="System Font"/>
          <w:color w:val="0E0E0E"/>
          <w:kern w:val="0"/>
          <w:sz w:val="20"/>
          <w:szCs w:val="20"/>
        </w:rPr>
      </w:pPr>
      <w:r w:rsidRPr="00403097">
        <w:rPr>
          <w:rFonts w:ascii="System Font" w:hAnsi="System Font" w:cs="System Font"/>
          <w:color w:val="0E0E0E"/>
          <w:kern w:val="0"/>
          <w:sz w:val="20"/>
          <w:szCs w:val="20"/>
        </w:rPr>
        <w:lastRenderedPageBreak/>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76F6198B" w14:textId="77777777" w:rsidR="00E5410F" w:rsidRDefault="00E5410F" w:rsidP="00E5410F">
      <w:pPr>
        <w:rPr>
          <w:rFonts w:ascii="System Font" w:hAnsi="System Font" w:cs="System Font"/>
          <w:color w:val="0E0E0E"/>
          <w:kern w:val="0"/>
          <w:sz w:val="20"/>
          <w:szCs w:val="20"/>
        </w:rPr>
      </w:pPr>
    </w:p>
    <w:p w14:paraId="5A3EE520" w14:textId="77777777" w:rsidR="00E5410F" w:rsidRDefault="00E5410F"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34B52A6A" w14:textId="07938234" w:rsidR="00E5410F" w:rsidRDefault="00E5410F" w:rsidP="00E5410F">
      <w:pPr>
        <w:rPr>
          <w:rFonts w:ascii="System Font" w:hAnsi="System Font" w:cs="System Font" w:hint="eastAsia"/>
          <w:color w:val="0E0E0E"/>
          <w:kern w:val="0"/>
          <w:sz w:val="20"/>
          <w:szCs w:val="20"/>
        </w:rPr>
      </w:pPr>
      <w:r>
        <w:rPr>
          <w:rFonts w:ascii="System Font" w:hAnsi="System Font" w:cs="System Font" w:hint="eastAsia"/>
          <w:color w:val="0E0E0E"/>
          <w:kern w:val="0"/>
          <w:sz w:val="20"/>
          <w:szCs w:val="20"/>
        </w:rPr>
        <w:t>客户通讯第一期</w:t>
      </w:r>
      <w:r w:rsidR="00F8452D">
        <w:rPr>
          <w:rFonts w:ascii="System Font" w:hAnsi="System Font" w:cs="System Font" w:hint="eastAsia"/>
          <w:color w:val="0E0E0E"/>
          <w:kern w:val="0"/>
          <w:sz w:val="20"/>
          <w:szCs w:val="20"/>
        </w:rPr>
        <w:t>241030</w:t>
      </w:r>
    </w:p>
    <w:p w14:paraId="376BA2AE" w14:textId="3038FA1F" w:rsidR="00FA6DA6" w:rsidRDefault="00FA6DA6"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39E8F197" w14:textId="5E7CF49E" w:rsidR="00E5410F" w:rsidRDefault="00FA6DA6"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3888F616" w14:textId="77777777" w:rsidR="00E5410F" w:rsidRDefault="00000000" w:rsidP="00E5410F">
      <w:pPr>
        <w:rPr>
          <w:rFonts w:ascii="System Font" w:hAnsi="System Font" w:cs="System Font"/>
          <w:color w:val="0E0E0E"/>
          <w:kern w:val="0"/>
          <w:sz w:val="20"/>
          <w:szCs w:val="20"/>
        </w:rPr>
      </w:pPr>
      <w:hyperlink r:id="rId15" w:anchor="rd" w:history="1">
        <w:r w:rsidR="00E5410F" w:rsidRPr="00621667">
          <w:rPr>
            <w:rStyle w:val="Hyperlink"/>
            <w:rFonts w:ascii="System Font" w:hAnsi="System Font" w:cs="System Font"/>
            <w:kern w:val="0"/>
            <w:sz w:val="20"/>
            <w:szCs w:val="20"/>
          </w:rPr>
          <w:t>海外投资系列</w:t>
        </w:r>
        <w:r w:rsidR="00E5410F" w:rsidRPr="00621667">
          <w:rPr>
            <w:rStyle w:val="Hyperlink"/>
            <w:rFonts w:ascii="System Font" w:hAnsi="System Font" w:cs="System Font"/>
            <w:kern w:val="0"/>
            <w:sz w:val="20"/>
            <w:szCs w:val="20"/>
          </w:rPr>
          <w:t>1</w:t>
        </w:r>
        <w:r w:rsidR="00E5410F" w:rsidRPr="00621667">
          <w:rPr>
            <w:rStyle w:val="Hyperlink"/>
            <w:rFonts w:ascii="System Font" w:hAnsi="System Font" w:cs="System Font"/>
            <w:kern w:val="0"/>
            <w:sz w:val="20"/>
            <w:szCs w:val="20"/>
          </w:rPr>
          <w:t>：什么是投资？探讨投资的底层逻辑与终极目标</w:t>
        </w:r>
      </w:hyperlink>
    </w:p>
    <w:p w14:paraId="795587B9" w14:textId="77777777" w:rsidR="00E5410F" w:rsidRDefault="00000000" w:rsidP="00E5410F">
      <w:pPr>
        <w:rPr>
          <w:rFonts w:ascii="System Font" w:hAnsi="System Font" w:cs="System Font"/>
          <w:color w:val="0E0E0E"/>
          <w:kern w:val="0"/>
          <w:sz w:val="20"/>
          <w:szCs w:val="20"/>
        </w:rPr>
      </w:pPr>
      <w:hyperlink r:id="rId16" w:anchor="rd" w:history="1">
        <w:r w:rsidR="00E5410F" w:rsidRPr="00621667">
          <w:rPr>
            <w:rStyle w:val="Hyperlink"/>
            <w:rFonts w:ascii="System Font" w:hAnsi="System Font" w:cs="System Font"/>
            <w:kern w:val="0"/>
            <w:sz w:val="20"/>
            <w:szCs w:val="20"/>
          </w:rPr>
          <w:t>海外投资系列</w:t>
        </w:r>
        <w:r w:rsidR="00E5410F" w:rsidRPr="00621667">
          <w:rPr>
            <w:rStyle w:val="Hyperlink"/>
            <w:rFonts w:ascii="System Font" w:hAnsi="System Font" w:cs="System Font"/>
            <w:kern w:val="0"/>
            <w:sz w:val="20"/>
            <w:szCs w:val="20"/>
          </w:rPr>
          <w:t>2</w:t>
        </w:r>
        <w:r w:rsidR="00E5410F" w:rsidRPr="00621667">
          <w:rPr>
            <w:rStyle w:val="Hyperlink"/>
            <w:rFonts w:ascii="System Font" w:hAnsi="System Font" w:cs="System Font"/>
            <w:kern w:val="0"/>
            <w:sz w:val="20"/>
            <w:szCs w:val="20"/>
          </w:rPr>
          <w:t>：如何在波涛汹涌的投资市场中获得长期稳健收益？</w:t>
        </w:r>
      </w:hyperlink>
    </w:p>
    <w:p w14:paraId="6144CD53" w14:textId="77777777" w:rsidR="00E5410F" w:rsidRPr="00621667" w:rsidRDefault="00E5410F"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w:t>
      </w:r>
    </w:p>
    <w:p w14:paraId="239C3C31" w14:textId="77777777" w:rsidR="00E5410F" w:rsidRPr="000C1D9B" w:rsidRDefault="00E5410F" w:rsidP="000243A7">
      <w:pPr>
        <w:rPr>
          <w:rFonts w:ascii="KaiTi" w:eastAsia="KaiTi" w:hAnsi="KaiTi" w:cs="Arial"/>
        </w:rPr>
      </w:pPr>
    </w:p>
    <w:sectPr w:rsidR="00E5410F" w:rsidRPr="000C1D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27F"/>
    <w:multiLevelType w:val="hybridMultilevel"/>
    <w:tmpl w:val="01C68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1300"/>
    <w:multiLevelType w:val="hybridMultilevel"/>
    <w:tmpl w:val="11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329D"/>
    <w:multiLevelType w:val="hybridMultilevel"/>
    <w:tmpl w:val="3B2EC18E"/>
    <w:lvl w:ilvl="0" w:tplc="D5083E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73C36C0"/>
    <w:multiLevelType w:val="hybridMultilevel"/>
    <w:tmpl w:val="4ADC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15A6AAA"/>
    <w:multiLevelType w:val="hybridMultilevel"/>
    <w:tmpl w:val="846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211820">
    <w:abstractNumId w:val="2"/>
  </w:num>
  <w:num w:numId="2" w16cid:durableId="2016378384">
    <w:abstractNumId w:val="0"/>
  </w:num>
  <w:num w:numId="3" w16cid:durableId="853958204">
    <w:abstractNumId w:val="3"/>
  </w:num>
  <w:num w:numId="4" w16cid:durableId="755976737">
    <w:abstractNumId w:val="1"/>
  </w:num>
  <w:num w:numId="5" w16cid:durableId="195630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9"/>
    <w:rsid w:val="000243A7"/>
    <w:rsid w:val="00095622"/>
    <w:rsid w:val="000C1D9B"/>
    <w:rsid w:val="00185554"/>
    <w:rsid w:val="00254FBC"/>
    <w:rsid w:val="00263AC5"/>
    <w:rsid w:val="00415269"/>
    <w:rsid w:val="00562477"/>
    <w:rsid w:val="00604A99"/>
    <w:rsid w:val="00610169"/>
    <w:rsid w:val="0093744D"/>
    <w:rsid w:val="0096773B"/>
    <w:rsid w:val="00974058"/>
    <w:rsid w:val="009E15E4"/>
    <w:rsid w:val="00A31C37"/>
    <w:rsid w:val="00A77AA2"/>
    <w:rsid w:val="00B87E04"/>
    <w:rsid w:val="00C25F33"/>
    <w:rsid w:val="00DC494F"/>
    <w:rsid w:val="00E1323B"/>
    <w:rsid w:val="00E5410F"/>
    <w:rsid w:val="00EA2E0B"/>
    <w:rsid w:val="00F50281"/>
    <w:rsid w:val="00F625EC"/>
    <w:rsid w:val="00F8452D"/>
    <w:rsid w:val="00FA66BE"/>
    <w:rsid w:val="00FA6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B85C"/>
  <w15:chartTrackingRefBased/>
  <w15:docId w15:val="{D7183B0E-E5E0-2A48-BD44-A9439168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9"/>
    <w:rPr>
      <w:rFonts w:eastAsiaTheme="majorEastAsia" w:cstheme="majorBidi"/>
      <w:color w:val="272727" w:themeColor="text1" w:themeTint="D8"/>
    </w:rPr>
  </w:style>
  <w:style w:type="paragraph" w:styleId="Title">
    <w:name w:val="Title"/>
    <w:basedOn w:val="Normal"/>
    <w:next w:val="Normal"/>
    <w:link w:val="TitleChar"/>
    <w:uiPriority w:val="10"/>
    <w:qFormat/>
    <w:rsid w:val="0041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9"/>
    <w:rPr>
      <w:i/>
      <w:iCs/>
      <w:color w:val="404040" w:themeColor="text1" w:themeTint="BF"/>
    </w:rPr>
  </w:style>
  <w:style w:type="paragraph" w:styleId="ListParagraph">
    <w:name w:val="List Paragraph"/>
    <w:basedOn w:val="Normal"/>
    <w:uiPriority w:val="34"/>
    <w:qFormat/>
    <w:rsid w:val="00415269"/>
    <w:pPr>
      <w:ind w:left="720"/>
      <w:contextualSpacing/>
    </w:pPr>
  </w:style>
  <w:style w:type="character" w:styleId="IntenseEmphasis">
    <w:name w:val="Intense Emphasis"/>
    <w:basedOn w:val="DefaultParagraphFont"/>
    <w:uiPriority w:val="21"/>
    <w:qFormat/>
    <w:rsid w:val="00415269"/>
    <w:rPr>
      <w:i/>
      <w:iCs/>
      <w:color w:val="0F4761" w:themeColor="accent1" w:themeShade="BF"/>
    </w:rPr>
  </w:style>
  <w:style w:type="paragraph" w:styleId="IntenseQuote">
    <w:name w:val="Intense Quote"/>
    <w:basedOn w:val="Normal"/>
    <w:next w:val="Normal"/>
    <w:link w:val="IntenseQuoteChar"/>
    <w:uiPriority w:val="30"/>
    <w:qFormat/>
    <w:rsid w:val="0041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69"/>
    <w:rPr>
      <w:i/>
      <w:iCs/>
      <w:color w:val="0F4761" w:themeColor="accent1" w:themeShade="BF"/>
    </w:rPr>
  </w:style>
  <w:style w:type="character" w:styleId="IntenseReference">
    <w:name w:val="Intense Reference"/>
    <w:basedOn w:val="DefaultParagraphFont"/>
    <w:uiPriority w:val="32"/>
    <w:qFormat/>
    <w:rsid w:val="00415269"/>
    <w:rPr>
      <w:b/>
      <w:bCs/>
      <w:smallCaps/>
      <w:color w:val="0F4761" w:themeColor="accent1" w:themeShade="BF"/>
      <w:spacing w:val="5"/>
    </w:rPr>
  </w:style>
  <w:style w:type="character" w:styleId="Hyperlink">
    <w:name w:val="Hyperlink"/>
    <w:basedOn w:val="DefaultParagraphFont"/>
    <w:uiPriority w:val="99"/>
    <w:unhideWhenUsed/>
    <w:rsid w:val="00F50281"/>
    <w:rPr>
      <w:color w:val="467886" w:themeColor="hyperlink"/>
      <w:u w:val="single"/>
    </w:rPr>
  </w:style>
  <w:style w:type="character" w:styleId="UnresolvedMention">
    <w:name w:val="Unresolved Mention"/>
    <w:basedOn w:val="DefaultParagraphFont"/>
    <w:uiPriority w:val="99"/>
    <w:semiHidden/>
    <w:unhideWhenUsed/>
    <w:rsid w:val="00F50281"/>
    <w:rPr>
      <w:color w:val="605E5C"/>
      <w:shd w:val="clear" w:color="auto" w:fill="E1DFDD"/>
    </w:rPr>
  </w:style>
  <w:style w:type="table" w:styleId="TableGrid">
    <w:name w:val="Table Grid"/>
    <w:basedOn w:val="TableNormal"/>
    <w:uiPriority w:val="39"/>
    <w:rsid w:val="00F6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5622"/>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A77AA2"/>
    <w:pPr>
      <w:spacing w:after="0" w:line="240" w:lineRule="auto"/>
    </w:pPr>
    <w:rPr>
      <w:rFonts w:ascii=".AppleSystemUIFont" w:eastAsia="Times New Roman" w:hAnsi=".AppleSystemUIFont" w:cs="Times New Roman"/>
      <w:color w:val="0E0E0E"/>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90902">
      <w:bodyDiv w:val="1"/>
      <w:marLeft w:val="0"/>
      <w:marRight w:val="0"/>
      <w:marTop w:val="0"/>
      <w:marBottom w:val="0"/>
      <w:divBdr>
        <w:top w:val="none" w:sz="0" w:space="0" w:color="auto"/>
        <w:left w:val="none" w:sz="0" w:space="0" w:color="auto"/>
        <w:bottom w:val="none" w:sz="0" w:space="0" w:color="auto"/>
        <w:right w:val="none" w:sz="0" w:space="0" w:color="auto"/>
      </w:divBdr>
    </w:div>
    <w:div w:id="395860041">
      <w:bodyDiv w:val="1"/>
      <w:marLeft w:val="0"/>
      <w:marRight w:val="0"/>
      <w:marTop w:val="0"/>
      <w:marBottom w:val="0"/>
      <w:divBdr>
        <w:top w:val="none" w:sz="0" w:space="0" w:color="auto"/>
        <w:left w:val="none" w:sz="0" w:space="0" w:color="auto"/>
        <w:bottom w:val="none" w:sz="0" w:space="0" w:color="auto"/>
        <w:right w:val="none" w:sz="0" w:space="0" w:color="auto"/>
      </w:divBdr>
    </w:div>
    <w:div w:id="497111169">
      <w:bodyDiv w:val="1"/>
      <w:marLeft w:val="0"/>
      <w:marRight w:val="0"/>
      <w:marTop w:val="0"/>
      <w:marBottom w:val="0"/>
      <w:divBdr>
        <w:top w:val="none" w:sz="0" w:space="0" w:color="auto"/>
        <w:left w:val="none" w:sz="0" w:space="0" w:color="auto"/>
        <w:bottom w:val="none" w:sz="0" w:space="0" w:color="auto"/>
        <w:right w:val="none" w:sz="0" w:space="0" w:color="auto"/>
      </w:divBdr>
    </w:div>
    <w:div w:id="606157504">
      <w:bodyDiv w:val="1"/>
      <w:marLeft w:val="0"/>
      <w:marRight w:val="0"/>
      <w:marTop w:val="0"/>
      <w:marBottom w:val="0"/>
      <w:divBdr>
        <w:top w:val="none" w:sz="0" w:space="0" w:color="auto"/>
        <w:left w:val="none" w:sz="0" w:space="0" w:color="auto"/>
        <w:bottom w:val="none" w:sz="0" w:space="0" w:color="auto"/>
        <w:right w:val="none" w:sz="0" w:space="0" w:color="auto"/>
      </w:divBdr>
    </w:div>
    <w:div w:id="783353221">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1057700527">
      <w:bodyDiv w:val="1"/>
      <w:marLeft w:val="0"/>
      <w:marRight w:val="0"/>
      <w:marTop w:val="0"/>
      <w:marBottom w:val="0"/>
      <w:divBdr>
        <w:top w:val="none" w:sz="0" w:space="0" w:color="auto"/>
        <w:left w:val="none" w:sz="0" w:space="0" w:color="auto"/>
        <w:bottom w:val="none" w:sz="0" w:space="0" w:color="auto"/>
        <w:right w:val="none" w:sz="0" w:space="0" w:color="auto"/>
      </w:divBdr>
    </w:div>
    <w:div w:id="1071931379">
      <w:bodyDiv w:val="1"/>
      <w:marLeft w:val="0"/>
      <w:marRight w:val="0"/>
      <w:marTop w:val="0"/>
      <w:marBottom w:val="0"/>
      <w:divBdr>
        <w:top w:val="none" w:sz="0" w:space="0" w:color="auto"/>
        <w:left w:val="none" w:sz="0" w:space="0" w:color="auto"/>
        <w:bottom w:val="none" w:sz="0" w:space="0" w:color="auto"/>
        <w:right w:val="none" w:sz="0" w:space="0" w:color="auto"/>
      </w:divBdr>
    </w:div>
    <w:div w:id="1214582901">
      <w:bodyDiv w:val="1"/>
      <w:marLeft w:val="0"/>
      <w:marRight w:val="0"/>
      <w:marTop w:val="0"/>
      <w:marBottom w:val="0"/>
      <w:divBdr>
        <w:top w:val="none" w:sz="0" w:space="0" w:color="auto"/>
        <w:left w:val="none" w:sz="0" w:space="0" w:color="auto"/>
        <w:bottom w:val="none" w:sz="0" w:space="0" w:color="auto"/>
        <w:right w:val="none" w:sz="0" w:space="0" w:color="auto"/>
      </w:divBdr>
    </w:div>
    <w:div w:id="1272858990">
      <w:bodyDiv w:val="1"/>
      <w:marLeft w:val="0"/>
      <w:marRight w:val="0"/>
      <w:marTop w:val="0"/>
      <w:marBottom w:val="0"/>
      <w:divBdr>
        <w:top w:val="none" w:sz="0" w:space="0" w:color="auto"/>
        <w:left w:val="none" w:sz="0" w:space="0" w:color="auto"/>
        <w:bottom w:val="none" w:sz="0" w:space="0" w:color="auto"/>
        <w:right w:val="none" w:sz="0" w:space="0" w:color="auto"/>
      </w:divBdr>
    </w:div>
    <w:div w:id="1510869379">
      <w:bodyDiv w:val="1"/>
      <w:marLeft w:val="0"/>
      <w:marRight w:val="0"/>
      <w:marTop w:val="0"/>
      <w:marBottom w:val="0"/>
      <w:divBdr>
        <w:top w:val="none" w:sz="0" w:space="0" w:color="auto"/>
        <w:left w:val="none" w:sz="0" w:space="0" w:color="auto"/>
        <w:bottom w:val="none" w:sz="0" w:space="0" w:color="auto"/>
        <w:right w:val="none" w:sz="0" w:space="0" w:color="auto"/>
      </w:divBdr>
    </w:div>
    <w:div w:id="1555265319">
      <w:bodyDiv w:val="1"/>
      <w:marLeft w:val="0"/>
      <w:marRight w:val="0"/>
      <w:marTop w:val="0"/>
      <w:marBottom w:val="0"/>
      <w:divBdr>
        <w:top w:val="none" w:sz="0" w:space="0" w:color="auto"/>
        <w:left w:val="none" w:sz="0" w:space="0" w:color="auto"/>
        <w:bottom w:val="none" w:sz="0" w:space="0" w:color="auto"/>
        <w:right w:val="none" w:sz="0" w:space="0" w:color="auto"/>
      </w:divBdr>
    </w:div>
    <w:div w:id="1612085845">
      <w:bodyDiv w:val="1"/>
      <w:marLeft w:val="0"/>
      <w:marRight w:val="0"/>
      <w:marTop w:val="0"/>
      <w:marBottom w:val="0"/>
      <w:divBdr>
        <w:top w:val="none" w:sz="0" w:space="0" w:color="auto"/>
        <w:left w:val="none" w:sz="0" w:space="0" w:color="auto"/>
        <w:bottom w:val="none" w:sz="0" w:space="0" w:color="auto"/>
        <w:right w:val="none" w:sz="0" w:space="0" w:color="auto"/>
      </w:divBdr>
    </w:div>
    <w:div w:id="1707635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mp.weixin.qq.com/s?__biz=MzU1OTg4ODk4NA==&amp;mid=2247483781&amp;idx=1&amp;sn=e5744c48068b1c0aeb7f9b481e0100e0&amp;chksm=fc112eb2cb66a7a40f5732b003197520e7d35a9725d4b664a355fef38f9320e98fc2ca96f865" TargetMode="External"/><Relationship Id="rId12" Type="http://schemas.openxmlformats.org/officeDocument/2006/relationships/hyperlink" Target="https://mp.weixin.qq.com/s?__biz=MzU1OTg4ODk4NA==&amp;mid=2247484699&amp;idx=1&amp;sn=753f2d6af7ca31deef837e032b54b51c&amp;chksm=fc112a2ccb66a33a43cd44a8f0be450177419c8ed4a43e904e5eefb1224bdae80bb193da4c6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48CB-66D2-CF48-9F05-D9AFC88E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16</cp:revision>
  <dcterms:created xsi:type="dcterms:W3CDTF">2024-11-25T00:37:00Z</dcterms:created>
  <dcterms:modified xsi:type="dcterms:W3CDTF">2024-11-26T00:43:00Z</dcterms:modified>
</cp:coreProperties>
</file>