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9DC80" w14:textId="77777777" w:rsidR="00A77AA2" w:rsidRPr="000C1D9B" w:rsidRDefault="00A77AA2" w:rsidP="00A77AA2">
      <w:pPr>
        <w:pStyle w:val="p1"/>
        <w:rPr>
          <w:rFonts w:ascii="KaiTi" w:eastAsia="KaiTi" w:hAnsi="KaiTi"/>
          <w:sz w:val="24"/>
          <w:szCs w:val="24"/>
        </w:rPr>
      </w:pPr>
      <w:r w:rsidRPr="000C1D9B">
        <w:rPr>
          <w:rFonts w:ascii="KaiTi" w:eastAsia="KaiTi" w:hAnsi="KaiTi" w:cs="PingFang TC" w:hint="eastAsia"/>
          <w:sz w:val="24"/>
          <w:szCs w:val="24"/>
        </w:rPr>
        <w:t>亲爱的朋友，</w:t>
      </w:r>
    </w:p>
    <w:p w14:paraId="667CF7B5" w14:textId="77777777" w:rsidR="00A77AA2" w:rsidRPr="000C1D9B" w:rsidRDefault="00A77AA2" w:rsidP="00A77AA2">
      <w:pPr>
        <w:pStyle w:val="p2"/>
        <w:rPr>
          <w:rFonts w:ascii="KaiTi" w:eastAsia="KaiTi" w:hAnsi="KaiTi"/>
          <w:sz w:val="24"/>
          <w:szCs w:val="24"/>
        </w:rPr>
      </w:pPr>
    </w:p>
    <w:p w14:paraId="0F818CCD" w14:textId="24B3A36F" w:rsidR="00B14E80" w:rsidRPr="00DD4DD9" w:rsidRDefault="00B14E80" w:rsidP="00DD4DD9">
      <w:pPr>
        <w:rPr>
          <w:rFonts w:ascii="KaiTi" w:eastAsia="KaiTi" w:hAnsi="KaiTi"/>
        </w:rPr>
      </w:pPr>
      <w:bookmarkStart w:id="0" w:name="OLE_LINK1"/>
      <w:r w:rsidRPr="00DD4DD9">
        <w:rPr>
          <w:rFonts w:ascii="KaiTi" w:eastAsia="KaiTi" w:hAnsi="KaiTi" w:hint="eastAsia"/>
        </w:rPr>
        <w:t>新春伊始，万象更新！值此灵蛇腾跃之年，旺达</w:t>
      </w:r>
      <w:r w:rsidR="00DD4DD9">
        <w:rPr>
          <w:rFonts w:ascii="KaiTi" w:eastAsia="KaiTi" w:hAnsi="KaiTi" w:hint="eastAsia"/>
        </w:rPr>
        <w:t>财</w:t>
      </w:r>
      <w:r w:rsidRPr="00DD4DD9">
        <w:rPr>
          <w:rFonts w:ascii="KaiTi" w:eastAsia="KaiTi" w:hAnsi="KaiTi" w:hint="eastAsia"/>
        </w:rPr>
        <w:t>智团队衷心祝愿您与家人：</w:t>
      </w:r>
      <w:r w:rsidRPr="00DD4DD9">
        <w:rPr>
          <w:rFonts w:ascii="KaiTi" w:eastAsia="KaiTi" w:hAnsi="KaiTi"/>
        </w:rPr>
        <w:br/>
      </w:r>
      <w:r w:rsidRPr="00DD4DD9">
        <w:rPr>
          <w:rFonts w:ascii="KaiTi" w:eastAsia="KaiTi" w:hAnsi="KaiTi"/>
          <w:b/>
          <w:bCs/>
        </w:rPr>
        <w:t>身如游蛇，轻盈破局</w:t>
      </w:r>
      <w:r w:rsidRPr="00DD4DD9">
        <w:rPr>
          <w:rFonts w:ascii="KaiTi" w:eastAsia="KaiTi" w:hAnsi="KaiTi"/>
        </w:rPr>
        <w:t>——</w:t>
      </w:r>
      <w:r w:rsidRPr="00DD4DD9">
        <w:rPr>
          <w:rFonts w:ascii="KaiTi" w:eastAsia="KaiTi" w:hAnsi="KaiTi" w:hint="eastAsia"/>
        </w:rPr>
        <w:t>在变化中捕捉机遇；</w:t>
      </w:r>
      <w:r w:rsidRPr="00DD4DD9">
        <w:rPr>
          <w:rFonts w:ascii="KaiTi" w:eastAsia="KaiTi" w:hAnsi="KaiTi"/>
        </w:rPr>
        <w:br/>
      </w:r>
      <w:r w:rsidRPr="00DD4DD9">
        <w:rPr>
          <w:rFonts w:ascii="KaiTi" w:eastAsia="KaiTi" w:hAnsi="KaiTi"/>
          <w:b/>
          <w:bCs/>
        </w:rPr>
        <w:t>智若灵蛇，洞见先机</w:t>
      </w:r>
      <w:r w:rsidRPr="00DD4DD9">
        <w:rPr>
          <w:rFonts w:ascii="KaiTi" w:eastAsia="KaiTi" w:hAnsi="KaiTi"/>
        </w:rPr>
        <w:t>——</w:t>
      </w:r>
      <w:r w:rsidRPr="00DD4DD9">
        <w:rPr>
          <w:rFonts w:ascii="KaiTi" w:eastAsia="KaiTi" w:hAnsi="KaiTi" w:hint="eastAsia"/>
        </w:rPr>
        <w:t>以敏锐眼光稳掌方向；</w:t>
      </w:r>
      <w:r w:rsidRPr="00DD4DD9">
        <w:rPr>
          <w:rFonts w:ascii="KaiTi" w:eastAsia="KaiTi" w:hAnsi="KaiTi"/>
        </w:rPr>
        <w:br/>
      </w:r>
      <w:r w:rsidRPr="00DD4DD9">
        <w:rPr>
          <w:rFonts w:ascii="KaiTi" w:eastAsia="KaiTi" w:hAnsi="KaiTi"/>
          <w:b/>
          <w:bCs/>
        </w:rPr>
        <w:t>势似盘蛇，聚力而发</w:t>
      </w:r>
      <w:r w:rsidRPr="00DD4DD9">
        <w:rPr>
          <w:rFonts w:ascii="KaiTi" w:eastAsia="KaiTi" w:hAnsi="KaiTi"/>
        </w:rPr>
        <w:t>——</w:t>
      </w:r>
      <w:r w:rsidRPr="00DD4DD9">
        <w:rPr>
          <w:rFonts w:ascii="KaiTi" w:eastAsia="KaiTi" w:hAnsi="KaiTi" w:hint="eastAsia"/>
        </w:rPr>
        <w:t>新一年事业与生活步步登高！</w:t>
      </w:r>
    </w:p>
    <w:p w14:paraId="6D616BC0" w14:textId="5DF42604" w:rsidR="00DD4DD9" w:rsidRDefault="00B14E80" w:rsidP="00DD4DD9">
      <w:pPr>
        <w:rPr>
          <w:rFonts w:ascii="KaiTi" w:eastAsia="KaiTi" w:hAnsi="KaiTi"/>
        </w:rPr>
      </w:pPr>
      <w:r w:rsidRPr="00DD4DD9">
        <w:rPr>
          <w:rFonts w:ascii="KaiTi" w:eastAsia="KaiTi" w:hAnsi="KaiTi" w:hint="eastAsia"/>
        </w:rPr>
        <w:t>过去一年，感谢您与我们并肩同行。</w:t>
      </w:r>
      <w:r w:rsidRPr="00DD4DD9">
        <w:rPr>
          <w:rFonts w:ascii="KaiTi" w:eastAsia="KaiTi" w:hAnsi="KaiTi"/>
        </w:rPr>
        <w:t>2025</w:t>
      </w:r>
      <w:r w:rsidRPr="00DD4DD9">
        <w:rPr>
          <w:rFonts w:ascii="KaiTi" w:eastAsia="KaiTi" w:hAnsi="KaiTi" w:hint="eastAsia"/>
        </w:rPr>
        <w:t>年，市场或许如蛇行蜿蜒，但我们始终以「稳」筑基、以「智」应变，助您穿云破雾，共赴丰盈。</w:t>
      </w:r>
    </w:p>
    <w:bookmarkEnd w:id="0"/>
    <w:p w14:paraId="05A5A5AB" w14:textId="77777777" w:rsidR="00BF0608" w:rsidRDefault="00BF0608" w:rsidP="00BF0608">
      <w:pPr>
        <w:rPr>
          <w:rFonts w:ascii="KaiTi" w:eastAsia="KaiTi" w:hAnsi="KaiTi"/>
          <w:b/>
          <w:bCs/>
        </w:rPr>
      </w:pPr>
    </w:p>
    <w:p w14:paraId="3AB8134F" w14:textId="0C664BFD" w:rsidR="00BF0608" w:rsidRPr="00BF0608" w:rsidRDefault="00BF0608" w:rsidP="00BF0608">
      <w:pPr>
        <w:rPr>
          <w:rFonts w:ascii="KaiTi" w:eastAsia="KaiTi" w:hAnsi="KaiTi"/>
        </w:rPr>
      </w:pPr>
      <w:r w:rsidRPr="00BF0608">
        <w:rPr>
          <w:rFonts w:ascii="KaiTi" w:eastAsia="KaiTi" w:hAnsi="KaiTi"/>
          <w:b/>
          <w:bCs/>
        </w:rPr>
        <w:t>公司服务更新</w:t>
      </w:r>
    </w:p>
    <w:p w14:paraId="1AC495E4" w14:textId="77777777" w:rsidR="00A97851" w:rsidRDefault="00A97851" w:rsidP="00BF0608">
      <w:pPr>
        <w:rPr>
          <w:rFonts w:ascii="KaiTi" w:eastAsia="KaiTi" w:hAnsi="KaiTi"/>
        </w:rPr>
      </w:pPr>
    </w:p>
    <w:p w14:paraId="66427100" w14:textId="77777777" w:rsidR="00A97851" w:rsidRDefault="00BF0608" w:rsidP="00BF0608">
      <w:pPr>
        <w:rPr>
          <w:rFonts w:ascii="KaiTi" w:eastAsia="KaiTi" w:hAnsi="KaiTi"/>
        </w:rPr>
      </w:pPr>
      <w:r w:rsidRPr="00BF0608">
        <w:rPr>
          <w:rFonts w:ascii="KaiTi" w:eastAsia="KaiTi" w:hAnsi="KaiTi"/>
          <w:b/>
          <w:bCs/>
        </w:rPr>
        <w:t>全新储蓄计划推出</w:t>
      </w:r>
      <w:r w:rsidRPr="00BF0608">
        <w:rPr>
          <w:rFonts w:ascii="KaiTi" w:eastAsia="KaiTi" w:hAnsi="KaiTi"/>
        </w:rPr>
        <w:t xml:space="preserve">：AIA </w:t>
      </w:r>
      <w:proofErr w:type="spellStart"/>
      <w:r w:rsidRPr="00BF0608">
        <w:rPr>
          <w:rFonts w:ascii="KaiTi" w:eastAsia="KaiTi" w:hAnsi="KaiTi"/>
        </w:rPr>
        <w:t>FlexiAchiever</w:t>
      </w:r>
      <w:proofErr w:type="spellEnd"/>
      <w:r w:rsidRPr="00BF0608">
        <w:rPr>
          <w:rFonts w:ascii="KaiTi" w:eastAsia="KaiTi" w:hAnsi="KaiTi"/>
        </w:rPr>
        <w:t>储蓄计划正式上线，主打“储”、“赚”、“享”三大目标，特别针对客户的灵活储蓄需求，</w:t>
      </w:r>
      <w:r w:rsidR="00A97851">
        <w:rPr>
          <w:rFonts w:ascii="KaiTi" w:eastAsia="KaiTi" w:hAnsi="KaiTi" w:hint="eastAsia"/>
        </w:rPr>
        <w:t>最快支持第6年按照总保费的7%开始提取。</w:t>
      </w:r>
    </w:p>
    <w:p w14:paraId="42C99F7B" w14:textId="1223ABFC" w:rsidR="00BF0608" w:rsidRPr="00BF0608" w:rsidRDefault="00A97851" w:rsidP="00BF0608">
      <w:pPr>
        <w:rPr>
          <w:rFonts w:ascii="KaiTi" w:eastAsia="KaiTi" w:hAnsi="KaiTi"/>
        </w:rPr>
      </w:pPr>
      <w:r>
        <w:rPr>
          <w:rFonts w:ascii="KaiTi" w:eastAsia="KaiTi" w:hAnsi="KaiTi" w:hint="eastAsia"/>
        </w:rPr>
        <w:t>首季度投保</w:t>
      </w:r>
      <w:r w:rsidR="00BF0608" w:rsidRPr="00BF0608">
        <w:rPr>
          <w:rFonts w:ascii="KaiTi" w:eastAsia="KaiTi" w:hAnsi="KaiTi" w:hint="eastAsia"/>
        </w:rPr>
        <w:t>提</w:t>
      </w:r>
      <w:r w:rsidR="00BF0608" w:rsidRPr="00BF0608">
        <w:rPr>
          <w:rFonts w:ascii="KaiTi" w:eastAsia="KaiTi" w:hAnsi="KaiTi"/>
        </w:rPr>
        <w:t>供高达13%的红利回馈，为客户的长期财富管理提供支持。</w:t>
      </w:r>
    </w:p>
    <w:p w14:paraId="5ED836CA" w14:textId="77777777" w:rsidR="00BF0608" w:rsidRPr="00BF0608" w:rsidRDefault="00BF0608" w:rsidP="00BF0608">
      <w:pPr>
        <w:rPr>
          <w:rFonts w:ascii="KaiTi" w:eastAsia="KaiTi" w:hAnsi="KaiTi"/>
        </w:rPr>
      </w:pPr>
    </w:p>
    <w:p w14:paraId="27BAB97A" w14:textId="700BB687" w:rsidR="00BF0608" w:rsidRPr="00BF0608" w:rsidRDefault="00BF0608" w:rsidP="00BF0608">
      <w:pPr>
        <w:rPr>
          <w:rFonts w:ascii="KaiTi" w:eastAsia="KaiTi" w:hAnsi="KaiTi"/>
          <w:color w:val="FF0000"/>
        </w:rPr>
      </w:pPr>
      <w:r w:rsidRPr="00BF0608">
        <w:rPr>
          <w:rFonts w:ascii="KaiTi" w:eastAsia="KaiTi" w:hAnsi="KaiTi"/>
          <w:b/>
          <w:bCs/>
          <w:color w:val="FF0000"/>
        </w:rPr>
        <w:t>重要提醒</w:t>
      </w:r>
    </w:p>
    <w:p w14:paraId="416A4BD8" w14:textId="15167CFC" w:rsidR="00BF0608" w:rsidRPr="00BF0608" w:rsidRDefault="00BF0608" w:rsidP="00BF0608">
      <w:pPr>
        <w:rPr>
          <w:rFonts w:ascii="KaiTi" w:eastAsia="KaiTi" w:hAnsi="KaiTi"/>
        </w:rPr>
      </w:pPr>
      <w:r w:rsidRPr="00BF0608">
        <w:rPr>
          <w:rFonts w:ascii="KaiTi" w:eastAsia="KaiTi" w:hAnsi="KaiTi"/>
        </w:rPr>
        <w:t>预计香港保监局将在2025年第二季度对</w:t>
      </w:r>
      <w:r w:rsidR="00E67E6B">
        <w:rPr>
          <w:rFonts w:ascii="KaiTi" w:eastAsia="KaiTi" w:hAnsi="KaiTi" w:hint="eastAsia"/>
        </w:rPr>
        <w:t>香港储蓄</w:t>
      </w:r>
      <w:r w:rsidRPr="00BF0608">
        <w:rPr>
          <w:rFonts w:ascii="KaiTi" w:eastAsia="KaiTi" w:hAnsi="KaiTi"/>
        </w:rPr>
        <w:t>分红险的预期利率进行</w:t>
      </w:r>
      <w:r w:rsidR="00E67E6B">
        <w:rPr>
          <w:rFonts w:ascii="KaiTi" w:eastAsia="KaiTi" w:hAnsi="KaiTi" w:hint="eastAsia"/>
        </w:rPr>
        <w:t>上限管理</w:t>
      </w:r>
      <w:r w:rsidRPr="00BF0608">
        <w:rPr>
          <w:rFonts w:ascii="KaiTi" w:eastAsia="KaiTi" w:hAnsi="KaiTi"/>
        </w:rPr>
        <w:t>，这可能会</w:t>
      </w:r>
      <w:r w:rsidR="00E67E6B">
        <w:rPr>
          <w:rFonts w:ascii="KaiTi" w:eastAsia="KaiTi" w:hAnsi="KaiTi" w:hint="eastAsia"/>
        </w:rPr>
        <w:t>使得目前预期IRR达到长线7%水平的产品都会下架。</w:t>
      </w:r>
      <w:r w:rsidRPr="00BF0608">
        <w:rPr>
          <w:rFonts w:ascii="KaiTi" w:eastAsia="KaiTi" w:hAnsi="KaiTi"/>
        </w:rPr>
        <w:t>我们建议客户提前规划，抓住当前的有利时机优化财富管理方案。</w:t>
      </w:r>
    </w:p>
    <w:p w14:paraId="4E453AFA" w14:textId="77777777" w:rsidR="00FC35FD" w:rsidRDefault="00FC35FD" w:rsidP="00DD4DD9">
      <w:pPr>
        <w:rPr>
          <w:rFonts w:ascii="KaiTi" w:eastAsia="KaiTi" w:hAnsi="KaiTi"/>
        </w:rPr>
      </w:pPr>
    </w:p>
    <w:p w14:paraId="16406628" w14:textId="0E213F32" w:rsidR="00BF0608" w:rsidRPr="00433533" w:rsidRDefault="00433533" w:rsidP="00DD4DD9">
      <w:pPr>
        <w:rPr>
          <w:rFonts w:ascii="KaiTi" w:eastAsia="KaiTi" w:hAnsi="KaiTi"/>
          <w:b/>
          <w:bCs/>
        </w:rPr>
      </w:pPr>
      <w:r>
        <w:rPr>
          <w:rFonts w:ascii="KaiTi" w:eastAsia="KaiTi" w:hAnsi="KaiTi" w:hint="eastAsia"/>
          <w:b/>
          <w:bCs/>
        </w:rPr>
        <w:t>海外</w:t>
      </w:r>
      <w:r w:rsidRPr="00433533">
        <w:rPr>
          <w:rFonts w:ascii="KaiTi" w:eastAsia="KaiTi" w:hAnsi="KaiTi" w:hint="eastAsia"/>
          <w:b/>
          <w:bCs/>
        </w:rPr>
        <w:t>市场概览</w:t>
      </w:r>
    </w:p>
    <w:p w14:paraId="4C7A3472" w14:textId="0C7C669B" w:rsidR="00DD4DD9" w:rsidRDefault="00DD4DD9" w:rsidP="00DD4DD9">
      <w:pPr>
        <w:rPr>
          <w:rFonts w:ascii="KaiTi" w:eastAsia="KaiTi" w:hAnsi="KaiTi"/>
        </w:rPr>
      </w:pPr>
      <w:r w:rsidRPr="00DD4DD9">
        <w:rPr>
          <w:rFonts w:ascii="KaiTi" w:eastAsia="KaiTi" w:hAnsi="KaiTi"/>
        </w:rPr>
        <w:t>2025</w:t>
      </w:r>
      <w:r w:rsidRPr="00DD4DD9">
        <w:rPr>
          <w:rFonts w:ascii="KaiTi" w:eastAsia="KaiTi" w:hAnsi="KaiTi" w:hint="eastAsia"/>
        </w:rPr>
        <w:t>年</w:t>
      </w:r>
      <w:r w:rsidRPr="00DD4DD9">
        <w:rPr>
          <w:rFonts w:ascii="KaiTi" w:eastAsia="KaiTi" w:hAnsi="KaiTi"/>
        </w:rPr>
        <w:t>1</w:t>
      </w:r>
      <w:r w:rsidRPr="00DD4DD9">
        <w:rPr>
          <w:rFonts w:ascii="KaiTi" w:eastAsia="KaiTi" w:hAnsi="KaiTi" w:hint="eastAsia"/>
        </w:rPr>
        <w:t>月以来，全球经济呈现温和增长，美联储可能降息的信号引发市场关注，但短期内维持高利率的可能性较大。美国股票市场受益于科技行业强劲表现，但债券收益率上升对估值构成压力</w:t>
      </w:r>
      <w:r w:rsidRPr="00DD4DD9">
        <w:rPr>
          <w:rFonts w:ascii="KaiTi" w:eastAsia="KaiTi" w:hAnsi="KaiTi"/>
        </w:rPr>
        <w:t>。</w:t>
      </w:r>
    </w:p>
    <w:p w14:paraId="47CAB47C" w14:textId="4D6F937E" w:rsidR="00026074" w:rsidRPr="00DD4DD9" w:rsidRDefault="00026074" w:rsidP="00DD4DD9">
      <w:pPr>
        <w:rPr>
          <w:rFonts w:ascii="KaiTi" w:eastAsia="KaiTi" w:hAnsi="KaiTi"/>
        </w:rPr>
      </w:pPr>
      <w:r w:rsidRPr="00DD4DD9">
        <w:rPr>
          <w:rFonts w:ascii="KaiTi" w:eastAsia="KaiTi" w:hAnsi="KaiTi"/>
        </w:rPr>
        <w:t>12</w:t>
      </w:r>
      <w:r w:rsidRPr="00DD4DD9">
        <w:rPr>
          <w:rFonts w:ascii="KaiTi" w:eastAsia="KaiTi" w:hAnsi="KaiTi" w:hint="eastAsia"/>
        </w:rPr>
        <w:t>月美国新增就业</w:t>
      </w:r>
      <w:r w:rsidRPr="00DD4DD9">
        <w:rPr>
          <w:rFonts w:ascii="KaiTi" w:eastAsia="KaiTi" w:hAnsi="KaiTi"/>
        </w:rPr>
        <w:t>25.6</w:t>
      </w:r>
      <w:r w:rsidRPr="00DD4DD9">
        <w:rPr>
          <w:rFonts w:ascii="KaiTi" w:eastAsia="KaiTi" w:hAnsi="KaiTi" w:hint="eastAsia"/>
        </w:rPr>
        <w:t>万（远超预期的</w:t>
      </w:r>
      <w:r w:rsidRPr="00DD4DD9">
        <w:rPr>
          <w:rFonts w:ascii="KaiTi" w:eastAsia="KaiTi" w:hAnsi="KaiTi"/>
        </w:rPr>
        <w:t>15.5</w:t>
      </w:r>
      <w:r w:rsidRPr="00DD4DD9">
        <w:rPr>
          <w:rFonts w:ascii="KaiTi" w:eastAsia="KaiTi" w:hAnsi="KaiTi" w:hint="eastAsia"/>
        </w:rPr>
        <w:t>万），私营部门贡献</w:t>
      </w:r>
      <w:r w:rsidRPr="00DD4DD9">
        <w:rPr>
          <w:rFonts w:ascii="KaiTi" w:eastAsia="KaiTi" w:hAnsi="KaiTi"/>
        </w:rPr>
        <w:t>23.1</w:t>
      </w:r>
      <w:r w:rsidRPr="00DD4DD9">
        <w:rPr>
          <w:rFonts w:ascii="KaiTi" w:eastAsia="KaiTi" w:hAnsi="KaiTi" w:hint="eastAsia"/>
        </w:rPr>
        <w:t>万岗位，劳动力市场持续强劲。通胀压力仍存，</w:t>
      </w:r>
      <w:r w:rsidRPr="00DD4DD9">
        <w:rPr>
          <w:rFonts w:ascii="KaiTi" w:eastAsia="KaiTi" w:hAnsi="KaiTi"/>
        </w:rPr>
        <w:t>12</w:t>
      </w:r>
      <w:r w:rsidRPr="00DD4DD9">
        <w:rPr>
          <w:rFonts w:ascii="KaiTi" w:eastAsia="KaiTi" w:hAnsi="KaiTi" w:hint="eastAsia"/>
        </w:rPr>
        <w:t>月</w:t>
      </w:r>
      <w:r w:rsidRPr="00DD4DD9">
        <w:rPr>
          <w:rFonts w:ascii="KaiTi" w:eastAsia="KaiTi" w:hAnsi="KaiTi"/>
        </w:rPr>
        <w:t>CPI</w:t>
      </w:r>
      <w:r w:rsidRPr="00DD4DD9">
        <w:rPr>
          <w:rFonts w:ascii="KaiTi" w:eastAsia="KaiTi" w:hAnsi="KaiTi" w:hint="eastAsia"/>
        </w:rPr>
        <w:t>同比涨</w:t>
      </w:r>
      <w:r w:rsidRPr="00DD4DD9">
        <w:rPr>
          <w:rFonts w:ascii="KaiTi" w:eastAsia="KaiTi" w:hAnsi="KaiTi"/>
        </w:rPr>
        <w:t>2.9%</w:t>
      </w:r>
      <w:r w:rsidRPr="00DD4DD9">
        <w:rPr>
          <w:rFonts w:ascii="KaiTi" w:eastAsia="KaiTi" w:hAnsi="KaiTi" w:hint="eastAsia"/>
        </w:rPr>
        <w:t>，核心</w:t>
      </w:r>
      <w:r w:rsidRPr="00DD4DD9">
        <w:rPr>
          <w:rFonts w:ascii="KaiTi" w:eastAsia="KaiTi" w:hAnsi="KaiTi"/>
        </w:rPr>
        <w:t>CPI</w:t>
      </w:r>
      <w:r w:rsidRPr="00DD4DD9">
        <w:rPr>
          <w:rFonts w:ascii="KaiTi" w:eastAsia="KaiTi" w:hAnsi="KaiTi" w:hint="eastAsia"/>
        </w:rPr>
        <w:t>同比</w:t>
      </w:r>
      <w:r w:rsidRPr="00DD4DD9">
        <w:rPr>
          <w:rFonts w:ascii="KaiTi" w:eastAsia="KaiTi" w:hAnsi="KaiTi"/>
        </w:rPr>
        <w:t>3.2%</w:t>
      </w:r>
      <w:r w:rsidRPr="00DD4DD9">
        <w:rPr>
          <w:rFonts w:ascii="KaiTi" w:eastAsia="KaiTi" w:hAnsi="KaiTi" w:hint="eastAsia"/>
        </w:rPr>
        <w:t>，虽增速放缓但仍高于美联储</w:t>
      </w:r>
      <w:r w:rsidRPr="00DD4DD9">
        <w:rPr>
          <w:rFonts w:ascii="KaiTi" w:eastAsia="KaiTi" w:hAnsi="KaiTi"/>
        </w:rPr>
        <w:t>2%</w:t>
      </w:r>
      <w:r w:rsidRPr="00DD4DD9">
        <w:rPr>
          <w:rFonts w:ascii="KaiTi" w:eastAsia="KaiTi" w:hAnsi="KaiTi" w:hint="eastAsia"/>
        </w:rPr>
        <w:t>的目标，预计年中前降息可能性较低。国债收益率高位震荡，若通胀反弹或进一步承压。</w:t>
      </w:r>
    </w:p>
    <w:p w14:paraId="467AC3D3" w14:textId="073AD3EE" w:rsidR="00026074" w:rsidRPr="00DD4DD9" w:rsidRDefault="00026074" w:rsidP="00DD4DD9">
      <w:pPr>
        <w:rPr>
          <w:rFonts w:ascii="KaiTi" w:eastAsia="KaiTi" w:hAnsi="KaiTi"/>
        </w:rPr>
      </w:pPr>
      <w:r w:rsidRPr="00DD4DD9">
        <w:rPr>
          <w:rFonts w:ascii="KaiTi" w:eastAsia="KaiTi" w:hAnsi="KaiTi" w:hint="eastAsia"/>
        </w:rPr>
        <w:lastRenderedPageBreak/>
        <w:t>当前股市估值偏高，需企业盈利支撑。经济韧性超预期叠加政策利好（如减税与监管放松），</w:t>
      </w:r>
      <w:r w:rsidRPr="00DD4DD9">
        <w:rPr>
          <w:rFonts w:ascii="KaiTi" w:eastAsia="KaiTi" w:hAnsi="KaiTi"/>
        </w:rPr>
        <w:t>2025</w:t>
      </w:r>
      <w:r w:rsidRPr="00DD4DD9">
        <w:rPr>
          <w:rFonts w:ascii="KaiTi" w:eastAsia="KaiTi" w:hAnsi="KaiTi" w:hint="eastAsia"/>
        </w:rPr>
        <w:t>年企业盈利或改善。</w:t>
      </w:r>
    </w:p>
    <w:p w14:paraId="5195810D" w14:textId="77777777" w:rsidR="00C25F33" w:rsidRPr="000C1D9B" w:rsidRDefault="00C25F33" w:rsidP="000243A7">
      <w:pPr>
        <w:autoSpaceDE w:val="0"/>
        <w:autoSpaceDN w:val="0"/>
        <w:adjustRightInd w:val="0"/>
        <w:spacing w:after="0" w:line="240" w:lineRule="auto"/>
        <w:rPr>
          <w:rFonts w:ascii="KaiTi" w:eastAsia="KaiTi" w:hAnsi="KaiTi" w:cs="Arial"/>
          <w:kern w:val="0"/>
        </w:rPr>
      </w:pPr>
    </w:p>
    <w:p w14:paraId="599F205E" w14:textId="77777777" w:rsidR="00095622" w:rsidRPr="000C1D9B" w:rsidRDefault="00095622" w:rsidP="000243A7">
      <w:pPr>
        <w:autoSpaceDE w:val="0"/>
        <w:autoSpaceDN w:val="0"/>
        <w:adjustRightInd w:val="0"/>
        <w:spacing w:after="0" w:line="240" w:lineRule="auto"/>
        <w:rPr>
          <w:rFonts w:ascii="KaiTi" w:eastAsia="KaiTi" w:hAnsi="KaiTi" w:cs="Arial"/>
          <w:kern w:val="0"/>
        </w:rPr>
      </w:pPr>
    </w:p>
    <w:p w14:paraId="3C8CBC5C" w14:textId="58353A34" w:rsidR="00B87E04" w:rsidRPr="000C1D9B" w:rsidRDefault="00610169" w:rsidP="00610169">
      <w:pPr>
        <w:rPr>
          <w:rFonts w:ascii="KaiTi" w:eastAsia="KaiTi" w:hAnsi="KaiTi"/>
          <w:b/>
          <w:bCs/>
        </w:rPr>
      </w:pPr>
      <w:r w:rsidRPr="000C1D9B">
        <w:rPr>
          <w:rFonts w:ascii="KaiTi" w:eastAsia="KaiTi" w:hAnsi="KaiTi" w:hint="eastAsia"/>
          <w:b/>
          <w:bCs/>
        </w:rPr>
        <w:t>示例组合运行情况</w:t>
      </w:r>
    </w:p>
    <w:p w14:paraId="41DC8E22" w14:textId="7277CF87" w:rsidR="00610169" w:rsidRPr="000C1D9B" w:rsidRDefault="00610169" w:rsidP="00610169">
      <w:pPr>
        <w:rPr>
          <w:rFonts w:ascii="KaiTi" w:eastAsia="KaiTi" w:hAnsi="KaiTi"/>
        </w:rPr>
      </w:pPr>
      <w:r w:rsidRPr="000C1D9B">
        <w:rPr>
          <w:rFonts w:ascii="KaiTi" w:eastAsia="KaiTi" w:hAnsi="KaiTi" w:hint="eastAsia"/>
        </w:rPr>
        <w:t>为了能够更好地帮助大家理解和熟悉我们的长期配置思路，我们通过公司投连险平台管理了两个典型组合。两个组合都以100万美金的初始投入为例，并于10月24日完成建仓买入。</w:t>
      </w:r>
    </w:p>
    <w:p w14:paraId="454592C1" w14:textId="77777777" w:rsidR="00610169" w:rsidRPr="000C1D9B" w:rsidRDefault="00610169" w:rsidP="00610169">
      <w:pPr>
        <w:rPr>
          <w:rFonts w:ascii="KaiTi" w:eastAsia="KaiTi" w:hAnsi="KaiTi"/>
          <w:b/>
          <w:bCs/>
        </w:rPr>
      </w:pPr>
      <w:r w:rsidRPr="000C1D9B">
        <w:rPr>
          <w:rFonts w:ascii="KaiTi" w:eastAsia="KaiTi" w:hAnsi="KaiTi" w:hint="eastAsia"/>
          <w:b/>
          <w:bCs/>
        </w:rPr>
        <w:t>组合1: 长线增长 ILI Long Term Accumulation</w:t>
      </w:r>
    </w:p>
    <w:p w14:paraId="191BDF3E" w14:textId="77777777" w:rsidR="00610169" w:rsidRPr="000C1D9B" w:rsidRDefault="00610169" w:rsidP="00610169">
      <w:pPr>
        <w:rPr>
          <w:rFonts w:ascii="KaiTi" w:eastAsia="KaiTi" w:hAnsi="KaiTi"/>
        </w:rPr>
      </w:pPr>
    </w:p>
    <w:p w14:paraId="76BE4D8D" w14:textId="297D103B" w:rsidR="00610169" w:rsidRPr="000C1D9B" w:rsidRDefault="00610169" w:rsidP="00610169">
      <w:pPr>
        <w:rPr>
          <w:rFonts w:ascii="KaiTi" w:eastAsia="KaiTi" w:hAnsi="KaiTi"/>
        </w:rPr>
      </w:pPr>
      <w:r w:rsidRPr="000C1D9B">
        <w:rPr>
          <w:rFonts w:ascii="KaiTi" w:eastAsia="KaiTi" w:hAnsi="KaiTi" w:hint="eastAsia"/>
        </w:rPr>
        <w:t>其中第一个组合更关注长期的增长，通过固定收益、房地产和优质股票的组合来实现</w:t>
      </w:r>
      <w:r w:rsidR="00974058" w:rsidRPr="000C1D9B">
        <w:rPr>
          <w:rFonts w:ascii="KaiTi" w:eastAsia="KaiTi" w:hAnsi="KaiTi" w:hint="eastAsia"/>
        </w:rPr>
        <w:t>，他们的配置比例为40%：25%：35%</w:t>
      </w:r>
      <w:r w:rsidRPr="000C1D9B">
        <w:rPr>
          <w:rFonts w:ascii="KaiTi" w:eastAsia="KaiTi" w:hAnsi="KaiTi" w:hint="eastAsia"/>
        </w:rPr>
        <w:t>。</w:t>
      </w:r>
    </w:p>
    <w:p w14:paraId="715FE02C" w14:textId="7D835BD4" w:rsidR="00610169" w:rsidRPr="000C1D9B" w:rsidRDefault="00610169" w:rsidP="00610169">
      <w:pPr>
        <w:rPr>
          <w:rFonts w:ascii="KaiTi" w:eastAsia="KaiTi" w:hAnsi="KaiTi"/>
        </w:rPr>
      </w:pPr>
      <w:r w:rsidRPr="000C1D9B">
        <w:rPr>
          <w:rFonts w:ascii="KaiTi" w:eastAsia="KaiTi" w:hAnsi="KaiTi" w:hint="eastAsia"/>
        </w:rPr>
        <w:t>截止202</w:t>
      </w:r>
      <w:r w:rsidR="00026074">
        <w:rPr>
          <w:rFonts w:ascii="KaiTi" w:eastAsia="KaiTi" w:hAnsi="KaiTi" w:hint="eastAsia"/>
        </w:rPr>
        <w:t>5</w:t>
      </w:r>
      <w:r w:rsidRPr="000C1D9B">
        <w:rPr>
          <w:rFonts w:ascii="KaiTi" w:eastAsia="KaiTi" w:hAnsi="KaiTi" w:hint="eastAsia"/>
        </w:rPr>
        <w:t>年</w:t>
      </w:r>
      <w:r w:rsidR="00A829E3">
        <w:rPr>
          <w:rFonts w:ascii="KaiTi" w:eastAsia="KaiTi" w:hAnsi="KaiTi" w:hint="eastAsia"/>
        </w:rPr>
        <w:t>1</w:t>
      </w:r>
      <w:r w:rsidRPr="000C1D9B">
        <w:rPr>
          <w:rFonts w:ascii="KaiTi" w:eastAsia="KaiTi" w:hAnsi="KaiTi" w:hint="eastAsia"/>
        </w:rPr>
        <w:t>月2</w:t>
      </w:r>
      <w:r w:rsidR="00026074">
        <w:rPr>
          <w:rFonts w:ascii="KaiTi" w:eastAsia="KaiTi" w:hAnsi="KaiTi" w:hint="eastAsia"/>
        </w:rPr>
        <w:t>4</w:t>
      </w:r>
      <w:r w:rsidRPr="000C1D9B">
        <w:rPr>
          <w:rFonts w:ascii="KaiTi" w:eastAsia="KaiTi" w:hAnsi="KaiTi" w:hint="eastAsia"/>
        </w:rPr>
        <w:t>日，这个组合的运行情况如下：</w:t>
      </w:r>
    </w:p>
    <w:p w14:paraId="5965973B" w14:textId="36C71128" w:rsidR="00974058" w:rsidRPr="000C1D9B" w:rsidRDefault="00026074" w:rsidP="00610169">
      <w:pPr>
        <w:rPr>
          <w:rFonts w:ascii="KaiTi" w:eastAsia="KaiTi" w:hAnsi="KaiTi"/>
        </w:rPr>
      </w:pPr>
      <w:r w:rsidRPr="00026074">
        <w:rPr>
          <w:rFonts w:ascii="KaiTi" w:eastAsia="KaiTi" w:hAnsi="KaiTi"/>
          <w:noProof/>
        </w:rPr>
        <w:drawing>
          <wp:inline distT="0" distB="0" distL="0" distR="0" wp14:anchorId="0DEA0C91" wp14:editId="17D00EC1">
            <wp:extent cx="5943600" cy="1889125"/>
            <wp:effectExtent l="0" t="0" r="0" b="3175"/>
            <wp:docPr id="30014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47235" name=""/>
                    <pic:cNvPicPr/>
                  </pic:nvPicPr>
                  <pic:blipFill>
                    <a:blip r:embed="rId6"/>
                    <a:stretch>
                      <a:fillRect/>
                    </a:stretch>
                  </pic:blipFill>
                  <pic:spPr>
                    <a:xfrm>
                      <a:off x="0" y="0"/>
                      <a:ext cx="5943600" cy="1889125"/>
                    </a:xfrm>
                    <a:prstGeom prst="rect">
                      <a:avLst/>
                    </a:prstGeom>
                  </pic:spPr>
                </pic:pic>
              </a:graphicData>
            </a:graphic>
          </wp:inline>
        </w:drawing>
      </w:r>
    </w:p>
    <w:p w14:paraId="1F852137" w14:textId="03A0B32A" w:rsidR="00517DEA" w:rsidRDefault="00517DEA" w:rsidP="00610169">
      <w:pPr>
        <w:rPr>
          <w:rFonts w:ascii="KaiTi" w:eastAsia="KaiTi" w:hAnsi="KaiTi"/>
        </w:rPr>
      </w:pPr>
      <w:r>
        <w:rPr>
          <w:rFonts w:ascii="KaiTi" w:eastAsia="KaiTi" w:hAnsi="KaiTi" w:hint="eastAsia"/>
        </w:rPr>
        <w:t>上个</w:t>
      </w:r>
      <w:r w:rsidR="00A829E3">
        <w:rPr>
          <w:rFonts w:ascii="KaiTi" w:eastAsia="KaiTi" w:hAnsi="KaiTi" w:hint="eastAsia"/>
        </w:rPr>
        <w:t>月受美联储未来降息预期趋弱的影响，</w:t>
      </w:r>
      <w:r w:rsidR="00974058" w:rsidRPr="000C1D9B">
        <w:rPr>
          <w:rFonts w:ascii="KaiTi" w:eastAsia="KaiTi" w:hAnsi="KaiTi" w:hint="eastAsia"/>
        </w:rPr>
        <w:t>组合</w:t>
      </w:r>
      <w:r w:rsidR="00A829E3">
        <w:rPr>
          <w:rFonts w:ascii="KaiTi" w:eastAsia="KaiTi" w:hAnsi="KaiTi" w:hint="eastAsia"/>
        </w:rPr>
        <w:t>中的美国房地产基金净值出现了大幅下降，</w:t>
      </w:r>
      <w:r>
        <w:rPr>
          <w:rFonts w:ascii="KaiTi" w:eastAsia="KaiTi" w:hAnsi="KaiTi" w:hint="eastAsia"/>
        </w:rPr>
        <w:t>因此我们对组合进行了再平衡操作</w:t>
      </w:r>
      <w:r w:rsidR="00F702B7">
        <w:rPr>
          <w:rFonts w:ascii="KaiTi" w:eastAsia="KaiTi" w:hAnsi="KaiTi" w:hint="eastAsia"/>
        </w:rPr>
        <w:t>。</w:t>
      </w:r>
      <w:r>
        <w:rPr>
          <w:rFonts w:ascii="KaiTi" w:eastAsia="KaiTi" w:hAnsi="KaiTi" w:hint="eastAsia"/>
        </w:rPr>
        <w:t>本月市场有所回暖，股权和债券基金净值上涨，而房地产基金略有反弹。</w:t>
      </w:r>
    </w:p>
    <w:p w14:paraId="683305E0" w14:textId="67B85086" w:rsidR="00517DEA" w:rsidRPr="000C1D9B" w:rsidRDefault="00517DEA" w:rsidP="00610169">
      <w:pPr>
        <w:rPr>
          <w:rFonts w:ascii="KaiTi" w:eastAsia="KaiTi" w:hAnsi="KaiTi"/>
        </w:rPr>
      </w:pPr>
      <w:r>
        <w:rPr>
          <w:rFonts w:ascii="KaiTi" w:eastAsia="KaiTi" w:hAnsi="KaiTi" w:hint="eastAsia"/>
        </w:rPr>
        <w:t>组合整体累积表现为-0.2%。显而易见，是房地产基金拖了组合的后腿。随着对于降息变缓的悲观因素的缓解，商业房地产</w:t>
      </w:r>
      <w:r w:rsidR="00B14E80">
        <w:rPr>
          <w:rFonts w:ascii="KaiTi" w:eastAsia="KaiTi" w:hAnsi="KaiTi" w:hint="eastAsia"/>
        </w:rPr>
        <w:t>基金的表现</w:t>
      </w:r>
      <w:r w:rsidR="00DD4DD9">
        <w:rPr>
          <w:rFonts w:ascii="KaiTi" w:eastAsia="KaiTi" w:hAnsi="KaiTi" w:hint="eastAsia"/>
        </w:rPr>
        <w:t>值得期待</w:t>
      </w:r>
      <w:r w:rsidR="00B14E80">
        <w:rPr>
          <w:rFonts w:ascii="KaiTi" w:eastAsia="KaiTi" w:hAnsi="KaiTi" w:hint="eastAsia"/>
        </w:rPr>
        <w:t>。</w:t>
      </w:r>
    </w:p>
    <w:p w14:paraId="7D9CE0A1" w14:textId="77777777" w:rsidR="00B14E80" w:rsidRDefault="00B14E80" w:rsidP="00610169">
      <w:pPr>
        <w:rPr>
          <w:rFonts w:ascii="KaiTi" w:eastAsia="KaiTi" w:hAnsi="KaiTi"/>
          <w:b/>
          <w:bCs/>
        </w:rPr>
      </w:pPr>
    </w:p>
    <w:p w14:paraId="71D98BA2" w14:textId="06628C88" w:rsidR="00610169" w:rsidRPr="00B14E80" w:rsidRDefault="00610169" w:rsidP="00610169">
      <w:pPr>
        <w:rPr>
          <w:rFonts w:ascii="KaiTi" w:eastAsia="KaiTi" w:hAnsi="KaiTi"/>
          <w:b/>
          <w:bCs/>
        </w:rPr>
      </w:pPr>
      <w:r w:rsidRPr="000C1D9B">
        <w:rPr>
          <w:rFonts w:ascii="KaiTi" w:eastAsia="KaiTi" w:hAnsi="KaiTi" w:hint="eastAsia"/>
          <w:b/>
          <w:bCs/>
        </w:rPr>
        <w:t>组合2: 收息现金流 ILI CASH GENERATOR</w:t>
      </w:r>
    </w:p>
    <w:p w14:paraId="4AABE039" w14:textId="7B72C2E3" w:rsidR="00263AC5" w:rsidRPr="000C1D9B" w:rsidRDefault="00610169" w:rsidP="00263AC5">
      <w:pPr>
        <w:rPr>
          <w:rFonts w:ascii="KaiTi" w:eastAsia="KaiTi" w:hAnsi="KaiTi"/>
        </w:rPr>
      </w:pPr>
      <w:r w:rsidRPr="000C1D9B">
        <w:rPr>
          <w:rFonts w:ascii="KaiTi" w:eastAsia="KaiTi" w:hAnsi="KaiTi" w:hint="eastAsia"/>
        </w:rPr>
        <w:lastRenderedPageBreak/>
        <w:t>组合2选择派息型的基金，可以在投入后第一个月就开始收取分红，在储蓄分红险之外打造一个即时产生的被动现金流工具</w:t>
      </w:r>
      <w:r w:rsidR="00270CC8">
        <w:rPr>
          <w:rFonts w:ascii="KaiTi" w:eastAsia="KaiTi" w:hAnsi="KaiTi" w:hint="eastAsia"/>
        </w:rPr>
        <w:t>。该组合</w:t>
      </w:r>
      <w:r w:rsidR="00263AC5" w:rsidRPr="000C1D9B">
        <w:rPr>
          <w:rFonts w:ascii="KaiTi" w:eastAsia="KaiTi" w:hAnsi="KaiTi" w:hint="eastAsia"/>
        </w:rPr>
        <w:t>通过固定收益和</w:t>
      </w:r>
      <w:r w:rsidR="00263AC5">
        <w:rPr>
          <w:rFonts w:ascii="KaiTi" w:eastAsia="KaiTi" w:hAnsi="KaiTi" w:hint="eastAsia"/>
        </w:rPr>
        <w:t>美国</w:t>
      </w:r>
      <w:r w:rsidR="00263AC5" w:rsidRPr="000C1D9B">
        <w:rPr>
          <w:rFonts w:ascii="KaiTi" w:eastAsia="KaiTi" w:hAnsi="KaiTi" w:hint="eastAsia"/>
        </w:rPr>
        <w:t>优质股票的组合来实现，他们的配置比例为40%：</w:t>
      </w:r>
      <w:r w:rsidR="00263AC5">
        <w:rPr>
          <w:rFonts w:ascii="KaiTi" w:eastAsia="KaiTi" w:hAnsi="KaiTi" w:hint="eastAsia"/>
        </w:rPr>
        <w:t>60</w:t>
      </w:r>
      <w:r w:rsidR="00263AC5" w:rsidRPr="000C1D9B">
        <w:rPr>
          <w:rFonts w:ascii="KaiTi" w:eastAsia="KaiTi" w:hAnsi="KaiTi" w:hint="eastAsia"/>
        </w:rPr>
        <w:t>%。</w:t>
      </w:r>
    </w:p>
    <w:p w14:paraId="313B1F2B" w14:textId="0FE33AA5" w:rsidR="00610169" w:rsidRPr="000C1D9B" w:rsidRDefault="00F625EC" w:rsidP="00610169">
      <w:pPr>
        <w:rPr>
          <w:rFonts w:ascii="KaiTi" w:eastAsia="KaiTi" w:hAnsi="KaiTi"/>
        </w:rPr>
      </w:pPr>
      <w:r w:rsidRPr="000C1D9B">
        <w:rPr>
          <w:rFonts w:ascii="KaiTi" w:eastAsia="KaiTi" w:hAnsi="KaiTi" w:hint="eastAsia"/>
        </w:rPr>
        <w:t>初始投入约100万美金</w:t>
      </w:r>
      <w:r w:rsidR="00270CC8">
        <w:rPr>
          <w:rFonts w:ascii="KaiTi" w:eastAsia="KaiTi" w:hAnsi="KaiTi" w:hint="eastAsia"/>
        </w:rPr>
        <w:t>。</w:t>
      </w:r>
      <w:r w:rsidR="00610169" w:rsidRPr="000C1D9B">
        <w:rPr>
          <w:rFonts w:ascii="KaiTi" w:eastAsia="KaiTi" w:hAnsi="KaiTi" w:hint="eastAsia"/>
        </w:rPr>
        <w:t>按照买入价格，大约可以产生年化6.5%的分红收益，并按月派发。</w:t>
      </w:r>
    </w:p>
    <w:p w14:paraId="72F6AF63" w14:textId="290A594B" w:rsidR="00254FBC" w:rsidRDefault="00254FBC" w:rsidP="00610169">
      <w:pPr>
        <w:rPr>
          <w:rFonts w:ascii="KaiTi" w:eastAsia="KaiTi" w:hAnsi="KaiTi"/>
        </w:rPr>
      </w:pPr>
      <w:r w:rsidRPr="000C1D9B">
        <w:rPr>
          <w:rFonts w:ascii="KaiTi" w:eastAsia="KaiTi" w:hAnsi="KaiTi" w:hint="eastAsia"/>
        </w:rPr>
        <w:t>截止202</w:t>
      </w:r>
      <w:r w:rsidR="00026074">
        <w:rPr>
          <w:rFonts w:ascii="KaiTi" w:eastAsia="KaiTi" w:hAnsi="KaiTi" w:hint="eastAsia"/>
        </w:rPr>
        <w:t>5</w:t>
      </w:r>
      <w:r w:rsidRPr="000C1D9B">
        <w:rPr>
          <w:rFonts w:ascii="KaiTi" w:eastAsia="KaiTi" w:hAnsi="KaiTi" w:hint="eastAsia"/>
        </w:rPr>
        <w:t>年1月2</w:t>
      </w:r>
      <w:r w:rsidR="00026074">
        <w:rPr>
          <w:rFonts w:ascii="KaiTi" w:eastAsia="KaiTi" w:hAnsi="KaiTi" w:hint="eastAsia"/>
        </w:rPr>
        <w:t>4</w:t>
      </w:r>
      <w:r w:rsidRPr="000C1D9B">
        <w:rPr>
          <w:rFonts w:ascii="KaiTi" w:eastAsia="KaiTi" w:hAnsi="KaiTi" w:hint="eastAsia"/>
        </w:rPr>
        <w:t>日，组合运行情况：</w:t>
      </w:r>
    </w:p>
    <w:p w14:paraId="1D4748A3" w14:textId="648C2315" w:rsidR="00517DEA" w:rsidRPr="000C1D9B" w:rsidRDefault="00517DEA" w:rsidP="00610169">
      <w:pPr>
        <w:rPr>
          <w:rFonts w:ascii="KaiTi" w:eastAsia="KaiTi" w:hAnsi="KaiTi"/>
        </w:rPr>
      </w:pPr>
      <w:r w:rsidRPr="00517DEA">
        <w:rPr>
          <w:rFonts w:ascii="KaiTi" w:eastAsia="KaiTi" w:hAnsi="KaiTi"/>
          <w:noProof/>
        </w:rPr>
        <w:drawing>
          <wp:inline distT="0" distB="0" distL="0" distR="0" wp14:anchorId="6F2AD616" wp14:editId="1C612332">
            <wp:extent cx="5943600" cy="1694815"/>
            <wp:effectExtent l="0" t="0" r="0" b="0"/>
            <wp:docPr id="72932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25322" name=""/>
                    <pic:cNvPicPr/>
                  </pic:nvPicPr>
                  <pic:blipFill>
                    <a:blip r:embed="rId7"/>
                    <a:stretch>
                      <a:fillRect/>
                    </a:stretch>
                  </pic:blipFill>
                  <pic:spPr>
                    <a:xfrm>
                      <a:off x="0" y="0"/>
                      <a:ext cx="5943600" cy="1694815"/>
                    </a:xfrm>
                    <a:prstGeom prst="rect">
                      <a:avLst/>
                    </a:prstGeom>
                  </pic:spPr>
                </pic:pic>
              </a:graphicData>
            </a:graphic>
          </wp:inline>
        </w:drawing>
      </w:r>
    </w:p>
    <w:p w14:paraId="44278A57" w14:textId="009987B7" w:rsidR="00610169" w:rsidRPr="000C1D9B" w:rsidRDefault="00610169" w:rsidP="00610169">
      <w:pPr>
        <w:rPr>
          <w:rFonts w:ascii="KaiTi" w:eastAsia="KaiTi" w:hAnsi="KaiTi"/>
        </w:rPr>
      </w:pPr>
    </w:p>
    <w:p w14:paraId="23C6AB3C" w14:textId="12E996A1" w:rsidR="00604A99" w:rsidRPr="000C1D9B" w:rsidRDefault="00604A99" w:rsidP="00F625EC">
      <w:pPr>
        <w:rPr>
          <w:rFonts w:ascii="KaiTi" w:eastAsia="KaiTi" w:hAnsi="KaiTi"/>
        </w:rPr>
      </w:pPr>
      <w:r w:rsidRPr="000C1D9B">
        <w:rPr>
          <w:rFonts w:ascii="KaiTi" w:eastAsia="KaiTi" w:hAnsi="KaiTi" w:hint="eastAsia"/>
        </w:rPr>
        <w:t>从账面价格来看，本组合</w:t>
      </w:r>
      <w:r w:rsidR="00515263">
        <w:rPr>
          <w:rFonts w:ascii="KaiTi" w:eastAsia="KaiTi" w:hAnsi="KaiTi" w:hint="eastAsia"/>
        </w:rPr>
        <w:t>累计</w:t>
      </w:r>
      <w:r w:rsidRPr="000C1D9B">
        <w:rPr>
          <w:rFonts w:ascii="KaiTi" w:eastAsia="KaiTi" w:hAnsi="KaiTi" w:hint="eastAsia"/>
        </w:rPr>
        <w:t>表现为</w:t>
      </w:r>
      <w:r w:rsidR="00517DEA">
        <w:rPr>
          <w:rFonts w:ascii="KaiTi" w:eastAsia="KaiTi" w:hAnsi="KaiTi" w:hint="eastAsia"/>
        </w:rPr>
        <w:t>0.12</w:t>
      </w:r>
      <w:r w:rsidRPr="000C1D9B">
        <w:rPr>
          <w:rFonts w:ascii="KaiTi" w:eastAsia="KaiTi" w:hAnsi="KaiTi" w:hint="eastAsia"/>
        </w:rPr>
        <w:t>%，但如果</w:t>
      </w:r>
      <w:r w:rsidR="00A77AA2" w:rsidRPr="000C1D9B">
        <w:rPr>
          <w:rFonts w:ascii="KaiTi" w:eastAsia="KaiTi" w:hAnsi="KaiTi" w:hint="eastAsia"/>
        </w:rPr>
        <w:t>加上</w:t>
      </w:r>
      <w:r w:rsidR="00EA2E0B" w:rsidRPr="000C1D9B">
        <w:rPr>
          <w:rFonts w:ascii="KaiTi" w:eastAsia="KaiTi" w:hAnsi="KaiTi" w:hint="eastAsia"/>
        </w:rPr>
        <w:t>本</w:t>
      </w:r>
      <w:r w:rsidRPr="000C1D9B">
        <w:rPr>
          <w:rFonts w:ascii="KaiTi" w:eastAsia="KaiTi" w:hAnsi="KaiTi" w:hint="eastAsia"/>
        </w:rPr>
        <w:t>组合</w:t>
      </w:r>
      <w:r w:rsidR="00515263">
        <w:rPr>
          <w:rFonts w:ascii="KaiTi" w:eastAsia="KaiTi" w:hAnsi="KaiTi" w:hint="eastAsia"/>
        </w:rPr>
        <w:t>累计</w:t>
      </w:r>
      <w:r w:rsidRPr="000C1D9B">
        <w:rPr>
          <w:rFonts w:ascii="KaiTi" w:eastAsia="KaiTi" w:hAnsi="KaiTi" w:hint="eastAsia"/>
        </w:rPr>
        <w:t>发放</w:t>
      </w:r>
      <w:r w:rsidR="00185554">
        <w:rPr>
          <w:rFonts w:ascii="KaiTi" w:eastAsia="KaiTi" w:hAnsi="KaiTi" w:hint="eastAsia"/>
        </w:rPr>
        <w:t>的</w:t>
      </w:r>
      <w:r w:rsidRPr="000C1D9B">
        <w:rPr>
          <w:rFonts w:ascii="KaiTi" w:eastAsia="KaiTi" w:hAnsi="KaiTi" w:hint="eastAsia"/>
        </w:rPr>
        <w:t>分红，整体</w:t>
      </w:r>
      <w:r w:rsidR="00390AA6">
        <w:rPr>
          <w:rFonts w:ascii="KaiTi" w:eastAsia="KaiTi" w:hAnsi="KaiTi" w:hint="eastAsia"/>
        </w:rPr>
        <w:t>累积</w:t>
      </w:r>
      <w:r w:rsidR="00DB4456">
        <w:rPr>
          <w:rFonts w:ascii="KaiTi" w:eastAsia="KaiTi" w:hAnsi="KaiTi" w:hint="eastAsia"/>
        </w:rPr>
        <w:t>收益为</w:t>
      </w:r>
      <w:r w:rsidR="00390AA6">
        <w:rPr>
          <w:rFonts w:ascii="KaiTi" w:eastAsia="KaiTi" w:hAnsi="KaiTi" w:hint="eastAsia"/>
        </w:rPr>
        <w:t>1.76</w:t>
      </w:r>
      <w:r w:rsidR="00DB4456">
        <w:rPr>
          <w:rFonts w:ascii="KaiTi" w:eastAsia="KaiTi" w:hAnsi="KaiTi" w:hint="eastAsia"/>
        </w:rPr>
        <w:t>%</w:t>
      </w:r>
      <w:r w:rsidRPr="000C1D9B">
        <w:rPr>
          <w:rFonts w:ascii="KaiTi" w:eastAsia="KaiTi" w:hAnsi="KaiTi" w:hint="eastAsia"/>
        </w:rPr>
        <w:t>。</w:t>
      </w:r>
    </w:p>
    <w:p w14:paraId="1BE6FB44" w14:textId="74D4EC6B" w:rsidR="00415269" w:rsidRDefault="00B44E02" w:rsidP="00903A83">
      <w:pPr>
        <w:rPr>
          <w:rFonts w:ascii="KaiTi" w:eastAsia="KaiTi" w:hAnsi="KaiTi"/>
        </w:rPr>
      </w:pPr>
      <w:r>
        <w:rPr>
          <w:rFonts w:ascii="KaiTi" w:eastAsia="KaiTi" w:hAnsi="KaiTi" w:hint="eastAsia"/>
        </w:rPr>
        <w:t>在</w:t>
      </w:r>
      <w:r w:rsidR="00DD4DD9">
        <w:rPr>
          <w:rFonts w:ascii="KaiTi" w:eastAsia="KaiTi" w:hAnsi="KaiTi" w:hint="eastAsia"/>
        </w:rPr>
        <w:t>2021年</w:t>
      </w:r>
      <w:r>
        <w:rPr>
          <w:rFonts w:ascii="KaiTi" w:eastAsia="KaiTi" w:hAnsi="KaiTi" w:hint="eastAsia"/>
        </w:rPr>
        <w:t>10</w:t>
      </w:r>
      <w:r w:rsidR="00DD4DD9">
        <w:rPr>
          <w:rFonts w:ascii="KaiTi" w:eastAsia="KaiTi" w:hAnsi="KaiTi" w:hint="eastAsia"/>
        </w:rPr>
        <w:t>-12</w:t>
      </w:r>
      <w:r>
        <w:rPr>
          <w:rFonts w:ascii="KaiTi" w:eastAsia="KaiTi" w:hAnsi="KaiTi" w:hint="eastAsia"/>
        </w:rPr>
        <w:t>月</w:t>
      </w:r>
      <w:r w:rsidR="00DD4DD9">
        <w:rPr>
          <w:rFonts w:ascii="KaiTi" w:eastAsia="KaiTi" w:hAnsi="KaiTi" w:hint="eastAsia"/>
        </w:rPr>
        <w:t>，</w:t>
      </w:r>
      <w:r w:rsidR="00EA2E0B" w:rsidRPr="000C1D9B">
        <w:rPr>
          <w:rFonts w:ascii="KaiTi" w:eastAsia="KaiTi" w:hAnsi="KaiTi" w:hint="eastAsia"/>
        </w:rPr>
        <w:t>Z12美国中高等级债券基金派发$0.04/</w:t>
      </w:r>
      <w:r w:rsidR="00F625EC" w:rsidRPr="000C1D9B">
        <w:rPr>
          <w:rFonts w:ascii="KaiTi" w:eastAsia="KaiTi" w:hAnsi="KaiTi" w:hint="eastAsia"/>
        </w:rPr>
        <w:t>股</w:t>
      </w:r>
      <w:r w:rsidR="00EA2E0B" w:rsidRPr="000C1D9B">
        <w:rPr>
          <w:rFonts w:ascii="KaiTi" w:eastAsia="KaiTi" w:hAnsi="KaiTi" w:hint="eastAsia"/>
        </w:rPr>
        <w:t>，Z17美国优质股权基金派发了$0.054/股。</w:t>
      </w:r>
      <w:r w:rsidR="00F625EC" w:rsidRPr="000C1D9B">
        <w:rPr>
          <w:rFonts w:ascii="KaiTi" w:eastAsia="KaiTi" w:hAnsi="KaiTi" w:hint="eastAsia"/>
        </w:rPr>
        <w:t>合计投资者</w:t>
      </w:r>
      <w:r w:rsidR="00DB4456">
        <w:rPr>
          <w:rFonts w:ascii="KaiTi" w:eastAsia="KaiTi" w:hAnsi="KaiTi" w:hint="eastAsia"/>
        </w:rPr>
        <w:t>已累计</w:t>
      </w:r>
      <w:r w:rsidR="00F625EC" w:rsidRPr="000C1D9B">
        <w:rPr>
          <w:rFonts w:ascii="KaiTi" w:eastAsia="KaiTi" w:hAnsi="KaiTi" w:hint="eastAsia"/>
        </w:rPr>
        <w:t>获得$</w:t>
      </w:r>
      <w:r w:rsidR="00DB4456">
        <w:rPr>
          <w:rFonts w:ascii="KaiTi" w:eastAsia="KaiTi" w:hAnsi="KaiTi" w:hint="eastAsia"/>
        </w:rPr>
        <w:t>1</w:t>
      </w:r>
      <w:r w:rsidR="00390AA6">
        <w:rPr>
          <w:rFonts w:ascii="KaiTi" w:eastAsia="KaiTi" w:hAnsi="KaiTi" w:hint="eastAsia"/>
        </w:rPr>
        <w:t>6403</w:t>
      </w:r>
      <w:r w:rsidR="00185554">
        <w:rPr>
          <w:rFonts w:ascii="KaiTi" w:eastAsia="KaiTi" w:hAnsi="KaiTi" w:hint="eastAsia"/>
        </w:rPr>
        <w:t>（折合人民币</w:t>
      </w:r>
      <w:r w:rsidR="00390AA6">
        <w:rPr>
          <w:rFonts w:ascii="KaiTi" w:eastAsia="KaiTi" w:hAnsi="KaiTi" w:hint="eastAsia"/>
        </w:rPr>
        <w:t>118101.6</w:t>
      </w:r>
      <w:r w:rsidR="00185554">
        <w:rPr>
          <w:rFonts w:ascii="KaiTi" w:eastAsia="KaiTi" w:hAnsi="KaiTi" w:hint="eastAsia"/>
        </w:rPr>
        <w:t>元</w:t>
      </w:r>
      <w:r w:rsidR="00DB4456">
        <w:rPr>
          <w:rFonts w:ascii="KaiTi" w:eastAsia="KaiTi" w:hAnsi="KaiTi" w:hint="eastAsia"/>
        </w:rPr>
        <w:t>，汇率按照7.2计算</w:t>
      </w:r>
      <w:r w:rsidR="00185554">
        <w:rPr>
          <w:rFonts w:ascii="KaiTi" w:eastAsia="KaiTi" w:hAnsi="KaiTi" w:hint="eastAsia"/>
        </w:rPr>
        <w:t>）</w:t>
      </w:r>
      <w:r w:rsidR="00254FBC" w:rsidRPr="000C1D9B">
        <w:rPr>
          <w:rFonts w:ascii="KaiTi" w:eastAsia="KaiTi" w:hAnsi="KaiTi" w:hint="eastAsia"/>
        </w:rPr>
        <w:t>的现金流收入，年化派息收益率为6.56%。</w:t>
      </w:r>
    </w:p>
    <w:tbl>
      <w:tblPr>
        <w:tblW w:w="0" w:type="auto"/>
        <w:tblLayout w:type="fixed"/>
        <w:tblLook w:val="04A0" w:firstRow="1" w:lastRow="0" w:firstColumn="1" w:lastColumn="0" w:noHBand="0" w:noVBand="1"/>
      </w:tblPr>
      <w:tblGrid>
        <w:gridCol w:w="1515"/>
        <w:gridCol w:w="1090"/>
        <w:gridCol w:w="879"/>
        <w:gridCol w:w="925"/>
        <w:gridCol w:w="925"/>
        <w:gridCol w:w="1102"/>
        <w:gridCol w:w="1209"/>
        <w:gridCol w:w="1170"/>
      </w:tblGrid>
      <w:tr w:rsidR="00390AA6" w:rsidRPr="00390AA6" w14:paraId="23FD5246" w14:textId="77777777" w:rsidTr="00390AA6">
        <w:trPr>
          <w:trHeight w:val="320"/>
        </w:trPr>
        <w:tc>
          <w:tcPr>
            <w:tcW w:w="15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9B3C01" w14:textId="77777777" w:rsidR="00390AA6" w:rsidRPr="00390AA6" w:rsidRDefault="00390AA6" w:rsidP="00390AA6">
            <w:pPr>
              <w:spacing w:after="0" w:line="240" w:lineRule="auto"/>
              <w:rPr>
                <w:rFonts w:ascii="Arial" w:eastAsia="Times New Roman" w:hAnsi="Arial" w:cs="Arial"/>
                <w:color w:val="000000"/>
                <w:kern w:val="0"/>
                <w:sz w:val="21"/>
                <w:szCs w:val="21"/>
                <w14:ligatures w14:val="none"/>
              </w:rPr>
            </w:pPr>
            <w:r w:rsidRPr="00390AA6">
              <w:rPr>
                <w:rFonts w:ascii="Arial" w:eastAsia="Microsoft JhengHei" w:hAnsi="Arial" w:cs="Arial"/>
                <w:color w:val="000000"/>
                <w:kern w:val="0"/>
                <w:sz w:val="21"/>
                <w:szCs w:val="21"/>
                <w14:ligatures w14:val="none"/>
              </w:rPr>
              <w:t>基金名称</w:t>
            </w:r>
          </w:p>
        </w:tc>
        <w:tc>
          <w:tcPr>
            <w:tcW w:w="1090" w:type="dxa"/>
            <w:tcBorders>
              <w:top w:val="single" w:sz="4" w:space="0" w:color="auto"/>
              <w:left w:val="nil"/>
              <w:bottom w:val="single" w:sz="4" w:space="0" w:color="auto"/>
              <w:right w:val="single" w:sz="4" w:space="0" w:color="auto"/>
            </w:tcBorders>
            <w:shd w:val="clear" w:color="auto" w:fill="auto"/>
            <w:noWrap/>
            <w:vAlign w:val="center"/>
            <w:hideMark/>
          </w:tcPr>
          <w:p w14:paraId="7359A4A3" w14:textId="77777777" w:rsidR="00390AA6" w:rsidRPr="00390AA6" w:rsidRDefault="00390AA6" w:rsidP="00390AA6">
            <w:pPr>
              <w:spacing w:after="0" w:line="240" w:lineRule="auto"/>
              <w:rPr>
                <w:rFonts w:ascii="Arial" w:eastAsia="Times New Roman" w:hAnsi="Arial" w:cs="Arial"/>
                <w:color w:val="000000"/>
                <w:kern w:val="0"/>
                <w:sz w:val="21"/>
                <w:szCs w:val="21"/>
                <w14:ligatures w14:val="none"/>
              </w:rPr>
            </w:pPr>
            <w:r w:rsidRPr="00390AA6">
              <w:rPr>
                <w:rFonts w:ascii="Arial" w:eastAsia="Microsoft JhengHei" w:hAnsi="Arial" w:cs="Arial"/>
                <w:color w:val="000000"/>
                <w:kern w:val="0"/>
                <w:sz w:val="21"/>
                <w:szCs w:val="21"/>
                <w14:ligatures w14:val="none"/>
              </w:rPr>
              <w:t>除净日期</w:t>
            </w:r>
          </w:p>
        </w:tc>
        <w:tc>
          <w:tcPr>
            <w:tcW w:w="879" w:type="dxa"/>
            <w:tcBorders>
              <w:top w:val="single" w:sz="4" w:space="0" w:color="auto"/>
              <w:left w:val="nil"/>
              <w:bottom w:val="single" w:sz="4" w:space="0" w:color="auto"/>
              <w:right w:val="single" w:sz="4" w:space="0" w:color="auto"/>
            </w:tcBorders>
            <w:shd w:val="clear" w:color="auto" w:fill="auto"/>
            <w:noWrap/>
            <w:vAlign w:val="center"/>
            <w:hideMark/>
          </w:tcPr>
          <w:p w14:paraId="510DFCD9" w14:textId="77777777" w:rsidR="00390AA6" w:rsidRPr="00390AA6" w:rsidRDefault="00390AA6" w:rsidP="00390AA6">
            <w:pPr>
              <w:spacing w:after="0" w:line="240" w:lineRule="auto"/>
              <w:rPr>
                <w:rFonts w:ascii="Arial" w:eastAsia="Times New Roman" w:hAnsi="Arial" w:cs="Arial"/>
                <w:color w:val="000000"/>
                <w:kern w:val="0"/>
                <w:sz w:val="21"/>
                <w:szCs w:val="21"/>
                <w14:ligatures w14:val="none"/>
              </w:rPr>
            </w:pPr>
            <w:r w:rsidRPr="00390AA6">
              <w:rPr>
                <w:rFonts w:ascii="Arial" w:eastAsia="Microsoft JhengHei" w:hAnsi="Arial" w:cs="Arial"/>
                <w:color w:val="000000"/>
                <w:kern w:val="0"/>
                <w:sz w:val="21"/>
                <w:szCs w:val="21"/>
                <w14:ligatures w14:val="none"/>
              </w:rPr>
              <w:t>每单位派发</w:t>
            </w:r>
          </w:p>
        </w:tc>
        <w:tc>
          <w:tcPr>
            <w:tcW w:w="925" w:type="dxa"/>
            <w:tcBorders>
              <w:top w:val="single" w:sz="4" w:space="0" w:color="auto"/>
              <w:left w:val="nil"/>
              <w:bottom w:val="single" w:sz="4" w:space="0" w:color="auto"/>
              <w:right w:val="single" w:sz="4" w:space="0" w:color="auto"/>
            </w:tcBorders>
            <w:shd w:val="clear" w:color="auto" w:fill="auto"/>
            <w:noWrap/>
            <w:vAlign w:val="center"/>
            <w:hideMark/>
          </w:tcPr>
          <w:p w14:paraId="20A9DF6F" w14:textId="77777777" w:rsidR="00390AA6" w:rsidRPr="00390AA6" w:rsidRDefault="00390AA6" w:rsidP="00390AA6">
            <w:pPr>
              <w:spacing w:after="0" w:line="240" w:lineRule="auto"/>
              <w:rPr>
                <w:rFonts w:ascii="Arial" w:eastAsia="Times New Roman" w:hAnsi="Arial" w:cs="Arial"/>
                <w:color w:val="000000"/>
                <w:kern w:val="0"/>
                <w:sz w:val="21"/>
                <w:szCs w:val="21"/>
                <w14:ligatures w14:val="none"/>
              </w:rPr>
            </w:pPr>
            <w:r w:rsidRPr="00390AA6">
              <w:rPr>
                <w:rFonts w:ascii="Arial" w:eastAsia="Microsoft JhengHei" w:hAnsi="Arial" w:cs="Arial"/>
                <w:color w:val="000000"/>
                <w:kern w:val="0"/>
                <w:sz w:val="21"/>
                <w:szCs w:val="21"/>
                <w14:ligatures w14:val="none"/>
              </w:rPr>
              <w:t>持有份额</w:t>
            </w:r>
          </w:p>
        </w:tc>
        <w:tc>
          <w:tcPr>
            <w:tcW w:w="925" w:type="dxa"/>
            <w:tcBorders>
              <w:top w:val="single" w:sz="4" w:space="0" w:color="auto"/>
              <w:left w:val="nil"/>
              <w:bottom w:val="single" w:sz="4" w:space="0" w:color="auto"/>
              <w:right w:val="single" w:sz="4" w:space="0" w:color="auto"/>
            </w:tcBorders>
            <w:shd w:val="clear" w:color="auto" w:fill="auto"/>
            <w:noWrap/>
            <w:vAlign w:val="center"/>
            <w:hideMark/>
          </w:tcPr>
          <w:p w14:paraId="2FED6D8E" w14:textId="77777777" w:rsidR="00390AA6" w:rsidRPr="00390AA6" w:rsidRDefault="00390AA6" w:rsidP="00390AA6">
            <w:pPr>
              <w:spacing w:after="0" w:line="240" w:lineRule="auto"/>
              <w:rPr>
                <w:rFonts w:ascii="Arial" w:eastAsia="Times New Roman" w:hAnsi="Arial" w:cs="Arial"/>
                <w:color w:val="000000"/>
                <w:kern w:val="0"/>
                <w:sz w:val="21"/>
                <w:szCs w:val="21"/>
                <w14:ligatures w14:val="none"/>
              </w:rPr>
            </w:pPr>
            <w:r w:rsidRPr="00390AA6">
              <w:rPr>
                <w:rFonts w:ascii="Arial" w:eastAsia="Microsoft JhengHei" w:hAnsi="Arial" w:cs="Arial"/>
                <w:color w:val="000000"/>
                <w:kern w:val="0"/>
                <w:sz w:val="21"/>
                <w:szCs w:val="21"/>
                <w14:ligatures w14:val="none"/>
              </w:rPr>
              <w:t>派发合计</w:t>
            </w:r>
          </w:p>
        </w:tc>
        <w:tc>
          <w:tcPr>
            <w:tcW w:w="1102" w:type="dxa"/>
            <w:tcBorders>
              <w:top w:val="single" w:sz="4" w:space="0" w:color="auto"/>
              <w:left w:val="nil"/>
              <w:bottom w:val="single" w:sz="4" w:space="0" w:color="auto"/>
              <w:right w:val="single" w:sz="4" w:space="0" w:color="auto"/>
            </w:tcBorders>
            <w:shd w:val="clear" w:color="auto" w:fill="auto"/>
            <w:noWrap/>
            <w:vAlign w:val="center"/>
            <w:hideMark/>
          </w:tcPr>
          <w:p w14:paraId="4290BE52" w14:textId="77777777" w:rsidR="00390AA6" w:rsidRPr="00390AA6" w:rsidRDefault="00390AA6" w:rsidP="00390AA6">
            <w:pPr>
              <w:spacing w:after="0" w:line="240" w:lineRule="auto"/>
              <w:rPr>
                <w:rFonts w:ascii="Arial" w:eastAsia="Times New Roman" w:hAnsi="Arial" w:cs="Arial"/>
                <w:color w:val="000000"/>
                <w:kern w:val="0"/>
                <w:sz w:val="21"/>
                <w:szCs w:val="21"/>
                <w14:ligatures w14:val="none"/>
              </w:rPr>
            </w:pPr>
            <w:r w:rsidRPr="00390AA6">
              <w:rPr>
                <w:rFonts w:ascii="Arial" w:eastAsia="Microsoft JhengHei" w:hAnsi="Arial" w:cs="Arial"/>
                <w:color w:val="000000"/>
                <w:kern w:val="0"/>
                <w:sz w:val="21"/>
                <w:szCs w:val="21"/>
                <w14:ligatures w14:val="none"/>
              </w:rPr>
              <w:t>初始投资额</w:t>
            </w:r>
          </w:p>
        </w:tc>
        <w:tc>
          <w:tcPr>
            <w:tcW w:w="1209" w:type="dxa"/>
            <w:tcBorders>
              <w:top w:val="single" w:sz="4" w:space="0" w:color="auto"/>
              <w:left w:val="nil"/>
              <w:bottom w:val="single" w:sz="4" w:space="0" w:color="auto"/>
              <w:right w:val="single" w:sz="4" w:space="0" w:color="auto"/>
            </w:tcBorders>
            <w:shd w:val="clear" w:color="auto" w:fill="auto"/>
            <w:noWrap/>
            <w:vAlign w:val="center"/>
            <w:hideMark/>
          </w:tcPr>
          <w:p w14:paraId="45E2328B" w14:textId="77777777" w:rsidR="00390AA6" w:rsidRPr="00390AA6" w:rsidRDefault="00390AA6" w:rsidP="00390AA6">
            <w:pPr>
              <w:spacing w:after="0" w:line="240" w:lineRule="auto"/>
              <w:rPr>
                <w:rFonts w:ascii="Arial" w:eastAsia="Times New Roman" w:hAnsi="Arial" w:cs="Arial"/>
                <w:color w:val="000000"/>
                <w:kern w:val="0"/>
                <w:sz w:val="21"/>
                <w:szCs w:val="21"/>
                <w14:ligatures w14:val="none"/>
              </w:rPr>
            </w:pPr>
            <w:r w:rsidRPr="00390AA6">
              <w:rPr>
                <w:rFonts w:ascii="Arial" w:eastAsia="Microsoft JhengHei" w:hAnsi="Arial" w:cs="Arial"/>
                <w:color w:val="000000"/>
                <w:kern w:val="0"/>
                <w:sz w:val="21"/>
                <w:szCs w:val="21"/>
                <w14:ligatures w14:val="none"/>
              </w:rPr>
              <w:t>月度派息收益率</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14:paraId="11B9E7C6" w14:textId="77777777" w:rsidR="00390AA6" w:rsidRPr="00390AA6" w:rsidRDefault="00390AA6" w:rsidP="00390AA6">
            <w:pPr>
              <w:spacing w:after="0" w:line="240" w:lineRule="auto"/>
              <w:rPr>
                <w:rFonts w:ascii="Arial" w:eastAsia="Times New Roman" w:hAnsi="Arial" w:cs="Arial"/>
                <w:color w:val="000000"/>
                <w:kern w:val="0"/>
                <w:sz w:val="21"/>
                <w:szCs w:val="21"/>
                <w14:ligatures w14:val="none"/>
              </w:rPr>
            </w:pPr>
            <w:r w:rsidRPr="00390AA6">
              <w:rPr>
                <w:rFonts w:ascii="Arial" w:eastAsia="Microsoft JhengHei" w:hAnsi="Arial" w:cs="Arial"/>
                <w:color w:val="000000"/>
                <w:kern w:val="0"/>
                <w:sz w:val="21"/>
                <w:szCs w:val="21"/>
                <w14:ligatures w14:val="none"/>
              </w:rPr>
              <w:t>年化派息收益率</w:t>
            </w:r>
          </w:p>
        </w:tc>
      </w:tr>
      <w:tr w:rsidR="00390AA6" w:rsidRPr="00390AA6" w14:paraId="029B2740" w14:textId="77777777" w:rsidTr="00B6722C">
        <w:trPr>
          <w:trHeight w:val="320"/>
        </w:trPr>
        <w:tc>
          <w:tcPr>
            <w:tcW w:w="1515" w:type="dxa"/>
            <w:vMerge w:val="restart"/>
            <w:tcBorders>
              <w:top w:val="nil"/>
              <w:left w:val="single" w:sz="4" w:space="0" w:color="auto"/>
              <w:right w:val="single" w:sz="4" w:space="0" w:color="auto"/>
            </w:tcBorders>
            <w:shd w:val="clear" w:color="auto" w:fill="auto"/>
            <w:noWrap/>
            <w:vAlign w:val="center"/>
            <w:hideMark/>
          </w:tcPr>
          <w:p w14:paraId="484A1BE0"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 xml:space="preserve">Z12 </w:t>
            </w:r>
            <w:r w:rsidRPr="00390AA6">
              <w:rPr>
                <w:rFonts w:ascii="Arial" w:eastAsia="Microsoft JhengHei" w:hAnsi="Arial" w:cs="Arial"/>
                <w:color w:val="000000"/>
                <w:kern w:val="0"/>
                <w:sz w:val="21"/>
                <w:szCs w:val="21"/>
                <w14:ligatures w14:val="none"/>
              </w:rPr>
              <w:t>美国中高等级债券基金</w:t>
            </w:r>
          </w:p>
        </w:tc>
        <w:tc>
          <w:tcPr>
            <w:tcW w:w="1090" w:type="dxa"/>
            <w:tcBorders>
              <w:top w:val="nil"/>
              <w:left w:val="nil"/>
              <w:bottom w:val="single" w:sz="4" w:space="0" w:color="auto"/>
              <w:right w:val="single" w:sz="4" w:space="0" w:color="auto"/>
            </w:tcBorders>
            <w:shd w:val="clear" w:color="auto" w:fill="auto"/>
            <w:noWrap/>
            <w:vAlign w:val="center"/>
            <w:hideMark/>
          </w:tcPr>
          <w:p w14:paraId="5E1C2F0C"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11/1/24</w:t>
            </w:r>
          </w:p>
        </w:tc>
        <w:tc>
          <w:tcPr>
            <w:tcW w:w="879" w:type="dxa"/>
            <w:tcBorders>
              <w:top w:val="nil"/>
              <w:left w:val="nil"/>
              <w:bottom w:val="single" w:sz="4" w:space="0" w:color="auto"/>
              <w:right w:val="single" w:sz="4" w:space="0" w:color="auto"/>
            </w:tcBorders>
            <w:shd w:val="clear" w:color="auto" w:fill="auto"/>
            <w:noWrap/>
            <w:vAlign w:val="center"/>
            <w:hideMark/>
          </w:tcPr>
          <w:p w14:paraId="7A45D4EB"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0.04</w:t>
            </w:r>
          </w:p>
        </w:tc>
        <w:tc>
          <w:tcPr>
            <w:tcW w:w="925" w:type="dxa"/>
            <w:tcBorders>
              <w:top w:val="nil"/>
              <w:left w:val="nil"/>
              <w:bottom w:val="single" w:sz="4" w:space="0" w:color="auto"/>
              <w:right w:val="single" w:sz="4" w:space="0" w:color="auto"/>
            </w:tcBorders>
            <w:shd w:val="clear" w:color="auto" w:fill="auto"/>
            <w:noWrap/>
            <w:vAlign w:val="center"/>
            <w:hideMark/>
          </w:tcPr>
          <w:p w14:paraId="64063B59"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76825</w:t>
            </w:r>
          </w:p>
        </w:tc>
        <w:tc>
          <w:tcPr>
            <w:tcW w:w="925" w:type="dxa"/>
            <w:tcBorders>
              <w:top w:val="nil"/>
              <w:left w:val="nil"/>
              <w:bottom w:val="single" w:sz="4" w:space="0" w:color="auto"/>
              <w:right w:val="single" w:sz="4" w:space="0" w:color="auto"/>
            </w:tcBorders>
            <w:shd w:val="clear" w:color="auto" w:fill="auto"/>
            <w:noWrap/>
            <w:vAlign w:val="center"/>
            <w:hideMark/>
          </w:tcPr>
          <w:p w14:paraId="5E1FA876"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3073</w:t>
            </w:r>
          </w:p>
        </w:tc>
        <w:tc>
          <w:tcPr>
            <w:tcW w:w="1102" w:type="dxa"/>
            <w:tcBorders>
              <w:top w:val="nil"/>
              <w:left w:val="nil"/>
              <w:bottom w:val="single" w:sz="4" w:space="0" w:color="auto"/>
              <w:right w:val="single" w:sz="4" w:space="0" w:color="auto"/>
            </w:tcBorders>
            <w:shd w:val="clear" w:color="auto" w:fill="auto"/>
            <w:noWrap/>
            <w:vAlign w:val="center"/>
            <w:hideMark/>
          </w:tcPr>
          <w:p w14:paraId="7F8E9C9E"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600003</w:t>
            </w:r>
          </w:p>
        </w:tc>
        <w:tc>
          <w:tcPr>
            <w:tcW w:w="1209" w:type="dxa"/>
            <w:tcBorders>
              <w:top w:val="nil"/>
              <w:left w:val="nil"/>
              <w:bottom w:val="single" w:sz="4" w:space="0" w:color="auto"/>
              <w:right w:val="single" w:sz="4" w:space="0" w:color="auto"/>
            </w:tcBorders>
            <w:shd w:val="clear" w:color="auto" w:fill="auto"/>
            <w:noWrap/>
            <w:vAlign w:val="center"/>
            <w:hideMark/>
          </w:tcPr>
          <w:p w14:paraId="1D1B4CDE"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0.51%</w:t>
            </w:r>
          </w:p>
        </w:tc>
        <w:tc>
          <w:tcPr>
            <w:tcW w:w="1170" w:type="dxa"/>
            <w:tcBorders>
              <w:top w:val="nil"/>
              <w:left w:val="nil"/>
              <w:bottom w:val="single" w:sz="4" w:space="0" w:color="auto"/>
              <w:right w:val="single" w:sz="4" w:space="0" w:color="auto"/>
            </w:tcBorders>
            <w:shd w:val="clear" w:color="auto" w:fill="auto"/>
            <w:noWrap/>
            <w:vAlign w:val="center"/>
            <w:hideMark/>
          </w:tcPr>
          <w:p w14:paraId="3B6090AE"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6.15%</w:t>
            </w:r>
          </w:p>
        </w:tc>
      </w:tr>
      <w:tr w:rsidR="00390AA6" w:rsidRPr="00390AA6" w14:paraId="4582DD19" w14:textId="77777777" w:rsidTr="00B6722C">
        <w:trPr>
          <w:trHeight w:val="320"/>
        </w:trPr>
        <w:tc>
          <w:tcPr>
            <w:tcW w:w="1515" w:type="dxa"/>
            <w:vMerge/>
            <w:tcBorders>
              <w:left w:val="single" w:sz="4" w:space="0" w:color="auto"/>
              <w:right w:val="single" w:sz="4" w:space="0" w:color="auto"/>
            </w:tcBorders>
            <w:shd w:val="clear" w:color="auto" w:fill="auto"/>
            <w:noWrap/>
            <w:vAlign w:val="center"/>
            <w:hideMark/>
          </w:tcPr>
          <w:p w14:paraId="153D7308" w14:textId="1313074F" w:rsidR="00390AA6" w:rsidRPr="00390AA6" w:rsidRDefault="00390AA6" w:rsidP="00390AA6">
            <w:pPr>
              <w:spacing w:after="0" w:line="240" w:lineRule="auto"/>
              <w:jc w:val="center"/>
              <w:rPr>
                <w:rFonts w:ascii="Arial" w:eastAsia="Times New Roman" w:hAnsi="Arial" w:cs="Arial"/>
                <w:color w:val="467886"/>
                <w:kern w:val="0"/>
                <w:sz w:val="21"/>
                <w:szCs w:val="21"/>
                <w:u w:val="single"/>
                <w14:ligatures w14:val="none"/>
              </w:rPr>
            </w:pPr>
          </w:p>
        </w:tc>
        <w:tc>
          <w:tcPr>
            <w:tcW w:w="1090" w:type="dxa"/>
            <w:tcBorders>
              <w:top w:val="nil"/>
              <w:left w:val="nil"/>
              <w:bottom w:val="single" w:sz="4" w:space="0" w:color="auto"/>
              <w:right w:val="single" w:sz="4" w:space="0" w:color="auto"/>
            </w:tcBorders>
            <w:shd w:val="clear" w:color="auto" w:fill="auto"/>
            <w:noWrap/>
            <w:vAlign w:val="center"/>
            <w:hideMark/>
          </w:tcPr>
          <w:p w14:paraId="7172B6E6"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12/2/24</w:t>
            </w:r>
          </w:p>
        </w:tc>
        <w:tc>
          <w:tcPr>
            <w:tcW w:w="879" w:type="dxa"/>
            <w:tcBorders>
              <w:top w:val="nil"/>
              <w:left w:val="nil"/>
              <w:bottom w:val="single" w:sz="4" w:space="0" w:color="auto"/>
              <w:right w:val="single" w:sz="4" w:space="0" w:color="auto"/>
            </w:tcBorders>
            <w:shd w:val="clear" w:color="auto" w:fill="auto"/>
            <w:noWrap/>
            <w:vAlign w:val="center"/>
            <w:hideMark/>
          </w:tcPr>
          <w:p w14:paraId="58DF80DA"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0.04</w:t>
            </w:r>
          </w:p>
        </w:tc>
        <w:tc>
          <w:tcPr>
            <w:tcW w:w="925" w:type="dxa"/>
            <w:tcBorders>
              <w:top w:val="nil"/>
              <w:left w:val="nil"/>
              <w:bottom w:val="single" w:sz="4" w:space="0" w:color="auto"/>
              <w:right w:val="single" w:sz="4" w:space="0" w:color="auto"/>
            </w:tcBorders>
            <w:shd w:val="clear" w:color="auto" w:fill="auto"/>
            <w:noWrap/>
            <w:vAlign w:val="center"/>
            <w:hideMark/>
          </w:tcPr>
          <w:p w14:paraId="115F093C"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76825</w:t>
            </w:r>
          </w:p>
        </w:tc>
        <w:tc>
          <w:tcPr>
            <w:tcW w:w="925" w:type="dxa"/>
            <w:tcBorders>
              <w:top w:val="nil"/>
              <w:left w:val="nil"/>
              <w:bottom w:val="single" w:sz="4" w:space="0" w:color="auto"/>
              <w:right w:val="single" w:sz="4" w:space="0" w:color="auto"/>
            </w:tcBorders>
            <w:shd w:val="clear" w:color="auto" w:fill="auto"/>
            <w:noWrap/>
            <w:vAlign w:val="center"/>
            <w:hideMark/>
          </w:tcPr>
          <w:p w14:paraId="05F1F4B4"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3073</w:t>
            </w:r>
          </w:p>
        </w:tc>
        <w:tc>
          <w:tcPr>
            <w:tcW w:w="1102" w:type="dxa"/>
            <w:tcBorders>
              <w:top w:val="nil"/>
              <w:left w:val="nil"/>
              <w:bottom w:val="single" w:sz="4" w:space="0" w:color="auto"/>
              <w:right w:val="single" w:sz="4" w:space="0" w:color="auto"/>
            </w:tcBorders>
            <w:shd w:val="clear" w:color="auto" w:fill="auto"/>
            <w:noWrap/>
            <w:vAlign w:val="center"/>
            <w:hideMark/>
          </w:tcPr>
          <w:p w14:paraId="2E454FD2"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600003</w:t>
            </w:r>
          </w:p>
        </w:tc>
        <w:tc>
          <w:tcPr>
            <w:tcW w:w="1209" w:type="dxa"/>
            <w:tcBorders>
              <w:top w:val="nil"/>
              <w:left w:val="nil"/>
              <w:bottom w:val="single" w:sz="4" w:space="0" w:color="auto"/>
              <w:right w:val="single" w:sz="4" w:space="0" w:color="auto"/>
            </w:tcBorders>
            <w:shd w:val="clear" w:color="auto" w:fill="auto"/>
            <w:noWrap/>
            <w:vAlign w:val="center"/>
            <w:hideMark/>
          </w:tcPr>
          <w:p w14:paraId="3413E822"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0.51%</w:t>
            </w:r>
          </w:p>
        </w:tc>
        <w:tc>
          <w:tcPr>
            <w:tcW w:w="1170" w:type="dxa"/>
            <w:tcBorders>
              <w:top w:val="nil"/>
              <w:left w:val="nil"/>
              <w:bottom w:val="single" w:sz="4" w:space="0" w:color="auto"/>
              <w:right w:val="single" w:sz="4" w:space="0" w:color="auto"/>
            </w:tcBorders>
            <w:shd w:val="clear" w:color="auto" w:fill="auto"/>
            <w:noWrap/>
            <w:vAlign w:val="center"/>
            <w:hideMark/>
          </w:tcPr>
          <w:p w14:paraId="7ABD26B5"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6.15%</w:t>
            </w:r>
          </w:p>
        </w:tc>
      </w:tr>
      <w:tr w:rsidR="00390AA6" w:rsidRPr="00390AA6" w14:paraId="5ED4893E" w14:textId="77777777" w:rsidTr="00B6722C">
        <w:trPr>
          <w:trHeight w:val="320"/>
        </w:trPr>
        <w:tc>
          <w:tcPr>
            <w:tcW w:w="1515" w:type="dxa"/>
            <w:vMerge/>
            <w:tcBorders>
              <w:left w:val="single" w:sz="4" w:space="0" w:color="auto"/>
              <w:bottom w:val="single" w:sz="4" w:space="0" w:color="auto"/>
              <w:right w:val="single" w:sz="4" w:space="0" w:color="auto"/>
            </w:tcBorders>
            <w:shd w:val="clear" w:color="auto" w:fill="auto"/>
            <w:noWrap/>
            <w:vAlign w:val="center"/>
            <w:hideMark/>
          </w:tcPr>
          <w:p w14:paraId="4868DEC6" w14:textId="5C0C1BC4"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p>
        </w:tc>
        <w:tc>
          <w:tcPr>
            <w:tcW w:w="1090" w:type="dxa"/>
            <w:tcBorders>
              <w:top w:val="nil"/>
              <w:left w:val="nil"/>
              <w:bottom w:val="single" w:sz="4" w:space="0" w:color="auto"/>
              <w:right w:val="single" w:sz="4" w:space="0" w:color="auto"/>
            </w:tcBorders>
            <w:shd w:val="clear" w:color="auto" w:fill="auto"/>
            <w:noWrap/>
            <w:vAlign w:val="center"/>
            <w:hideMark/>
          </w:tcPr>
          <w:p w14:paraId="7A3731D6"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12/30/24</w:t>
            </w:r>
          </w:p>
        </w:tc>
        <w:tc>
          <w:tcPr>
            <w:tcW w:w="879" w:type="dxa"/>
            <w:tcBorders>
              <w:top w:val="nil"/>
              <w:left w:val="nil"/>
              <w:bottom w:val="single" w:sz="4" w:space="0" w:color="auto"/>
              <w:right w:val="single" w:sz="4" w:space="0" w:color="auto"/>
            </w:tcBorders>
            <w:shd w:val="clear" w:color="auto" w:fill="auto"/>
            <w:noWrap/>
            <w:vAlign w:val="center"/>
            <w:hideMark/>
          </w:tcPr>
          <w:p w14:paraId="327FCBC4"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0.04</w:t>
            </w:r>
          </w:p>
        </w:tc>
        <w:tc>
          <w:tcPr>
            <w:tcW w:w="925" w:type="dxa"/>
            <w:tcBorders>
              <w:top w:val="nil"/>
              <w:left w:val="nil"/>
              <w:bottom w:val="single" w:sz="4" w:space="0" w:color="auto"/>
              <w:right w:val="single" w:sz="4" w:space="0" w:color="auto"/>
            </w:tcBorders>
            <w:shd w:val="clear" w:color="auto" w:fill="auto"/>
            <w:noWrap/>
            <w:vAlign w:val="center"/>
            <w:hideMark/>
          </w:tcPr>
          <w:p w14:paraId="6BB8DCC4"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76825</w:t>
            </w:r>
          </w:p>
        </w:tc>
        <w:tc>
          <w:tcPr>
            <w:tcW w:w="925" w:type="dxa"/>
            <w:tcBorders>
              <w:top w:val="nil"/>
              <w:left w:val="nil"/>
              <w:bottom w:val="single" w:sz="4" w:space="0" w:color="auto"/>
              <w:right w:val="single" w:sz="4" w:space="0" w:color="auto"/>
            </w:tcBorders>
            <w:shd w:val="clear" w:color="auto" w:fill="auto"/>
            <w:noWrap/>
            <w:vAlign w:val="center"/>
            <w:hideMark/>
          </w:tcPr>
          <w:p w14:paraId="2DFA3EBE"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3073</w:t>
            </w:r>
          </w:p>
        </w:tc>
        <w:tc>
          <w:tcPr>
            <w:tcW w:w="1102" w:type="dxa"/>
            <w:tcBorders>
              <w:top w:val="nil"/>
              <w:left w:val="nil"/>
              <w:bottom w:val="single" w:sz="4" w:space="0" w:color="auto"/>
              <w:right w:val="single" w:sz="4" w:space="0" w:color="auto"/>
            </w:tcBorders>
            <w:shd w:val="clear" w:color="auto" w:fill="auto"/>
            <w:noWrap/>
            <w:vAlign w:val="center"/>
            <w:hideMark/>
          </w:tcPr>
          <w:p w14:paraId="7445DC4E"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600003</w:t>
            </w:r>
          </w:p>
        </w:tc>
        <w:tc>
          <w:tcPr>
            <w:tcW w:w="1209" w:type="dxa"/>
            <w:tcBorders>
              <w:top w:val="nil"/>
              <w:left w:val="nil"/>
              <w:bottom w:val="single" w:sz="4" w:space="0" w:color="auto"/>
              <w:right w:val="single" w:sz="4" w:space="0" w:color="auto"/>
            </w:tcBorders>
            <w:shd w:val="clear" w:color="auto" w:fill="auto"/>
            <w:noWrap/>
            <w:vAlign w:val="center"/>
            <w:hideMark/>
          </w:tcPr>
          <w:p w14:paraId="3721A202"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0.51%</w:t>
            </w:r>
          </w:p>
        </w:tc>
        <w:tc>
          <w:tcPr>
            <w:tcW w:w="1170" w:type="dxa"/>
            <w:tcBorders>
              <w:top w:val="nil"/>
              <w:left w:val="nil"/>
              <w:bottom w:val="single" w:sz="4" w:space="0" w:color="auto"/>
              <w:right w:val="single" w:sz="4" w:space="0" w:color="auto"/>
            </w:tcBorders>
            <w:shd w:val="clear" w:color="auto" w:fill="auto"/>
            <w:noWrap/>
            <w:vAlign w:val="center"/>
            <w:hideMark/>
          </w:tcPr>
          <w:p w14:paraId="2051025E"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6.15%</w:t>
            </w:r>
          </w:p>
        </w:tc>
      </w:tr>
      <w:tr w:rsidR="00390AA6" w:rsidRPr="00390AA6" w14:paraId="2B4E8175" w14:textId="77777777" w:rsidTr="005A31DF">
        <w:trPr>
          <w:trHeight w:val="320"/>
        </w:trPr>
        <w:tc>
          <w:tcPr>
            <w:tcW w:w="1515" w:type="dxa"/>
            <w:vMerge w:val="restart"/>
            <w:tcBorders>
              <w:top w:val="nil"/>
              <w:left w:val="single" w:sz="4" w:space="0" w:color="auto"/>
              <w:right w:val="single" w:sz="4" w:space="0" w:color="auto"/>
            </w:tcBorders>
            <w:shd w:val="clear" w:color="auto" w:fill="auto"/>
            <w:noWrap/>
            <w:vAlign w:val="center"/>
            <w:hideMark/>
          </w:tcPr>
          <w:p w14:paraId="1AA1F91A"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 xml:space="preserve">Z17 </w:t>
            </w:r>
            <w:r w:rsidRPr="00390AA6">
              <w:rPr>
                <w:rFonts w:ascii="Arial" w:eastAsia="Microsoft JhengHei" w:hAnsi="Arial" w:cs="Arial"/>
                <w:color w:val="000000"/>
                <w:kern w:val="0"/>
                <w:sz w:val="21"/>
                <w:szCs w:val="21"/>
                <w14:ligatures w14:val="none"/>
              </w:rPr>
              <w:t>美国优质股权基金</w:t>
            </w:r>
          </w:p>
        </w:tc>
        <w:tc>
          <w:tcPr>
            <w:tcW w:w="1090" w:type="dxa"/>
            <w:tcBorders>
              <w:top w:val="nil"/>
              <w:left w:val="nil"/>
              <w:bottom w:val="single" w:sz="4" w:space="0" w:color="auto"/>
              <w:right w:val="single" w:sz="4" w:space="0" w:color="auto"/>
            </w:tcBorders>
            <w:shd w:val="clear" w:color="auto" w:fill="auto"/>
            <w:noWrap/>
            <w:vAlign w:val="center"/>
            <w:hideMark/>
          </w:tcPr>
          <w:p w14:paraId="52DE0B4C"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10/30/24</w:t>
            </w:r>
          </w:p>
        </w:tc>
        <w:tc>
          <w:tcPr>
            <w:tcW w:w="879" w:type="dxa"/>
            <w:tcBorders>
              <w:top w:val="nil"/>
              <w:left w:val="nil"/>
              <w:bottom w:val="single" w:sz="4" w:space="0" w:color="auto"/>
              <w:right w:val="single" w:sz="4" w:space="0" w:color="auto"/>
            </w:tcBorders>
            <w:shd w:val="clear" w:color="auto" w:fill="auto"/>
            <w:noWrap/>
            <w:vAlign w:val="center"/>
            <w:hideMark/>
          </w:tcPr>
          <w:p w14:paraId="2B644CEF"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0.054</w:t>
            </w:r>
          </w:p>
        </w:tc>
        <w:tc>
          <w:tcPr>
            <w:tcW w:w="925" w:type="dxa"/>
            <w:tcBorders>
              <w:top w:val="nil"/>
              <w:left w:val="nil"/>
              <w:bottom w:val="single" w:sz="4" w:space="0" w:color="auto"/>
              <w:right w:val="single" w:sz="4" w:space="0" w:color="auto"/>
            </w:tcBorders>
            <w:shd w:val="clear" w:color="auto" w:fill="auto"/>
            <w:noWrap/>
            <w:vAlign w:val="center"/>
            <w:hideMark/>
          </w:tcPr>
          <w:p w14:paraId="41E83CFF"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44345</w:t>
            </w:r>
          </w:p>
        </w:tc>
        <w:tc>
          <w:tcPr>
            <w:tcW w:w="925" w:type="dxa"/>
            <w:tcBorders>
              <w:top w:val="nil"/>
              <w:left w:val="nil"/>
              <w:bottom w:val="single" w:sz="4" w:space="0" w:color="auto"/>
              <w:right w:val="single" w:sz="4" w:space="0" w:color="auto"/>
            </w:tcBorders>
            <w:shd w:val="clear" w:color="auto" w:fill="auto"/>
            <w:noWrap/>
            <w:vAlign w:val="center"/>
            <w:hideMark/>
          </w:tcPr>
          <w:p w14:paraId="0578EA1E"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2395</w:t>
            </w:r>
          </w:p>
        </w:tc>
        <w:tc>
          <w:tcPr>
            <w:tcW w:w="1102" w:type="dxa"/>
            <w:tcBorders>
              <w:top w:val="nil"/>
              <w:left w:val="nil"/>
              <w:bottom w:val="single" w:sz="4" w:space="0" w:color="auto"/>
              <w:right w:val="single" w:sz="4" w:space="0" w:color="auto"/>
            </w:tcBorders>
            <w:shd w:val="clear" w:color="auto" w:fill="auto"/>
            <w:noWrap/>
            <w:vAlign w:val="center"/>
            <w:hideMark/>
          </w:tcPr>
          <w:p w14:paraId="0ABA2E75"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399992</w:t>
            </w:r>
          </w:p>
        </w:tc>
        <w:tc>
          <w:tcPr>
            <w:tcW w:w="1209" w:type="dxa"/>
            <w:tcBorders>
              <w:top w:val="nil"/>
              <w:left w:val="nil"/>
              <w:bottom w:val="single" w:sz="4" w:space="0" w:color="auto"/>
              <w:right w:val="single" w:sz="4" w:space="0" w:color="auto"/>
            </w:tcBorders>
            <w:shd w:val="clear" w:color="auto" w:fill="auto"/>
            <w:noWrap/>
            <w:vAlign w:val="center"/>
            <w:hideMark/>
          </w:tcPr>
          <w:p w14:paraId="239502C4"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0.60%</w:t>
            </w:r>
          </w:p>
        </w:tc>
        <w:tc>
          <w:tcPr>
            <w:tcW w:w="1170" w:type="dxa"/>
            <w:tcBorders>
              <w:top w:val="nil"/>
              <w:left w:val="nil"/>
              <w:bottom w:val="single" w:sz="4" w:space="0" w:color="auto"/>
              <w:right w:val="single" w:sz="4" w:space="0" w:color="auto"/>
            </w:tcBorders>
            <w:shd w:val="clear" w:color="auto" w:fill="auto"/>
            <w:noWrap/>
            <w:vAlign w:val="center"/>
            <w:hideMark/>
          </w:tcPr>
          <w:p w14:paraId="2697DEE3"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7.18%</w:t>
            </w:r>
          </w:p>
        </w:tc>
      </w:tr>
      <w:tr w:rsidR="00390AA6" w:rsidRPr="00390AA6" w14:paraId="6251A4D9" w14:textId="77777777" w:rsidTr="005A31DF">
        <w:trPr>
          <w:trHeight w:val="320"/>
        </w:trPr>
        <w:tc>
          <w:tcPr>
            <w:tcW w:w="1515" w:type="dxa"/>
            <w:vMerge/>
            <w:tcBorders>
              <w:left w:val="single" w:sz="4" w:space="0" w:color="auto"/>
              <w:right w:val="single" w:sz="4" w:space="0" w:color="auto"/>
            </w:tcBorders>
            <w:shd w:val="clear" w:color="auto" w:fill="auto"/>
            <w:noWrap/>
            <w:vAlign w:val="center"/>
            <w:hideMark/>
          </w:tcPr>
          <w:p w14:paraId="7DC93AEB" w14:textId="579225A3" w:rsidR="00390AA6" w:rsidRPr="00390AA6" w:rsidRDefault="00390AA6" w:rsidP="00390AA6">
            <w:pPr>
              <w:spacing w:after="0" w:line="240" w:lineRule="auto"/>
              <w:jc w:val="center"/>
              <w:rPr>
                <w:rFonts w:ascii="Arial" w:eastAsia="Times New Roman" w:hAnsi="Arial" w:cs="Arial"/>
                <w:color w:val="467886"/>
                <w:kern w:val="0"/>
                <w:sz w:val="21"/>
                <w:szCs w:val="21"/>
                <w:u w:val="single"/>
                <w14:ligatures w14:val="none"/>
              </w:rPr>
            </w:pPr>
          </w:p>
        </w:tc>
        <w:tc>
          <w:tcPr>
            <w:tcW w:w="1090" w:type="dxa"/>
            <w:tcBorders>
              <w:top w:val="nil"/>
              <w:left w:val="nil"/>
              <w:bottom w:val="single" w:sz="4" w:space="0" w:color="auto"/>
              <w:right w:val="single" w:sz="4" w:space="0" w:color="auto"/>
            </w:tcBorders>
            <w:shd w:val="clear" w:color="auto" w:fill="auto"/>
            <w:noWrap/>
            <w:vAlign w:val="center"/>
            <w:hideMark/>
          </w:tcPr>
          <w:p w14:paraId="2BE64C46"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11/28/24</w:t>
            </w:r>
          </w:p>
        </w:tc>
        <w:tc>
          <w:tcPr>
            <w:tcW w:w="879" w:type="dxa"/>
            <w:tcBorders>
              <w:top w:val="nil"/>
              <w:left w:val="nil"/>
              <w:bottom w:val="single" w:sz="4" w:space="0" w:color="auto"/>
              <w:right w:val="single" w:sz="4" w:space="0" w:color="auto"/>
            </w:tcBorders>
            <w:shd w:val="clear" w:color="auto" w:fill="auto"/>
            <w:noWrap/>
            <w:vAlign w:val="center"/>
            <w:hideMark/>
          </w:tcPr>
          <w:p w14:paraId="3D08D97E"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0.054</w:t>
            </w:r>
          </w:p>
        </w:tc>
        <w:tc>
          <w:tcPr>
            <w:tcW w:w="925" w:type="dxa"/>
            <w:tcBorders>
              <w:top w:val="nil"/>
              <w:left w:val="nil"/>
              <w:bottom w:val="single" w:sz="4" w:space="0" w:color="auto"/>
              <w:right w:val="single" w:sz="4" w:space="0" w:color="auto"/>
            </w:tcBorders>
            <w:shd w:val="clear" w:color="auto" w:fill="auto"/>
            <w:noWrap/>
            <w:vAlign w:val="center"/>
            <w:hideMark/>
          </w:tcPr>
          <w:p w14:paraId="178C9C3B"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44345</w:t>
            </w:r>
          </w:p>
        </w:tc>
        <w:tc>
          <w:tcPr>
            <w:tcW w:w="925" w:type="dxa"/>
            <w:tcBorders>
              <w:top w:val="nil"/>
              <w:left w:val="nil"/>
              <w:bottom w:val="single" w:sz="4" w:space="0" w:color="auto"/>
              <w:right w:val="single" w:sz="4" w:space="0" w:color="auto"/>
            </w:tcBorders>
            <w:shd w:val="clear" w:color="auto" w:fill="auto"/>
            <w:noWrap/>
            <w:vAlign w:val="center"/>
            <w:hideMark/>
          </w:tcPr>
          <w:p w14:paraId="085234AA"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2395</w:t>
            </w:r>
          </w:p>
        </w:tc>
        <w:tc>
          <w:tcPr>
            <w:tcW w:w="1102" w:type="dxa"/>
            <w:tcBorders>
              <w:top w:val="nil"/>
              <w:left w:val="nil"/>
              <w:bottom w:val="single" w:sz="4" w:space="0" w:color="auto"/>
              <w:right w:val="single" w:sz="4" w:space="0" w:color="auto"/>
            </w:tcBorders>
            <w:shd w:val="clear" w:color="auto" w:fill="auto"/>
            <w:noWrap/>
            <w:vAlign w:val="center"/>
            <w:hideMark/>
          </w:tcPr>
          <w:p w14:paraId="54BB1E32"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399992</w:t>
            </w:r>
          </w:p>
        </w:tc>
        <w:tc>
          <w:tcPr>
            <w:tcW w:w="1209" w:type="dxa"/>
            <w:tcBorders>
              <w:top w:val="nil"/>
              <w:left w:val="nil"/>
              <w:bottom w:val="single" w:sz="4" w:space="0" w:color="auto"/>
              <w:right w:val="single" w:sz="4" w:space="0" w:color="auto"/>
            </w:tcBorders>
            <w:shd w:val="clear" w:color="auto" w:fill="auto"/>
            <w:noWrap/>
            <w:vAlign w:val="center"/>
            <w:hideMark/>
          </w:tcPr>
          <w:p w14:paraId="29824619"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0.60%</w:t>
            </w:r>
          </w:p>
        </w:tc>
        <w:tc>
          <w:tcPr>
            <w:tcW w:w="1170" w:type="dxa"/>
            <w:tcBorders>
              <w:top w:val="nil"/>
              <w:left w:val="nil"/>
              <w:bottom w:val="single" w:sz="4" w:space="0" w:color="auto"/>
              <w:right w:val="single" w:sz="4" w:space="0" w:color="auto"/>
            </w:tcBorders>
            <w:shd w:val="clear" w:color="auto" w:fill="auto"/>
            <w:noWrap/>
            <w:vAlign w:val="center"/>
            <w:hideMark/>
          </w:tcPr>
          <w:p w14:paraId="05C7F012"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7.18%</w:t>
            </w:r>
          </w:p>
        </w:tc>
      </w:tr>
      <w:tr w:rsidR="00390AA6" w:rsidRPr="00390AA6" w14:paraId="34942B1E" w14:textId="77777777" w:rsidTr="005A31DF">
        <w:trPr>
          <w:trHeight w:val="320"/>
        </w:trPr>
        <w:tc>
          <w:tcPr>
            <w:tcW w:w="1515" w:type="dxa"/>
            <w:vMerge/>
            <w:tcBorders>
              <w:left w:val="single" w:sz="4" w:space="0" w:color="auto"/>
              <w:bottom w:val="single" w:sz="4" w:space="0" w:color="auto"/>
              <w:right w:val="single" w:sz="4" w:space="0" w:color="auto"/>
            </w:tcBorders>
            <w:shd w:val="clear" w:color="auto" w:fill="auto"/>
            <w:noWrap/>
            <w:vAlign w:val="center"/>
            <w:hideMark/>
          </w:tcPr>
          <w:p w14:paraId="712E0F84" w14:textId="1CBACC96"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p>
        </w:tc>
        <w:tc>
          <w:tcPr>
            <w:tcW w:w="1090" w:type="dxa"/>
            <w:tcBorders>
              <w:top w:val="nil"/>
              <w:left w:val="nil"/>
              <w:bottom w:val="single" w:sz="4" w:space="0" w:color="auto"/>
              <w:right w:val="single" w:sz="4" w:space="0" w:color="auto"/>
            </w:tcBorders>
            <w:shd w:val="clear" w:color="auto" w:fill="auto"/>
            <w:noWrap/>
            <w:vAlign w:val="center"/>
            <w:hideMark/>
          </w:tcPr>
          <w:p w14:paraId="0F16305E"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12/24/24</w:t>
            </w:r>
          </w:p>
        </w:tc>
        <w:tc>
          <w:tcPr>
            <w:tcW w:w="879" w:type="dxa"/>
            <w:tcBorders>
              <w:top w:val="nil"/>
              <w:left w:val="nil"/>
              <w:bottom w:val="single" w:sz="4" w:space="0" w:color="auto"/>
              <w:right w:val="single" w:sz="4" w:space="0" w:color="auto"/>
            </w:tcBorders>
            <w:shd w:val="clear" w:color="auto" w:fill="auto"/>
            <w:noWrap/>
            <w:vAlign w:val="center"/>
            <w:hideMark/>
          </w:tcPr>
          <w:p w14:paraId="614A51E6"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0.054</w:t>
            </w:r>
          </w:p>
        </w:tc>
        <w:tc>
          <w:tcPr>
            <w:tcW w:w="925" w:type="dxa"/>
            <w:tcBorders>
              <w:top w:val="nil"/>
              <w:left w:val="nil"/>
              <w:bottom w:val="single" w:sz="4" w:space="0" w:color="auto"/>
              <w:right w:val="single" w:sz="4" w:space="0" w:color="auto"/>
            </w:tcBorders>
            <w:shd w:val="clear" w:color="auto" w:fill="auto"/>
            <w:noWrap/>
            <w:vAlign w:val="center"/>
            <w:hideMark/>
          </w:tcPr>
          <w:p w14:paraId="7B34D6E4"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44345</w:t>
            </w:r>
          </w:p>
        </w:tc>
        <w:tc>
          <w:tcPr>
            <w:tcW w:w="925" w:type="dxa"/>
            <w:tcBorders>
              <w:top w:val="nil"/>
              <w:left w:val="nil"/>
              <w:bottom w:val="single" w:sz="4" w:space="0" w:color="auto"/>
              <w:right w:val="single" w:sz="4" w:space="0" w:color="auto"/>
            </w:tcBorders>
            <w:shd w:val="clear" w:color="auto" w:fill="auto"/>
            <w:noWrap/>
            <w:vAlign w:val="center"/>
            <w:hideMark/>
          </w:tcPr>
          <w:p w14:paraId="3524F013"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2395</w:t>
            </w:r>
          </w:p>
        </w:tc>
        <w:tc>
          <w:tcPr>
            <w:tcW w:w="1102" w:type="dxa"/>
            <w:tcBorders>
              <w:top w:val="nil"/>
              <w:left w:val="nil"/>
              <w:bottom w:val="single" w:sz="4" w:space="0" w:color="auto"/>
              <w:right w:val="single" w:sz="4" w:space="0" w:color="auto"/>
            </w:tcBorders>
            <w:shd w:val="clear" w:color="auto" w:fill="auto"/>
            <w:noWrap/>
            <w:vAlign w:val="center"/>
            <w:hideMark/>
          </w:tcPr>
          <w:p w14:paraId="651ADD7F"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399992</w:t>
            </w:r>
          </w:p>
        </w:tc>
        <w:tc>
          <w:tcPr>
            <w:tcW w:w="1209" w:type="dxa"/>
            <w:tcBorders>
              <w:top w:val="nil"/>
              <w:left w:val="nil"/>
              <w:bottom w:val="single" w:sz="4" w:space="0" w:color="auto"/>
              <w:right w:val="single" w:sz="4" w:space="0" w:color="auto"/>
            </w:tcBorders>
            <w:shd w:val="clear" w:color="auto" w:fill="auto"/>
            <w:noWrap/>
            <w:vAlign w:val="center"/>
            <w:hideMark/>
          </w:tcPr>
          <w:p w14:paraId="52B02DBF"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0.60%</w:t>
            </w:r>
          </w:p>
        </w:tc>
        <w:tc>
          <w:tcPr>
            <w:tcW w:w="1170" w:type="dxa"/>
            <w:tcBorders>
              <w:top w:val="nil"/>
              <w:left w:val="nil"/>
              <w:bottom w:val="single" w:sz="4" w:space="0" w:color="auto"/>
              <w:right w:val="single" w:sz="4" w:space="0" w:color="auto"/>
            </w:tcBorders>
            <w:shd w:val="clear" w:color="auto" w:fill="auto"/>
            <w:noWrap/>
            <w:vAlign w:val="center"/>
            <w:hideMark/>
          </w:tcPr>
          <w:p w14:paraId="4BD7E5B5"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7.18%</w:t>
            </w:r>
          </w:p>
        </w:tc>
      </w:tr>
      <w:tr w:rsidR="00390AA6" w:rsidRPr="00390AA6" w14:paraId="6D4BF838" w14:textId="77777777" w:rsidTr="00390AA6">
        <w:trPr>
          <w:trHeight w:val="320"/>
        </w:trPr>
        <w:tc>
          <w:tcPr>
            <w:tcW w:w="1515" w:type="dxa"/>
            <w:tcBorders>
              <w:top w:val="nil"/>
              <w:left w:val="single" w:sz="4" w:space="0" w:color="auto"/>
              <w:bottom w:val="single" w:sz="4" w:space="0" w:color="auto"/>
              <w:right w:val="single" w:sz="4" w:space="0" w:color="auto"/>
            </w:tcBorders>
            <w:shd w:val="clear" w:color="auto" w:fill="auto"/>
            <w:noWrap/>
            <w:vAlign w:val="center"/>
            <w:hideMark/>
          </w:tcPr>
          <w:p w14:paraId="3346F9FD" w14:textId="45475F53"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p>
        </w:tc>
        <w:tc>
          <w:tcPr>
            <w:tcW w:w="1090" w:type="dxa"/>
            <w:tcBorders>
              <w:top w:val="nil"/>
              <w:left w:val="nil"/>
              <w:bottom w:val="single" w:sz="4" w:space="0" w:color="auto"/>
              <w:right w:val="single" w:sz="4" w:space="0" w:color="auto"/>
            </w:tcBorders>
            <w:shd w:val="clear" w:color="auto" w:fill="auto"/>
            <w:noWrap/>
            <w:vAlign w:val="center"/>
            <w:hideMark/>
          </w:tcPr>
          <w:p w14:paraId="44F11B74" w14:textId="5E20BBE8"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p>
        </w:tc>
        <w:tc>
          <w:tcPr>
            <w:tcW w:w="879" w:type="dxa"/>
            <w:tcBorders>
              <w:top w:val="nil"/>
              <w:left w:val="nil"/>
              <w:bottom w:val="single" w:sz="4" w:space="0" w:color="auto"/>
              <w:right w:val="single" w:sz="4" w:space="0" w:color="auto"/>
            </w:tcBorders>
            <w:shd w:val="clear" w:color="auto" w:fill="auto"/>
            <w:noWrap/>
            <w:vAlign w:val="center"/>
            <w:hideMark/>
          </w:tcPr>
          <w:p w14:paraId="70B701FC" w14:textId="28D59B6F"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p>
        </w:tc>
        <w:tc>
          <w:tcPr>
            <w:tcW w:w="925" w:type="dxa"/>
            <w:tcBorders>
              <w:top w:val="nil"/>
              <w:left w:val="nil"/>
              <w:bottom w:val="single" w:sz="4" w:space="0" w:color="auto"/>
              <w:right w:val="single" w:sz="4" w:space="0" w:color="auto"/>
            </w:tcBorders>
            <w:shd w:val="clear" w:color="auto" w:fill="auto"/>
            <w:noWrap/>
            <w:vAlign w:val="center"/>
            <w:hideMark/>
          </w:tcPr>
          <w:p w14:paraId="37D42060"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Microsoft JhengHei" w:hAnsi="Arial" w:cs="Arial"/>
                <w:color w:val="000000"/>
                <w:kern w:val="0"/>
                <w:sz w:val="21"/>
                <w:szCs w:val="21"/>
                <w14:ligatures w14:val="none"/>
              </w:rPr>
              <w:t>合计</w:t>
            </w:r>
          </w:p>
        </w:tc>
        <w:tc>
          <w:tcPr>
            <w:tcW w:w="925" w:type="dxa"/>
            <w:tcBorders>
              <w:top w:val="nil"/>
              <w:left w:val="nil"/>
              <w:bottom w:val="single" w:sz="4" w:space="0" w:color="auto"/>
              <w:right w:val="single" w:sz="4" w:space="0" w:color="auto"/>
            </w:tcBorders>
            <w:shd w:val="clear" w:color="auto" w:fill="auto"/>
            <w:noWrap/>
            <w:vAlign w:val="center"/>
            <w:hideMark/>
          </w:tcPr>
          <w:p w14:paraId="5FEAD811" w14:textId="3A5A3E55"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16,403</w:t>
            </w:r>
          </w:p>
        </w:tc>
        <w:tc>
          <w:tcPr>
            <w:tcW w:w="1102" w:type="dxa"/>
            <w:tcBorders>
              <w:top w:val="nil"/>
              <w:left w:val="nil"/>
              <w:bottom w:val="single" w:sz="4" w:space="0" w:color="auto"/>
              <w:right w:val="single" w:sz="4" w:space="0" w:color="auto"/>
            </w:tcBorders>
            <w:shd w:val="clear" w:color="auto" w:fill="auto"/>
            <w:noWrap/>
            <w:vAlign w:val="center"/>
            <w:hideMark/>
          </w:tcPr>
          <w:p w14:paraId="4F6FF22B" w14:textId="6FD4AD7B"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999,995</w:t>
            </w:r>
          </w:p>
        </w:tc>
        <w:tc>
          <w:tcPr>
            <w:tcW w:w="1209" w:type="dxa"/>
            <w:tcBorders>
              <w:top w:val="nil"/>
              <w:left w:val="nil"/>
              <w:bottom w:val="single" w:sz="4" w:space="0" w:color="auto"/>
              <w:right w:val="single" w:sz="4" w:space="0" w:color="auto"/>
            </w:tcBorders>
            <w:shd w:val="clear" w:color="auto" w:fill="auto"/>
            <w:noWrap/>
            <w:vAlign w:val="center"/>
            <w:hideMark/>
          </w:tcPr>
          <w:p w14:paraId="14AA4E57"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0.55%</w:t>
            </w:r>
          </w:p>
        </w:tc>
        <w:tc>
          <w:tcPr>
            <w:tcW w:w="1170" w:type="dxa"/>
            <w:tcBorders>
              <w:top w:val="nil"/>
              <w:left w:val="nil"/>
              <w:bottom w:val="single" w:sz="4" w:space="0" w:color="auto"/>
              <w:right w:val="single" w:sz="4" w:space="0" w:color="auto"/>
            </w:tcBorders>
            <w:shd w:val="clear" w:color="auto" w:fill="auto"/>
            <w:noWrap/>
            <w:vAlign w:val="center"/>
            <w:hideMark/>
          </w:tcPr>
          <w:p w14:paraId="648C169A" w14:textId="77777777" w:rsidR="00390AA6" w:rsidRPr="00390AA6" w:rsidRDefault="00390AA6" w:rsidP="00390AA6">
            <w:pPr>
              <w:spacing w:after="0" w:line="240" w:lineRule="auto"/>
              <w:jc w:val="center"/>
              <w:rPr>
                <w:rFonts w:ascii="Arial" w:eastAsia="Times New Roman" w:hAnsi="Arial" w:cs="Arial"/>
                <w:color w:val="000000"/>
                <w:kern w:val="0"/>
                <w:sz w:val="21"/>
                <w:szCs w:val="21"/>
                <w14:ligatures w14:val="none"/>
              </w:rPr>
            </w:pPr>
            <w:r w:rsidRPr="00390AA6">
              <w:rPr>
                <w:rFonts w:ascii="Arial" w:eastAsia="Times New Roman" w:hAnsi="Arial" w:cs="Arial"/>
                <w:color w:val="000000"/>
                <w:kern w:val="0"/>
                <w:sz w:val="21"/>
                <w:szCs w:val="21"/>
                <w14:ligatures w14:val="none"/>
              </w:rPr>
              <w:t>6.56%</w:t>
            </w:r>
          </w:p>
        </w:tc>
      </w:tr>
    </w:tbl>
    <w:p w14:paraId="709CB1C5" w14:textId="76215B67" w:rsidR="00A77AA2" w:rsidRPr="002456EF" w:rsidRDefault="00390AA6" w:rsidP="000243A7">
      <w:pPr>
        <w:rPr>
          <w:rFonts w:ascii="KaiTi" w:eastAsia="KaiTi" w:hAnsi="KaiTi" w:cs="Arial"/>
          <w:sz w:val="21"/>
          <w:szCs w:val="21"/>
        </w:rPr>
      </w:pPr>
      <w:r w:rsidRPr="002456EF">
        <w:rPr>
          <w:rFonts w:ascii="KaiTi" w:eastAsia="KaiTi" w:hAnsi="KaiTi" w:cs="Arial" w:hint="eastAsia"/>
          <w:color w:val="FF0000"/>
          <w:sz w:val="21"/>
          <w:szCs w:val="21"/>
        </w:rPr>
        <w:t>勘误：Z12美国中高等级债券基金的除净日期在前面报告中有误，已修改。</w:t>
      </w:r>
    </w:p>
    <w:p w14:paraId="05E0FEEF" w14:textId="77777777" w:rsidR="00DD4DD9" w:rsidRDefault="00DD4DD9" w:rsidP="00A77AA2">
      <w:pPr>
        <w:pStyle w:val="p1"/>
        <w:rPr>
          <w:rFonts w:ascii="KaiTi" w:eastAsia="KaiTi" w:hAnsi="KaiTi" w:cs="Arial"/>
          <w:color w:val="auto"/>
          <w:kern w:val="2"/>
          <w:sz w:val="24"/>
          <w:szCs w:val="24"/>
          <w14:ligatures w14:val="standardContextual"/>
        </w:rPr>
      </w:pPr>
    </w:p>
    <w:p w14:paraId="6A0DA2B0" w14:textId="77777777" w:rsidR="00DD4DD9" w:rsidRDefault="00DD4DD9" w:rsidP="00A77AA2">
      <w:pPr>
        <w:pStyle w:val="p1"/>
        <w:rPr>
          <w:rFonts w:ascii="KaiTi" w:eastAsia="KaiTi" w:hAnsi="KaiTi" w:cs="Arial"/>
          <w:color w:val="auto"/>
          <w:kern w:val="2"/>
          <w:sz w:val="24"/>
          <w:szCs w:val="24"/>
          <w14:ligatures w14:val="standardContextual"/>
        </w:rPr>
      </w:pPr>
    </w:p>
    <w:p w14:paraId="738998F0" w14:textId="77777777" w:rsidR="00DD4DD9" w:rsidRDefault="00DD4DD9" w:rsidP="00A77AA2">
      <w:pPr>
        <w:pStyle w:val="p1"/>
        <w:rPr>
          <w:rFonts w:ascii="KaiTi" w:eastAsia="KaiTi" w:hAnsi="KaiTi" w:cs="Arial"/>
          <w:color w:val="auto"/>
          <w:kern w:val="2"/>
          <w:sz w:val="24"/>
          <w:szCs w:val="24"/>
          <w14:ligatures w14:val="standardContextual"/>
        </w:rPr>
      </w:pPr>
      <w:r w:rsidRPr="00DD4DD9">
        <w:rPr>
          <w:rFonts w:ascii="KaiTi" w:eastAsia="KaiTi" w:hAnsi="KaiTi" w:cs="Arial" w:hint="eastAsia"/>
          <w:color w:val="auto"/>
          <w:kern w:val="2"/>
          <w:sz w:val="24"/>
          <w:szCs w:val="24"/>
          <w14:ligatures w14:val="standardContextual"/>
        </w:rPr>
        <w:lastRenderedPageBreak/>
        <w:t>亲爱的客户朋友，2025年的新篇章已经拉开帷幕，全球经济与市场虽充满变数，但蕴藏着新的机遇。</w:t>
      </w:r>
    </w:p>
    <w:p w14:paraId="70AB30B8" w14:textId="77777777" w:rsidR="00DD4DD9" w:rsidRDefault="00DD4DD9" w:rsidP="00A77AA2">
      <w:pPr>
        <w:pStyle w:val="p1"/>
        <w:rPr>
          <w:rFonts w:ascii="KaiTi" w:eastAsia="KaiTi" w:hAnsi="KaiTi" w:cs="Arial"/>
          <w:color w:val="auto"/>
          <w:kern w:val="2"/>
          <w:sz w:val="24"/>
          <w:szCs w:val="24"/>
          <w14:ligatures w14:val="standardContextual"/>
        </w:rPr>
      </w:pPr>
    </w:p>
    <w:p w14:paraId="4B3D7856" w14:textId="77777777" w:rsidR="00DD4DD9" w:rsidRDefault="00DD4DD9" w:rsidP="00A77AA2">
      <w:pPr>
        <w:pStyle w:val="p1"/>
        <w:rPr>
          <w:rFonts w:ascii="KaiTi" w:eastAsia="KaiTi" w:hAnsi="KaiTi" w:cs="Arial"/>
          <w:color w:val="auto"/>
          <w:kern w:val="2"/>
          <w:sz w:val="24"/>
          <w:szCs w:val="24"/>
          <w14:ligatures w14:val="standardContextual"/>
        </w:rPr>
      </w:pPr>
      <w:r w:rsidRPr="00DD4DD9">
        <w:rPr>
          <w:rFonts w:ascii="KaiTi" w:eastAsia="KaiTi" w:hAnsi="KaiTi" w:cs="Arial" w:hint="eastAsia"/>
          <w:color w:val="auto"/>
          <w:kern w:val="2"/>
          <w:sz w:val="24"/>
          <w:szCs w:val="24"/>
          <w14:ligatures w14:val="standardContextual"/>
        </w:rPr>
        <w:t>展望未来，我们深知短期波动难以避免，但坚持长期投资的理念始终是通向财富增值的可靠之道。</w:t>
      </w:r>
    </w:p>
    <w:p w14:paraId="45079922" w14:textId="77777777" w:rsidR="00DD4DD9" w:rsidRDefault="00DD4DD9" w:rsidP="00A77AA2">
      <w:pPr>
        <w:pStyle w:val="p1"/>
        <w:rPr>
          <w:rFonts w:ascii="KaiTi" w:eastAsia="KaiTi" w:hAnsi="KaiTi" w:cs="Arial"/>
          <w:color w:val="auto"/>
          <w:kern w:val="2"/>
          <w:sz w:val="24"/>
          <w:szCs w:val="24"/>
          <w14:ligatures w14:val="standardContextual"/>
        </w:rPr>
      </w:pPr>
    </w:p>
    <w:p w14:paraId="7995D78E" w14:textId="103E6724" w:rsidR="00DC494F" w:rsidRDefault="00DD4DD9" w:rsidP="00A77AA2">
      <w:pPr>
        <w:pStyle w:val="p1"/>
        <w:rPr>
          <w:rFonts w:ascii="KaiTi" w:eastAsia="KaiTi" w:hAnsi="KaiTi" w:cs="Arial"/>
          <w:color w:val="auto"/>
          <w:kern w:val="2"/>
          <w:sz w:val="24"/>
          <w:szCs w:val="24"/>
          <w14:ligatures w14:val="standardContextual"/>
        </w:rPr>
      </w:pPr>
      <w:r w:rsidRPr="00DD4DD9">
        <w:rPr>
          <w:rFonts w:ascii="KaiTi" w:eastAsia="KaiTi" w:hAnsi="KaiTi" w:cs="Arial" w:hint="eastAsia"/>
          <w:color w:val="auto"/>
          <w:kern w:val="2"/>
          <w:sz w:val="24"/>
          <w:szCs w:val="24"/>
          <w14:ligatures w14:val="standardContextual"/>
        </w:rPr>
        <w:t>在这个过程中，我们将始终伴您左右，提供专业支持，与您共创更加美好的财智未来。祝愿您和家人身体健康、事业顺遂！让我们携手同行，共迎每一个投资的春天。</w:t>
      </w:r>
    </w:p>
    <w:p w14:paraId="7F341F31" w14:textId="77777777" w:rsidR="00DD4DD9" w:rsidRDefault="00DD4DD9" w:rsidP="00A77AA2">
      <w:pPr>
        <w:pStyle w:val="p1"/>
        <w:rPr>
          <w:rFonts w:ascii="KaiTi" w:eastAsia="KaiTi" w:hAnsi="KaiTi" w:cs="PingFang TC"/>
          <w:sz w:val="24"/>
          <w:szCs w:val="24"/>
        </w:rPr>
      </w:pPr>
    </w:p>
    <w:p w14:paraId="2D7579BF" w14:textId="77777777" w:rsidR="002456EF" w:rsidRDefault="002456EF" w:rsidP="00A77AA2">
      <w:pPr>
        <w:pStyle w:val="p1"/>
        <w:rPr>
          <w:rFonts w:ascii="KaiTi" w:eastAsia="KaiTi" w:hAnsi="KaiTi" w:cs="PingFang TC"/>
          <w:sz w:val="24"/>
          <w:szCs w:val="24"/>
        </w:rPr>
      </w:pPr>
    </w:p>
    <w:p w14:paraId="0C479408" w14:textId="19CDDB40" w:rsidR="00DC494F" w:rsidRPr="000C1D9B" w:rsidRDefault="002456EF" w:rsidP="00A77AA2">
      <w:pPr>
        <w:pStyle w:val="p1"/>
        <w:rPr>
          <w:rFonts w:ascii="KaiTi" w:eastAsia="KaiTi" w:hAnsi="KaiTi"/>
          <w:sz w:val="24"/>
          <w:szCs w:val="24"/>
        </w:rPr>
      </w:pPr>
      <w:r>
        <w:rPr>
          <w:rFonts w:ascii="KaiTi" w:eastAsia="KaiTi" w:hAnsi="KaiTi" w:cs="PingFang TC" w:hint="eastAsia"/>
          <w:sz w:val="24"/>
          <w:szCs w:val="24"/>
        </w:rPr>
        <w:t>旺达财智</w:t>
      </w:r>
      <w:r w:rsidR="00DC494F">
        <w:rPr>
          <w:rFonts w:ascii="KaiTi" w:eastAsia="KaiTi" w:hAnsi="KaiTi" w:cs="PingFang TC" w:hint="eastAsia"/>
          <w:sz w:val="24"/>
          <w:szCs w:val="24"/>
        </w:rPr>
        <w:t>团队</w:t>
      </w:r>
    </w:p>
    <w:p w14:paraId="17748B82" w14:textId="77777777" w:rsidR="00610169" w:rsidRDefault="00610169" w:rsidP="000243A7">
      <w:pPr>
        <w:rPr>
          <w:rFonts w:ascii="KaiTi" w:eastAsia="KaiTi" w:hAnsi="KaiTi" w:cs="Arial"/>
        </w:rPr>
      </w:pPr>
    </w:p>
    <w:p w14:paraId="2D9CDACE" w14:textId="7582EAE6" w:rsidR="002456EF" w:rsidRDefault="002456EF" w:rsidP="000243A7">
      <w:pPr>
        <w:rPr>
          <w:rFonts w:ascii="KaiTi" w:eastAsia="KaiTi" w:hAnsi="KaiTi" w:cs="Arial"/>
        </w:rPr>
      </w:pPr>
      <w:r>
        <w:rPr>
          <w:rFonts w:ascii="KaiTi" w:eastAsia="KaiTi" w:hAnsi="KaiTi" w:cs="Arial" w:hint="eastAsia"/>
        </w:rPr>
        <w:t>2025年1月17日</w:t>
      </w:r>
    </w:p>
    <w:p w14:paraId="442008DD" w14:textId="77777777" w:rsidR="00286491" w:rsidRDefault="00286491" w:rsidP="000243A7">
      <w:pPr>
        <w:rPr>
          <w:rFonts w:ascii="KaiTi" w:eastAsia="KaiTi" w:hAnsi="KaiTi" w:cs="Arial"/>
        </w:rPr>
      </w:pPr>
    </w:p>
    <w:p w14:paraId="710B16D5" w14:textId="77777777" w:rsidR="00286491" w:rsidRDefault="00286491" w:rsidP="00286491">
      <w:pPr>
        <w:rPr>
          <w:rFonts w:ascii="System Font" w:hAnsi="System Font" w:cs="System Font"/>
          <w:color w:val="0E0E0E"/>
          <w:kern w:val="0"/>
          <w:sz w:val="20"/>
          <w:szCs w:val="20"/>
        </w:rPr>
      </w:pPr>
      <w:r>
        <w:rPr>
          <w:rFonts w:ascii="System Font" w:hAnsi="System Font" w:cs="System Font" w:hint="eastAsia"/>
          <w:color w:val="0E0E0E"/>
          <w:kern w:val="0"/>
          <w:sz w:val="20"/>
          <w:szCs w:val="20"/>
        </w:rPr>
        <w:t>参考文章：</w:t>
      </w:r>
    </w:p>
    <w:p w14:paraId="5177CC0F" w14:textId="77777777" w:rsidR="00286491" w:rsidRDefault="00286491" w:rsidP="00286491">
      <w:pPr>
        <w:rPr>
          <w:rFonts w:ascii="System Font" w:hAnsi="System Font" w:cs="System Font"/>
          <w:color w:val="0E0E0E"/>
          <w:kern w:val="0"/>
          <w:sz w:val="20"/>
          <w:szCs w:val="20"/>
        </w:rPr>
      </w:pPr>
      <w:r>
        <w:rPr>
          <w:rFonts w:ascii="System Font" w:hAnsi="System Font" w:cs="System Font" w:hint="eastAsia"/>
          <w:color w:val="0E0E0E"/>
          <w:kern w:val="0"/>
          <w:sz w:val="20"/>
          <w:szCs w:val="20"/>
        </w:rPr>
        <w:t>客户通讯第一期</w:t>
      </w:r>
      <w:r>
        <w:rPr>
          <w:rFonts w:ascii="System Font" w:hAnsi="System Font" w:cs="System Font" w:hint="eastAsia"/>
          <w:color w:val="0E0E0E"/>
          <w:kern w:val="0"/>
          <w:sz w:val="20"/>
          <w:szCs w:val="20"/>
        </w:rPr>
        <w:t>241030</w:t>
      </w:r>
    </w:p>
    <w:p w14:paraId="7BDC3DD4" w14:textId="77777777" w:rsidR="00286491" w:rsidRDefault="00286491" w:rsidP="00286491">
      <w:pPr>
        <w:rPr>
          <w:rFonts w:ascii="System Font" w:hAnsi="System Font" w:cs="System Font"/>
          <w:color w:val="0E0E0E"/>
          <w:kern w:val="0"/>
          <w:sz w:val="20"/>
          <w:szCs w:val="20"/>
        </w:rPr>
      </w:pPr>
      <w:r>
        <w:rPr>
          <w:rFonts w:ascii="System Font" w:hAnsi="System Font" w:cs="System Font" w:hint="eastAsia"/>
          <w:color w:val="0E0E0E"/>
          <w:kern w:val="0"/>
          <w:sz w:val="20"/>
          <w:szCs w:val="20"/>
        </w:rPr>
        <w:t>客户通讯第二期</w:t>
      </w:r>
      <w:r>
        <w:rPr>
          <w:rFonts w:ascii="System Font" w:hAnsi="System Font" w:cs="System Font" w:hint="eastAsia"/>
          <w:color w:val="0E0E0E"/>
          <w:kern w:val="0"/>
          <w:sz w:val="20"/>
          <w:szCs w:val="20"/>
        </w:rPr>
        <w:t>241130</w:t>
      </w:r>
    </w:p>
    <w:p w14:paraId="4B3CDAD0" w14:textId="77777777" w:rsidR="00286491" w:rsidRDefault="00286491" w:rsidP="00286491">
      <w:pPr>
        <w:rPr>
          <w:rFonts w:ascii="System Font" w:hAnsi="System Font" w:cs="System Font"/>
          <w:color w:val="0E0E0E"/>
          <w:kern w:val="0"/>
          <w:sz w:val="20"/>
          <w:szCs w:val="20"/>
        </w:rPr>
      </w:pPr>
    </w:p>
    <w:p w14:paraId="78A32D82" w14:textId="77777777" w:rsidR="00286491" w:rsidRDefault="00286491" w:rsidP="00286491">
      <w:pPr>
        <w:rPr>
          <w:rFonts w:ascii="System Font" w:hAnsi="System Font" w:cs="System Font"/>
          <w:color w:val="0E0E0E"/>
          <w:kern w:val="0"/>
          <w:sz w:val="20"/>
          <w:szCs w:val="20"/>
        </w:rPr>
      </w:pPr>
      <w:r>
        <w:rPr>
          <w:rFonts w:ascii="System Font" w:hAnsi="System Font" w:cs="System Font" w:hint="eastAsia"/>
          <w:color w:val="0E0E0E"/>
          <w:kern w:val="0"/>
          <w:sz w:val="20"/>
          <w:szCs w:val="20"/>
        </w:rPr>
        <w:t>全球资产配置：穿越周期的科学之道</w:t>
      </w:r>
    </w:p>
    <w:p w14:paraId="2715CD2A" w14:textId="77777777" w:rsidR="00286491" w:rsidRDefault="00286491" w:rsidP="00286491">
      <w:pPr>
        <w:rPr>
          <w:rFonts w:ascii="System Font" w:hAnsi="System Font" w:cs="System Font"/>
          <w:color w:val="0E0E0E"/>
          <w:kern w:val="0"/>
          <w:sz w:val="20"/>
          <w:szCs w:val="20"/>
        </w:rPr>
      </w:pPr>
      <w:r>
        <w:rPr>
          <w:rFonts w:ascii="System Font" w:hAnsi="System Font" w:cs="System Font" w:hint="eastAsia"/>
          <w:color w:val="0E0E0E"/>
          <w:kern w:val="0"/>
          <w:sz w:val="20"/>
          <w:szCs w:val="20"/>
        </w:rPr>
        <w:t>美国大选倒计时：政策风暴如何重塑你的投资版图</w:t>
      </w:r>
    </w:p>
    <w:p w14:paraId="0A6C7E2E" w14:textId="77777777" w:rsidR="00286491" w:rsidRDefault="00286491" w:rsidP="00286491">
      <w:pPr>
        <w:rPr>
          <w:rFonts w:ascii="System Font" w:hAnsi="System Font" w:cs="System Font"/>
          <w:color w:val="0E0E0E"/>
          <w:kern w:val="0"/>
          <w:sz w:val="20"/>
          <w:szCs w:val="20"/>
        </w:rPr>
      </w:pPr>
      <w:hyperlink r:id="rId8" w:anchor="rd" w:history="1">
        <w:r w:rsidRPr="00621667">
          <w:rPr>
            <w:rStyle w:val="Hyperlink"/>
            <w:rFonts w:ascii="System Font" w:hAnsi="System Font" w:cs="System Font"/>
            <w:kern w:val="0"/>
            <w:sz w:val="20"/>
            <w:szCs w:val="20"/>
          </w:rPr>
          <w:t>海外投资系列</w:t>
        </w:r>
        <w:r w:rsidRPr="00621667">
          <w:rPr>
            <w:rStyle w:val="Hyperlink"/>
            <w:rFonts w:ascii="System Font" w:hAnsi="System Font" w:cs="System Font"/>
            <w:kern w:val="0"/>
            <w:sz w:val="20"/>
            <w:szCs w:val="20"/>
          </w:rPr>
          <w:t>1</w:t>
        </w:r>
        <w:r w:rsidRPr="00621667">
          <w:rPr>
            <w:rStyle w:val="Hyperlink"/>
            <w:rFonts w:ascii="System Font" w:hAnsi="System Font" w:cs="System Font"/>
            <w:kern w:val="0"/>
            <w:sz w:val="20"/>
            <w:szCs w:val="20"/>
          </w:rPr>
          <w:t>：什么是投资？探讨投资的底层逻辑与终极目标</w:t>
        </w:r>
      </w:hyperlink>
    </w:p>
    <w:p w14:paraId="7F316DD8" w14:textId="77777777" w:rsidR="00286491" w:rsidRDefault="00286491" w:rsidP="00286491">
      <w:pPr>
        <w:rPr>
          <w:rFonts w:ascii="System Font" w:hAnsi="System Font" w:cs="System Font"/>
          <w:color w:val="0E0E0E"/>
          <w:kern w:val="0"/>
          <w:sz w:val="20"/>
          <w:szCs w:val="20"/>
        </w:rPr>
      </w:pPr>
      <w:hyperlink r:id="rId9" w:anchor="rd" w:history="1">
        <w:r w:rsidRPr="00621667">
          <w:rPr>
            <w:rStyle w:val="Hyperlink"/>
            <w:rFonts w:ascii="System Font" w:hAnsi="System Font" w:cs="System Font"/>
            <w:kern w:val="0"/>
            <w:sz w:val="20"/>
            <w:szCs w:val="20"/>
          </w:rPr>
          <w:t>海外投资系列</w:t>
        </w:r>
        <w:r w:rsidRPr="00621667">
          <w:rPr>
            <w:rStyle w:val="Hyperlink"/>
            <w:rFonts w:ascii="System Font" w:hAnsi="System Font" w:cs="System Font"/>
            <w:kern w:val="0"/>
            <w:sz w:val="20"/>
            <w:szCs w:val="20"/>
          </w:rPr>
          <w:t>2</w:t>
        </w:r>
        <w:r w:rsidRPr="00621667">
          <w:rPr>
            <w:rStyle w:val="Hyperlink"/>
            <w:rFonts w:ascii="System Font" w:hAnsi="System Font" w:cs="System Font"/>
            <w:kern w:val="0"/>
            <w:sz w:val="20"/>
            <w:szCs w:val="20"/>
          </w:rPr>
          <w:t>：如何在波涛汹涌的投资市场中获得长期稳健收益？</w:t>
        </w:r>
      </w:hyperlink>
    </w:p>
    <w:p w14:paraId="6A6648FE" w14:textId="77777777" w:rsidR="00286491" w:rsidRDefault="00286491" w:rsidP="000243A7">
      <w:pPr>
        <w:rPr>
          <w:rFonts w:ascii="KaiTi" w:eastAsia="KaiTi" w:hAnsi="KaiTi" w:cs="Arial"/>
        </w:rPr>
      </w:pPr>
    </w:p>
    <w:p w14:paraId="488B58EC" w14:textId="77777777" w:rsidR="002456EF" w:rsidRDefault="002456EF" w:rsidP="000243A7">
      <w:pPr>
        <w:rPr>
          <w:rFonts w:ascii="KaiTi" w:eastAsia="KaiTi" w:hAnsi="KaiTi" w:cs="Arial"/>
        </w:rPr>
      </w:pPr>
    </w:p>
    <w:p w14:paraId="75A73E20" w14:textId="77777777"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b/>
          <w:bCs/>
          <w:color w:val="0E0E0E"/>
          <w:kern w:val="0"/>
          <w:szCs w:val="21"/>
        </w:rPr>
        <w:t>免责声明</w:t>
      </w:r>
    </w:p>
    <w:p w14:paraId="2C0737C1" w14:textId="77777777"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p>
    <w:p w14:paraId="18743E40" w14:textId="23D3801F"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t>本通讯中所提及的投资分析、市场信息及演示组合，均仅为团队分享和演示之用，</w:t>
      </w:r>
      <w:r w:rsidRPr="00403097">
        <w:rPr>
          <w:rFonts w:ascii="System Font" w:hAnsi="System Font" w:cs="System Font"/>
          <w:b/>
          <w:bCs/>
          <w:color w:val="0E0E0E"/>
          <w:kern w:val="0"/>
          <w:sz w:val="20"/>
          <w:szCs w:val="20"/>
        </w:rPr>
        <w:t>不构成任何形式的投资建议</w:t>
      </w:r>
      <w:r w:rsidRPr="00403097">
        <w:rPr>
          <w:rFonts w:ascii="System Font" w:hAnsi="System Font" w:cs="System Font"/>
          <w:color w:val="0E0E0E"/>
          <w:kern w:val="0"/>
          <w:sz w:val="20"/>
          <w:szCs w:val="20"/>
        </w:rPr>
        <w:t>。通讯中的所有内容和数据仅供参考，投资者应根据自身的财务状况、投资目标和风险承受能力，做出独立的投资判断。建议投资者在做出任何投资决策前，务必咨询</w:t>
      </w:r>
      <w:r>
        <w:rPr>
          <w:rFonts w:ascii="System Font" w:hAnsi="System Font" w:cs="System Font" w:hint="eastAsia"/>
          <w:color w:val="0E0E0E"/>
          <w:kern w:val="0"/>
          <w:sz w:val="20"/>
          <w:szCs w:val="20"/>
        </w:rPr>
        <w:t>持牌</w:t>
      </w:r>
      <w:r w:rsidRPr="00403097">
        <w:rPr>
          <w:rFonts w:ascii="System Font" w:hAnsi="System Font" w:cs="System Font"/>
          <w:color w:val="0E0E0E"/>
          <w:kern w:val="0"/>
          <w:sz w:val="20"/>
          <w:szCs w:val="20"/>
        </w:rPr>
        <w:t>财务顾问或相关专家。</w:t>
      </w:r>
    </w:p>
    <w:p w14:paraId="0961F492" w14:textId="03E6D90B"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lastRenderedPageBreak/>
        <w:t>本通讯所使用的信息和数据来源于我们认为可靠的公开市场及第三方平台，但我们</w:t>
      </w:r>
      <w:r w:rsidRPr="00403097">
        <w:rPr>
          <w:rFonts w:ascii="System Font" w:hAnsi="System Font" w:cs="System Font"/>
          <w:b/>
          <w:bCs/>
          <w:color w:val="0E0E0E"/>
          <w:kern w:val="0"/>
          <w:sz w:val="20"/>
          <w:szCs w:val="20"/>
        </w:rPr>
        <w:t>不对其准确性、完整性或及时性作任何保证</w:t>
      </w:r>
      <w:r w:rsidRPr="00403097">
        <w:rPr>
          <w:rFonts w:ascii="System Font" w:hAnsi="System Font" w:cs="System Font"/>
          <w:color w:val="0E0E0E"/>
          <w:kern w:val="0"/>
          <w:sz w:val="20"/>
          <w:szCs w:val="20"/>
        </w:rPr>
        <w:t>。市场情况可能会随着时间的推移发生变化，因此，文章中的内容可能不再适用或有效。</w:t>
      </w:r>
    </w:p>
    <w:p w14:paraId="172B6609" w14:textId="4A211BD0" w:rsidR="00E5410F" w:rsidRDefault="00E5410F" w:rsidP="00E5410F">
      <w:pPr>
        <w:rPr>
          <w:rFonts w:ascii="System Font" w:hAnsi="System Font" w:cs="System Font"/>
          <w:color w:val="0E0E0E"/>
          <w:kern w:val="0"/>
          <w:sz w:val="20"/>
          <w:szCs w:val="20"/>
        </w:rPr>
      </w:pPr>
      <w:r w:rsidRPr="00403097">
        <w:rPr>
          <w:rFonts w:ascii="System Font" w:hAnsi="System Font" w:cs="System Font"/>
          <w:color w:val="0E0E0E"/>
          <w:kern w:val="0"/>
          <w:sz w:val="20"/>
          <w:szCs w:val="20"/>
        </w:rPr>
        <w:t>投资涉及市场风险，尤其是在全球经济波动加剧的背景下，投资者可能会面临资本损失。</w:t>
      </w:r>
      <w:r w:rsidRPr="00F76D34">
        <w:rPr>
          <w:rFonts w:ascii="System Font" w:hAnsi="System Font" w:cs="System Font" w:hint="eastAsia"/>
          <w:b/>
          <w:bCs/>
          <w:color w:val="FF0000"/>
          <w:kern w:val="0"/>
          <w:sz w:val="20"/>
          <w:szCs w:val="20"/>
        </w:rPr>
        <w:t>除储蓄分红险最终会由保险公司兜底保本外</w:t>
      </w:r>
      <w:r>
        <w:rPr>
          <w:rFonts w:ascii="System Font" w:hAnsi="System Font" w:cs="System Font" w:hint="eastAsia"/>
          <w:color w:val="0E0E0E"/>
          <w:kern w:val="0"/>
          <w:sz w:val="20"/>
          <w:szCs w:val="20"/>
        </w:rPr>
        <w:t>，其他投资均有波动和资产损失的风险，</w:t>
      </w:r>
      <w:r w:rsidRPr="00403097">
        <w:rPr>
          <w:rFonts w:ascii="System Font" w:hAnsi="System Font" w:cs="System Font"/>
          <w:b/>
          <w:bCs/>
          <w:color w:val="0E0E0E"/>
          <w:kern w:val="0"/>
          <w:sz w:val="20"/>
          <w:szCs w:val="20"/>
        </w:rPr>
        <w:t>客户应自行承担所有投资风险</w:t>
      </w:r>
      <w:r w:rsidRPr="00403097">
        <w:rPr>
          <w:rFonts w:ascii="System Font" w:hAnsi="System Font" w:cs="System Font"/>
          <w:color w:val="0E0E0E"/>
          <w:kern w:val="0"/>
          <w:sz w:val="20"/>
          <w:szCs w:val="20"/>
        </w:rPr>
        <w:t>。我们不对任何因使用本文中所提供的信息而可能导致的损失负责。</w:t>
      </w:r>
    </w:p>
    <w:p w14:paraId="76F6198B" w14:textId="77777777" w:rsidR="00E5410F" w:rsidRDefault="00E5410F" w:rsidP="00E5410F">
      <w:pPr>
        <w:rPr>
          <w:rFonts w:ascii="System Font" w:hAnsi="System Font" w:cs="System Font"/>
          <w:color w:val="0E0E0E"/>
          <w:kern w:val="0"/>
          <w:sz w:val="20"/>
          <w:szCs w:val="20"/>
        </w:rPr>
      </w:pPr>
    </w:p>
    <w:p w14:paraId="239C3C31" w14:textId="58626359" w:rsidR="00E5410F" w:rsidRPr="00433533" w:rsidRDefault="00E5410F" w:rsidP="00433533">
      <w:pPr>
        <w:rPr>
          <w:rFonts w:ascii="KaiTi" w:eastAsia="KaiTi" w:hAnsi="KaiTi" w:cs="Arial"/>
        </w:rPr>
      </w:pPr>
    </w:p>
    <w:sectPr w:rsidR="00E5410F" w:rsidRPr="004335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SystemUIFont">
    <w:altName w:val="Cambria"/>
    <w:panose1 w:val="020B0604020202020204"/>
    <w:charset w:val="00"/>
    <w:family w:val="roman"/>
    <w:notTrueType/>
    <w:pitch w:val="default"/>
  </w:font>
  <w:font w:name="KaiTi">
    <w:panose1 w:val="02010609060101010101"/>
    <w:charset w:val="86"/>
    <w:family w:val="modern"/>
    <w:pitch w:val="fixed"/>
    <w:sig w:usb0="800002BF" w:usb1="38CF7CFA" w:usb2="00000016" w:usb3="00000000" w:csb0="00040001" w:csb1="00000000"/>
  </w:font>
  <w:font w:name="PingFang TC">
    <w:panose1 w:val="020B0400000000000000"/>
    <w:charset w:val="88"/>
    <w:family w:val="swiss"/>
    <w:pitch w:val="variable"/>
    <w:sig w:usb0="A00002FF" w:usb1="7ACFFDFB" w:usb2="00000017" w:usb3="00000000" w:csb0="00100001" w:csb1="00000000"/>
  </w:font>
  <w:font w:name="Arial">
    <w:panose1 w:val="020B0604020202020204"/>
    <w:charset w:val="00"/>
    <w:family w:val="swiss"/>
    <w:pitch w:val="variable"/>
    <w:sig w:usb0="E0002A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27F"/>
    <w:multiLevelType w:val="hybridMultilevel"/>
    <w:tmpl w:val="01C68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51300"/>
    <w:multiLevelType w:val="hybridMultilevel"/>
    <w:tmpl w:val="11067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BC329D"/>
    <w:multiLevelType w:val="hybridMultilevel"/>
    <w:tmpl w:val="3B2EC18E"/>
    <w:lvl w:ilvl="0" w:tplc="D5083EE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A762BD6"/>
    <w:multiLevelType w:val="hybridMultilevel"/>
    <w:tmpl w:val="EE888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3C36C0"/>
    <w:multiLevelType w:val="hybridMultilevel"/>
    <w:tmpl w:val="4ADC4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15A6AAA"/>
    <w:multiLevelType w:val="hybridMultilevel"/>
    <w:tmpl w:val="846EE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E753A6"/>
    <w:multiLevelType w:val="hybridMultilevel"/>
    <w:tmpl w:val="2A2660D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17211820">
    <w:abstractNumId w:val="2"/>
  </w:num>
  <w:num w:numId="2" w16cid:durableId="2016378384">
    <w:abstractNumId w:val="0"/>
  </w:num>
  <w:num w:numId="3" w16cid:durableId="853958204">
    <w:abstractNumId w:val="4"/>
  </w:num>
  <w:num w:numId="4" w16cid:durableId="755976737">
    <w:abstractNumId w:val="1"/>
  </w:num>
  <w:num w:numId="5" w16cid:durableId="195630654">
    <w:abstractNumId w:val="5"/>
  </w:num>
  <w:num w:numId="6" w16cid:durableId="428501775">
    <w:abstractNumId w:val="3"/>
  </w:num>
  <w:num w:numId="7" w16cid:durableId="13924581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269"/>
    <w:rsid w:val="00020B7C"/>
    <w:rsid w:val="000243A7"/>
    <w:rsid w:val="00026074"/>
    <w:rsid w:val="00050BCD"/>
    <w:rsid w:val="00095622"/>
    <w:rsid w:val="000C1D9B"/>
    <w:rsid w:val="00131974"/>
    <w:rsid w:val="00185554"/>
    <w:rsid w:val="0023228C"/>
    <w:rsid w:val="002456EF"/>
    <w:rsid w:val="00254FBC"/>
    <w:rsid w:val="00263AC5"/>
    <w:rsid w:val="00270CC8"/>
    <w:rsid w:val="00286491"/>
    <w:rsid w:val="002C7F1A"/>
    <w:rsid w:val="00390AA6"/>
    <w:rsid w:val="003B69DA"/>
    <w:rsid w:val="003F4E0A"/>
    <w:rsid w:val="00415269"/>
    <w:rsid w:val="004239E6"/>
    <w:rsid w:val="00433533"/>
    <w:rsid w:val="00515263"/>
    <w:rsid w:val="00517DEA"/>
    <w:rsid w:val="00562477"/>
    <w:rsid w:val="005F5E4D"/>
    <w:rsid w:val="00604A99"/>
    <w:rsid w:val="00610169"/>
    <w:rsid w:val="00661EDE"/>
    <w:rsid w:val="006D0C57"/>
    <w:rsid w:val="006F35F5"/>
    <w:rsid w:val="007719AD"/>
    <w:rsid w:val="007C75A8"/>
    <w:rsid w:val="00903A83"/>
    <w:rsid w:val="0093744D"/>
    <w:rsid w:val="0096773B"/>
    <w:rsid w:val="00974058"/>
    <w:rsid w:val="00974FF4"/>
    <w:rsid w:val="009E15E4"/>
    <w:rsid w:val="00A075F9"/>
    <w:rsid w:val="00A31C37"/>
    <w:rsid w:val="00A77AA2"/>
    <w:rsid w:val="00A829E3"/>
    <w:rsid w:val="00A92066"/>
    <w:rsid w:val="00A97851"/>
    <w:rsid w:val="00B14E80"/>
    <w:rsid w:val="00B44E02"/>
    <w:rsid w:val="00B87E04"/>
    <w:rsid w:val="00BF0608"/>
    <w:rsid w:val="00C25F33"/>
    <w:rsid w:val="00DB13C0"/>
    <w:rsid w:val="00DB4456"/>
    <w:rsid w:val="00DC494F"/>
    <w:rsid w:val="00DD4DD9"/>
    <w:rsid w:val="00E1323B"/>
    <w:rsid w:val="00E5410F"/>
    <w:rsid w:val="00E67E6B"/>
    <w:rsid w:val="00EA2E0B"/>
    <w:rsid w:val="00F50281"/>
    <w:rsid w:val="00F625EC"/>
    <w:rsid w:val="00F702B7"/>
    <w:rsid w:val="00F8452D"/>
    <w:rsid w:val="00FA66BE"/>
    <w:rsid w:val="00FA6DA6"/>
    <w:rsid w:val="00FB54A9"/>
    <w:rsid w:val="00FC35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5B85C"/>
  <w15:chartTrackingRefBased/>
  <w15:docId w15:val="{D7183B0E-E5E0-2A48-BD44-A94391682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269"/>
    <w:rPr>
      <w:rFonts w:eastAsiaTheme="majorEastAsia" w:cstheme="majorBidi"/>
      <w:color w:val="272727" w:themeColor="text1" w:themeTint="D8"/>
    </w:rPr>
  </w:style>
  <w:style w:type="paragraph" w:styleId="Title">
    <w:name w:val="Title"/>
    <w:basedOn w:val="Normal"/>
    <w:next w:val="Normal"/>
    <w:link w:val="TitleChar"/>
    <w:uiPriority w:val="10"/>
    <w:qFormat/>
    <w:rsid w:val="00415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269"/>
    <w:pPr>
      <w:spacing w:before="160"/>
      <w:jc w:val="center"/>
    </w:pPr>
    <w:rPr>
      <w:i/>
      <w:iCs/>
      <w:color w:val="404040" w:themeColor="text1" w:themeTint="BF"/>
    </w:rPr>
  </w:style>
  <w:style w:type="character" w:customStyle="1" w:styleId="QuoteChar">
    <w:name w:val="Quote Char"/>
    <w:basedOn w:val="DefaultParagraphFont"/>
    <w:link w:val="Quote"/>
    <w:uiPriority w:val="29"/>
    <w:rsid w:val="00415269"/>
    <w:rPr>
      <w:i/>
      <w:iCs/>
      <w:color w:val="404040" w:themeColor="text1" w:themeTint="BF"/>
    </w:rPr>
  </w:style>
  <w:style w:type="paragraph" w:styleId="ListParagraph">
    <w:name w:val="List Paragraph"/>
    <w:basedOn w:val="Normal"/>
    <w:uiPriority w:val="34"/>
    <w:qFormat/>
    <w:rsid w:val="00415269"/>
    <w:pPr>
      <w:ind w:left="720"/>
      <w:contextualSpacing/>
    </w:pPr>
  </w:style>
  <w:style w:type="character" w:styleId="IntenseEmphasis">
    <w:name w:val="Intense Emphasis"/>
    <w:basedOn w:val="DefaultParagraphFont"/>
    <w:uiPriority w:val="21"/>
    <w:qFormat/>
    <w:rsid w:val="00415269"/>
    <w:rPr>
      <w:i/>
      <w:iCs/>
      <w:color w:val="0F4761" w:themeColor="accent1" w:themeShade="BF"/>
    </w:rPr>
  </w:style>
  <w:style w:type="paragraph" w:styleId="IntenseQuote">
    <w:name w:val="Intense Quote"/>
    <w:basedOn w:val="Normal"/>
    <w:next w:val="Normal"/>
    <w:link w:val="IntenseQuoteChar"/>
    <w:uiPriority w:val="30"/>
    <w:qFormat/>
    <w:rsid w:val="00415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269"/>
    <w:rPr>
      <w:i/>
      <w:iCs/>
      <w:color w:val="0F4761" w:themeColor="accent1" w:themeShade="BF"/>
    </w:rPr>
  </w:style>
  <w:style w:type="character" w:styleId="IntenseReference">
    <w:name w:val="Intense Reference"/>
    <w:basedOn w:val="DefaultParagraphFont"/>
    <w:uiPriority w:val="32"/>
    <w:qFormat/>
    <w:rsid w:val="00415269"/>
    <w:rPr>
      <w:b/>
      <w:bCs/>
      <w:smallCaps/>
      <w:color w:val="0F4761" w:themeColor="accent1" w:themeShade="BF"/>
      <w:spacing w:val="5"/>
    </w:rPr>
  </w:style>
  <w:style w:type="character" w:styleId="Hyperlink">
    <w:name w:val="Hyperlink"/>
    <w:basedOn w:val="DefaultParagraphFont"/>
    <w:uiPriority w:val="99"/>
    <w:unhideWhenUsed/>
    <w:rsid w:val="00F50281"/>
    <w:rPr>
      <w:color w:val="467886" w:themeColor="hyperlink"/>
      <w:u w:val="single"/>
    </w:rPr>
  </w:style>
  <w:style w:type="character" w:styleId="UnresolvedMention">
    <w:name w:val="Unresolved Mention"/>
    <w:basedOn w:val="DefaultParagraphFont"/>
    <w:uiPriority w:val="99"/>
    <w:semiHidden/>
    <w:unhideWhenUsed/>
    <w:rsid w:val="00F50281"/>
    <w:rPr>
      <w:color w:val="605E5C"/>
      <w:shd w:val="clear" w:color="auto" w:fill="E1DFDD"/>
    </w:rPr>
  </w:style>
  <w:style w:type="table" w:styleId="TableGrid">
    <w:name w:val="Table Grid"/>
    <w:basedOn w:val="TableNormal"/>
    <w:uiPriority w:val="39"/>
    <w:rsid w:val="00F62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095622"/>
    <w:pPr>
      <w:spacing w:after="0" w:line="240" w:lineRule="auto"/>
    </w:pPr>
    <w:rPr>
      <w:rFonts w:ascii=".AppleSystemUIFont" w:eastAsia="Times New Roman" w:hAnsi=".AppleSystemUIFont" w:cs="Times New Roman"/>
      <w:color w:val="0E0E0E"/>
      <w:kern w:val="0"/>
      <w:sz w:val="21"/>
      <w:szCs w:val="21"/>
      <w14:ligatures w14:val="none"/>
    </w:rPr>
  </w:style>
  <w:style w:type="paragraph" w:customStyle="1" w:styleId="p2">
    <w:name w:val="p2"/>
    <w:basedOn w:val="Normal"/>
    <w:rsid w:val="00A77AA2"/>
    <w:pPr>
      <w:spacing w:after="0" w:line="240" w:lineRule="auto"/>
    </w:pPr>
    <w:rPr>
      <w:rFonts w:ascii=".AppleSystemUIFont" w:eastAsia="Times New Roman" w:hAnsi=".AppleSystemUIFont" w:cs="Times New Roman"/>
      <w:color w:val="0E0E0E"/>
      <w:kern w:val="0"/>
      <w:sz w:val="21"/>
      <w:szCs w:val="21"/>
      <w14:ligatures w14:val="none"/>
    </w:rPr>
  </w:style>
  <w:style w:type="paragraph" w:styleId="NormalWeb">
    <w:name w:val="Normal (Web)"/>
    <w:basedOn w:val="Normal"/>
    <w:uiPriority w:val="99"/>
    <w:semiHidden/>
    <w:unhideWhenUsed/>
    <w:rsid w:val="000260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6074"/>
    <w:rPr>
      <w:b/>
      <w:bCs/>
    </w:rPr>
  </w:style>
  <w:style w:type="character" w:styleId="FollowedHyperlink">
    <w:name w:val="FollowedHyperlink"/>
    <w:basedOn w:val="DefaultParagraphFont"/>
    <w:uiPriority w:val="99"/>
    <w:semiHidden/>
    <w:unhideWhenUsed/>
    <w:rsid w:val="00433533"/>
    <w:rPr>
      <w:color w:val="96607D" w:themeColor="followedHyperlink"/>
      <w:u w:val="single"/>
    </w:rPr>
  </w:style>
  <w:style w:type="paragraph" w:styleId="Date">
    <w:name w:val="Date"/>
    <w:basedOn w:val="Normal"/>
    <w:next w:val="Normal"/>
    <w:link w:val="DateChar"/>
    <w:uiPriority w:val="99"/>
    <w:semiHidden/>
    <w:unhideWhenUsed/>
    <w:rsid w:val="002456EF"/>
  </w:style>
  <w:style w:type="character" w:customStyle="1" w:styleId="DateChar">
    <w:name w:val="Date Char"/>
    <w:basedOn w:val="DefaultParagraphFont"/>
    <w:link w:val="Date"/>
    <w:uiPriority w:val="99"/>
    <w:semiHidden/>
    <w:rsid w:val="00245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6546">
      <w:bodyDiv w:val="1"/>
      <w:marLeft w:val="0"/>
      <w:marRight w:val="0"/>
      <w:marTop w:val="0"/>
      <w:marBottom w:val="0"/>
      <w:divBdr>
        <w:top w:val="none" w:sz="0" w:space="0" w:color="auto"/>
        <w:left w:val="none" w:sz="0" w:space="0" w:color="auto"/>
        <w:bottom w:val="none" w:sz="0" w:space="0" w:color="auto"/>
        <w:right w:val="none" w:sz="0" w:space="0" w:color="auto"/>
      </w:divBdr>
    </w:div>
    <w:div w:id="115955871">
      <w:bodyDiv w:val="1"/>
      <w:marLeft w:val="0"/>
      <w:marRight w:val="0"/>
      <w:marTop w:val="0"/>
      <w:marBottom w:val="0"/>
      <w:divBdr>
        <w:top w:val="none" w:sz="0" w:space="0" w:color="auto"/>
        <w:left w:val="none" w:sz="0" w:space="0" w:color="auto"/>
        <w:bottom w:val="none" w:sz="0" w:space="0" w:color="auto"/>
        <w:right w:val="none" w:sz="0" w:space="0" w:color="auto"/>
      </w:divBdr>
    </w:div>
    <w:div w:id="161090902">
      <w:bodyDiv w:val="1"/>
      <w:marLeft w:val="0"/>
      <w:marRight w:val="0"/>
      <w:marTop w:val="0"/>
      <w:marBottom w:val="0"/>
      <w:divBdr>
        <w:top w:val="none" w:sz="0" w:space="0" w:color="auto"/>
        <w:left w:val="none" w:sz="0" w:space="0" w:color="auto"/>
        <w:bottom w:val="none" w:sz="0" w:space="0" w:color="auto"/>
        <w:right w:val="none" w:sz="0" w:space="0" w:color="auto"/>
      </w:divBdr>
    </w:div>
    <w:div w:id="178782285">
      <w:bodyDiv w:val="1"/>
      <w:marLeft w:val="0"/>
      <w:marRight w:val="0"/>
      <w:marTop w:val="0"/>
      <w:marBottom w:val="0"/>
      <w:divBdr>
        <w:top w:val="none" w:sz="0" w:space="0" w:color="auto"/>
        <w:left w:val="none" w:sz="0" w:space="0" w:color="auto"/>
        <w:bottom w:val="none" w:sz="0" w:space="0" w:color="auto"/>
        <w:right w:val="none" w:sz="0" w:space="0" w:color="auto"/>
      </w:divBdr>
    </w:div>
    <w:div w:id="395860041">
      <w:bodyDiv w:val="1"/>
      <w:marLeft w:val="0"/>
      <w:marRight w:val="0"/>
      <w:marTop w:val="0"/>
      <w:marBottom w:val="0"/>
      <w:divBdr>
        <w:top w:val="none" w:sz="0" w:space="0" w:color="auto"/>
        <w:left w:val="none" w:sz="0" w:space="0" w:color="auto"/>
        <w:bottom w:val="none" w:sz="0" w:space="0" w:color="auto"/>
        <w:right w:val="none" w:sz="0" w:space="0" w:color="auto"/>
      </w:divBdr>
    </w:div>
    <w:div w:id="446706661">
      <w:bodyDiv w:val="1"/>
      <w:marLeft w:val="0"/>
      <w:marRight w:val="0"/>
      <w:marTop w:val="0"/>
      <w:marBottom w:val="0"/>
      <w:divBdr>
        <w:top w:val="none" w:sz="0" w:space="0" w:color="auto"/>
        <w:left w:val="none" w:sz="0" w:space="0" w:color="auto"/>
        <w:bottom w:val="none" w:sz="0" w:space="0" w:color="auto"/>
        <w:right w:val="none" w:sz="0" w:space="0" w:color="auto"/>
      </w:divBdr>
    </w:div>
    <w:div w:id="449400608">
      <w:bodyDiv w:val="1"/>
      <w:marLeft w:val="0"/>
      <w:marRight w:val="0"/>
      <w:marTop w:val="0"/>
      <w:marBottom w:val="0"/>
      <w:divBdr>
        <w:top w:val="none" w:sz="0" w:space="0" w:color="auto"/>
        <w:left w:val="none" w:sz="0" w:space="0" w:color="auto"/>
        <w:bottom w:val="none" w:sz="0" w:space="0" w:color="auto"/>
        <w:right w:val="none" w:sz="0" w:space="0" w:color="auto"/>
      </w:divBdr>
    </w:div>
    <w:div w:id="490147994">
      <w:bodyDiv w:val="1"/>
      <w:marLeft w:val="0"/>
      <w:marRight w:val="0"/>
      <w:marTop w:val="0"/>
      <w:marBottom w:val="0"/>
      <w:divBdr>
        <w:top w:val="none" w:sz="0" w:space="0" w:color="auto"/>
        <w:left w:val="none" w:sz="0" w:space="0" w:color="auto"/>
        <w:bottom w:val="none" w:sz="0" w:space="0" w:color="auto"/>
        <w:right w:val="none" w:sz="0" w:space="0" w:color="auto"/>
      </w:divBdr>
    </w:div>
    <w:div w:id="497111169">
      <w:bodyDiv w:val="1"/>
      <w:marLeft w:val="0"/>
      <w:marRight w:val="0"/>
      <w:marTop w:val="0"/>
      <w:marBottom w:val="0"/>
      <w:divBdr>
        <w:top w:val="none" w:sz="0" w:space="0" w:color="auto"/>
        <w:left w:val="none" w:sz="0" w:space="0" w:color="auto"/>
        <w:bottom w:val="none" w:sz="0" w:space="0" w:color="auto"/>
        <w:right w:val="none" w:sz="0" w:space="0" w:color="auto"/>
      </w:divBdr>
    </w:div>
    <w:div w:id="510994458">
      <w:bodyDiv w:val="1"/>
      <w:marLeft w:val="0"/>
      <w:marRight w:val="0"/>
      <w:marTop w:val="0"/>
      <w:marBottom w:val="0"/>
      <w:divBdr>
        <w:top w:val="none" w:sz="0" w:space="0" w:color="auto"/>
        <w:left w:val="none" w:sz="0" w:space="0" w:color="auto"/>
        <w:bottom w:val="none" w:sz="0" w:space="0" w:color="auto"/>
        <w:right w:val="none" w:sz="0" w:space="0" w:color="auto"/>
      </w:divBdr>
    </w:div>
    <w:div w:id="532421047">
      <w:bodyDiv w:val="1"/>
      <w:marLeft w:val="0"/>
      <w:marRight w:val="0"/>
      <w:marTop w:val="0"/>
      <w:marBottom w:val="0"/>
      <w:divBdr>
        <w:top w:val="none" w:sz="0" w:space="0" w:color="auto"/>
        <w:left w:val="none" w:sz="0" w:space="0" w:color="auto"/>
        <w:bottom w:val="none" w:sz="0" w:space="0" w:color="auto"/>
        <w:right w:val="none" w:sz="0" w:space="0" w:color="auto"/>
      </w:divBdr>
    </w:div>
    <w:div w:id="606157504">
      <w:bodyDiv w:val="1"/>
      <w:marLeft w:val="0"/>
      <w:marRight w:val="0"/>
      <w:marTop w:val="0"/>
      <w:marBottom w:val="0"/>
      <w:divBdr>
        <w:top w:val="none" w:sz="0" w:space="0" w:color="auto"/>
        <w:left w:val="none" w:sz="0" w:space="0" w:color="auto"/>
        <w:bottom w:val="none" w:sz="0" w:space="0" w:color="auto"/>
        <w:right w:val="none" w:sz="0" w:space="0" w:color="auto"/>
      </w:divBdr>
    </w:div>
    <w:div w:id="688726518">
      <w:bodyDiv w:val="1"/>
      <w:marLeft w:val="0"/>
      <w:marRight w:val="0"/>
      <w:marTop w:val="0"/>
      <w:marBottom w:val="0"/>
      <w:divBdr>
        <w:top w:val="none" w:sz="0" w:space="0" w:color="auto"/>
        <w:left w:val="none" w:sz="0" w:space="0" w:color="auto"/>
        <w:bottom w:val="none" w:sz="0" w:space="0" w:color="auto"/>
        <w:right w:val="none" w:sz="0" w:space="0" w:color="auto"/>
      </w:divBdr>
    </w:div>
    <w:div w:id="707073919">
      <w:bodyDiv w:val="1"/>
      <w:marLeft w:val="0"/>
      <w:marRight w:val="0"/>
      <w:marTop w:val="0"/>
      <w:marBottom w:val="0"/>
      <w:divBdr>
        <w:top w:val="none" w:sz="0" w:space="0" w:color="auto"/>
        <w:left w:val="none" w:sz="0" w:space="0" w:color="auto"/>
        <w:bottom w:val="none" w:sz="0" w:space="0" w:color="auto"/>
        <w:right w:val="none" w:sz="0" w:space="0" w:color="auto"/>
      </w:divBdr>
    </w:div>
    <w:div w:id="712194438">
      <w:bodyDiv w:val="1"/>
      <w:marLeft w:val="0"/>
      <w:marRight w:val="0"/>
      <w:marTop w:val="0"/>
      <w:marBottom w:val="0"/>
      <w:divBdr>
        <w:top w:val="none" w:sz="0" w:space="0" w:color="auto"/>
        <w:left w:val="none" w:sz="0" w:space="0" w:color="auto"/>
        <w:bottom w:val="none" w:sz="0" w:space="0" w:color="auto"/>
        <w:right w:val="none" w:sz="0" w:space="0" w:color="auto"/>
      </w:divBdr>
    </w:div>
    <w:div w:id="783304304">
      <w:bodyDiv w:val="1"/>
      <w:marLeft w:val="0"/>
      <w:marRight w:val="0"/>
      <w:marTop w:val="0"/>
      <w:marBottom w:val="0"/>
      <w:divBdr>
        <w:top w:val="none" w:sz="0" w:space="0" w:color="auto"/>
        <w:left w:val="none" w:sz="0" w:space="0" w:color="auto"/>
        <w:bottom w:val="none" w:sz="0" w:space="0" w:color="auto"/>
        <w:right w:val="none" w:sz="0" w:space="0" w:color="auto"/>
      </w:divBdr>
    </w:div>
    <w:div w:id="783353221">
      <w:bodyDiv w:val="1"/>
      <w:marLeft w:val="0"/>
      <w:marRight w:val="0"/>
      <w:marTop w:val="0"/>
      <w:marBottom w:val="0"/>
      <w:divBdr>
        <w:top w:val="none" w:sz="0" w:space="0" w:color="auto"/>
        <w:left w:val="none" w:sz="0" w:space="0" w:color="auto"/>
        <w:bottom w:val="none" w:sz="0" w:space="0" w:color="auto"/>
        <w:right w:val="none" w:sz="0" w:space="0" w:color="auto"/>
      </w:divBdr>
    </w:div>
    <w:div w:id="875459636">
      <w:bodyDiv w:val="1"/>
      <w:marLeft w:val="0"/>
      <w:marRight w:val="0"/>
      <w:marTop w:val="0"/>
      <w:marBottom w:val="0"/>
      <w:divBdr>
        <w:top w:val="none" w:sz="0" w:space="0" w:color="auto"/>
        <w:left w:val="none" w:sz="0" w:space="0" w:color="auto"/>
        <w:bottom w:val="none" w:sz="0" w:space="0" w:color="auto"/>
        <w:right w:val="none" w:sz="0" w:space="0" w:color="auto"/>
      </w:divBdr>
    </w:div>
    <w:div w:id="909119474">
      <w:bodyDiv w:val="1"/>
      <w:marLeft w:val="0"/>
      <w:marRight w:val="0"/>
      <w:marTop w:val="0"/>
      <w:marBottom w:val="0"/>
      <w:divBdr>
        <w:top w:val="none" w:sz="0" w:space="0" w:color="auto"/>
        <w:left w:val="none" w:sz="0" w:space="0" w:color="auto"/>
        <w:bottom w:val="none" w:sz="0" w:space="0" w:color="auto"/>
        <w:right w:val="none" w:sz="0" w:space="0" w:color="auto"/>
      </w:divBdr>
    </w:div>
    <w:div w:id="912473521">
      <w:bodyDiv w:val="1"/>
      <w:marLeft w:val="0"/>
      <w:marRight w:val="0"/>
      <w:marTop w:val="0"/>
      <w:marBottom w:val="0"/>
      <w:divBdr>
        <w:top w:val="none" w:sz="0" w:space="0" w:color="auto"/>
        <w:left w:val="none" w:sz="0" w:space="0" w:color="auto"/>
        <w:bottom w:val="none" w:sz="0" w:space="0" w:color="auto"/>
        <w:right w:val="none" w:sz="0" w:space="0" w:color="auto"/>
      </w:divBdr>
    </w:div>
    <w:div w:id="946153374">
      <w:bodyDiv w:val="1"/>
      <w:marLeft w:val="0"/>
      <w:marRight w:val="0"/>
      <w:marTop w:val="0"/>
      <w:marBottom w:val="0"/>
      <w:divBdr>
        <w:top w:val="none" w:sz="0" w:space="0" w:color="auto"/>
        <w:left w:val="none" w:sz="0" w:space="0" w:color="auto"/>
        <w:bottom w:val="none" w:sz="0" w:space="0" w:color="auto"/>
        <w:right w:val="none" w:sz="0" w:space="0" w:color="auto"/>
      </w:divBdr>
    </w:div>
    <w:div w:id="1041979065">
      <w:bodyDiv w:val="1"/>
      <w:marLeft w:val="0"/>
      <w:marRight w:val="0"/>
      <w:marTop w:val="0"/>
      <w:marBottom w:val="0"/>
      <w:divBdr>
        <w:top w:val="none" w:sz="0" w:space="0" w:color="auto"/>
        <w:left w:val="none" w:sz="0" w:space="0" w:color="auto"/>
        <w:bottom w:val="none" w:sz="0" w:space="0" w:color="auto"/>
        <w:right w:val="none" w:sz="0" w:space="0" w:color="auto"/>
      </w:divBdr>
    </w:div>
    <w:div w:id="1057700527">
      <w:bodyDiv w:val="1"/>
      <w:marLeft w:val="0"/>
      <w:marRight w:val="0"/>
      <w:marTop w:val="0"/>
      <w:marBottom w:val="0"/>
      <w:divBdr>
        <w:top w:val="none" w:sz="0" w:space="0" w:color="auto"/>
        <w:left w:val="none" w:sz="0" w:space="0" w:color="auto"/>
        <w:bottom w:val="none" w:sz="0" w:space="0" w:color="auto"/>
        <w:right w:val="none" w:sz="0" w:space="0" w:color="auto"/>
      </w:divBdr>
    </w:div>
    <w:div w:id="1071931379">
      <w:bodyDiv w:val="1"/>
      <w:marLeft w:val="0"/>
      <w:marRight w:val="0"/>
      <w:marTop w:val="0"/>
      <w:marBottom w:val="0"/>
      <w:divBdr>
        <w:top w:val="none" w:sz="0" w:space="0" w:color="auto"/>
        <w:left w:val="none" w:sz="0" w:space="0" w:color="auto"/>
        <w:bottom w:val="none" w:sz="0" w:space="0" w:color="auto"/>
        <w:right w:val="none" w:sz="0" w:space="0" w:color="auto"/>
      </w:divBdr>
    </w:div>
    <w:div w:id="1072044472">
      <w:bodyDiv w:val="1"/>
      <w:marLeft w:val="0"/>
      <w:marRight w:val="0"/>
      <w:marTop w:val="0"/>
      <w:marBottom w:val="0"/>
      <w:divBdr>
        <w:top w:val="none" w:sz="0" w:space="0" w:color="auto"/>
        <w:left w:val="none" w:sz="0" w:space="0" w:color="auto"/>
        <w:bottom w:val="none" w:sz="0" w:space="0" w:color="auto"/>
        <w:right w:val="none" w:sz="0" w:space="0" w:color="auto"/>
      </w:divBdr>
    </w:div>
    <w:div w:id="1107624462">
      <w:bodyDiv w:val="1"/>
      <w:marLeft w:val="0"/>
      <w:marRight w:val="0"/>
      <w:marTop w:val="0"/>
      <w:marBottom w:val="0"/>
      <w:divBdr>
        <w:top w:val="none" w:sz="0" w:space="0" w:color="auto"/>
        <w:left w:val="none" w:sz="0" w:space="0" w:color="auto"/>
        <w:bottom w:val="none" w:sz="0" w:space="0" w:color="auto"/>
        <w:right w:val="none" w:sz="0" w:space="0" w:color="auto"/>
      </w:divBdr>
    </w:div>
    <w:div w:id="1139876935">
      <w:bodyDiv w:val="1"/>
      <w:marLeft w:val="0"/>
      <w:marRight w:val="0"/>
      <w:marTop w:val="0"/>
      <w:marBottom w:val="0"/>
      <w:divBdr>
        <w:top w:val="none" w:sz="0" w:space="0" w:color="auto"/>
        <w:left w:val="none" w:sz="0" w:space="0" w:color="auto"/>
        <w:bottom w:val="none" w:sz="0" w:space="0" w:color="auto"/>
        <w:right w:val="none" w:sz="0" w:space="0" w:color="auto"/>
      </w:divBdr>
    </w:div>
    <w:div w:id="1194806292">
      <w:bodyDiv w:val="1"/>
      <w:marLeft w:val="0"/>
      <w:marRight w:val="0"/>
      <w:marTop w:val="0"/>
      <w:marBottom w:val="0"/>
      <w:divBdr>
        <w:top w:val="none" w:sz="0" w:space="0" w:color="auto"/>
        <w:left w:val="none" w:sz="0" w:space="0" w:color="auto"/>
        <w:bottom w:val="none" w:sz="0" w:space="0" w:color="auto"/>
        <w:right w:val="none" w:sz="0" w:space="0" w:color="auto"/>
      </w:divBdr>
    </w:div>
    <w:div w:id="1214582901">
      <w:bodyDiv w:val="1"/>
      <w:marLeft w:val="0"/>
      <w:marRight w:val="0"/>
      <w:marTop w:val="0"/>
      <w:marBottom w:val="0"/>
      <w:divBdr>
        <w:top w:val="none" w:sz="0" w:space="0" w:color="auto"/>
        <w:left w:val="none" w:sz="0" w:space="0" w:color="auto"/>
        <w:bottom w:val="none" w:sz="0" w:space="0" w:color="auto"/>
        <w:right w:val="none" w:sz="0" w:space="0" w:color="auto"/>
      </w:divBdr>
    </w:div>
    <w:div w:id="1272858990">
      <w:bodyDiv w:val="1"/>
      <w:marLeft w:val="0"/>
      <w:marRight w:val="0"/>
      <w:marTop w:val="0"/>
      <w:marBottom w:val="0"/>
      <w:divBdr>
        <w:top w:val="none" w:sz="0" w:space="0" w:color="auto"/>
        <w:left w:val="none" w:sz="0" w:space="0" w:color="auto"/>
        <w:bottom w:val="none" w:sz="0" w:space="0" w:color="auto"/>
        <w:right w:val="none" w:sz="0" w:space="0" w:color="auto"/>
      </w:divBdr>
    </w:div>
    <w:div w:id="1284070186">
      <w:bodyDiv w:val="1"/>
      <w:marLeft w:val="0"/>
      <w:marRight w:val="0"/>
      <w:marTop w:val="0"/>
      <w:marBottom w:val="0"/>
      <w:divBdr>
        <w:top w:val="none" w:sz="0" w:space="0" w:color="auto"/>
        <w:left w:val="none" w:sz="0" w:space="0" w:color="auto"/>
        <w:bottom w:val="none" w:sz="0" w:space="0" w:color="auto"/>
        <w:right w:val="none" w:sz="0" w:space="0" w:color="auto"/>
      </w:divBdr>
    </w:div>
    <w:div w:id="1510869379">
      <w:bodyDiv w:val="1"/>
      <w:marLeft w:val="0"/>
      <w:marRight w:val="0"/>
      <w:marTop w:val="0"/>
      <w:marBottom w:val="0"/>
      <w:divBdr>
        <w:top w:val="none" w:sz="0" w:space="0" w:color="auto"/>
        <w:left w:val="none" w:sz="0" w:space="0" w:color="auto"/>
        <w:bottom w:val="none" w:sz="0" w:space="0" w:color="auto"/>
        <w:right w:val="none" w:sz="0" w:space="0" w:color="auto"/>
      </w:divBdr>
    </w:div>
    <w:div w:id="1542285129">
      <w:bodyDiv w:val="1"/>
      <w:marLeft w:val="0"/>
      <w:marRight w:val="0"/>
      <w:marTop w:val="0"/>
      <w:marBottom w:val="0"/>
      <w:divBdr>
        <w:top w:val="none" w:sz="0" w:space="0" w:color="auto"/>
        <w:left w:val="none" w:sz="0" w:space="0" w:color="auto"/>
        <w:bottom w:val="none" w:sz="0" w:space="0" w:color="auto"/>
        <w:right w:val="none" w:sz="0" w:space="0" w:color="auto"/>
      </w:divBdr>
    </w:div>
    <w:div w:id="1555265319">
      <w:bodyDiv w:val="1"/>
      <w:marLeft w:val="0"/>
      <w:marRight w:val="0"/>
      <w:marTop w:val="0"/>
      <w:marBottom w:val="0"/>
      <w:divBdr>
        <w:top w:val="none" w:sz="0" w:space="0" w:color="auto"/>
        <w:left w:val="none" w:sz="0" w:space="0" w:color="auto"/>
        <w:bottom w:val="none" w:sz="0" w:space="0" w:color="auto"/>
        <w:right w:val="none" w:sz="0" w:space="0" w:color="auto"/>
      </w:divBdr>
    </w:div>
    <w:div w:id="1586986966">
      <w:bodyDiv w:val="1"/>
      <w:marLeft w:val="0"/>
      <w:marRight w:val="0"/>
      <w:marTop w:val="0"/>
      <w:marBottom w:val="0"/>
      <w:divBdr>
        <w:top w:val="none" w:sz="0" w:space="0" w:color="auto"/>
        <w:left w:val="none" w:sz="0" w:space="0" w:color="auto"/>
        <w:bottom w:val="none" w:sz="0" w:space="0" w:color="auto"/>
        <w:right w:val="none" w:sz="0" w:space="0" w:color="auto"/>
      </w:divBdr>
    </w:div>
    <w:div w:id="1612085845">
      <w:bodyDiv w:val="1"/>
      <w:marLeft w:val="0"/>
      <w:marRight w:val="0"/>
      <w:marTop w:val="0"/>
      <w:marBottom w:val="0"/>
      <w:divBdr>
        <w:top w:val="none" w:sz="0" w:space="0" w:color="auto"/>
        <w:left w:val="none" w:sz="0" w:space="0" w:color="auto"/>
        <w:bottom w:val="none" w:sz="0" w:space="0" w:color="auto"/>
        <w:right w:val="none" w:sz="0" w:space="0" w:color="auto"/>
      </w:divBdr>
    </w:div>
    <w:div w:id="1653095701">
      <w:bodyDiv w:val="1"/>
      <w:marLeft w:val="0"/>
      <w:marRight w:val="0"/>
      <w:marTop w:val="0"/>
      <w:marBottom w:val="0"/>
      <w:divBdr>
        <w:top w:val="none" w:sz="0" w:space="0" w:color="auto"/>
        <w:left w:val="none" w:sz="0" w:space="0" w:color="auto"/>
        <w:bottom w:val="none" w:sz="0" w:space="0" w:color="auto"/>
        <w:right w:val="none" w:sz="0" w:space="0" w:color="auto"/>
      </w:divBdr>
    </w:div>
    <w:div w:id="1707635654">
      <w:bodyDiv w:val="1"/>
      <w:marLeft w:val="0"/>
      <w:marRight w:val="0"/>
      <w:marTop w:val="0"/>
      <w:marBottom w:val="0"/>
      <w:divBdr>
        <w:top w:val="none" w:sz="0" w:space="0" w:color="auto"/>
        <w:left w:val="none" w:sz="0" w:space="0" w:color="auto"/>
        <w:bottom w:val="none" w:sz="0" w:space="0" w:color="auto"/>
        <w:right w:val="none" w:sz="0" w:space="0" w:color="auto"/>
      </w:divBdr>
    </w:div>
    <w:div w:id="1795322699">
      <w:bodyDiv w:val="1"/>
      <w:marLeft w:val="0"/>
      <w:marRight w:val="0"/>
      <w:marTop w:val="0"/>
      <w:marBottom w:val="0"/>
      <w:divBdr>
        <w:top w:val="none" w:sz="0" w:space="0" w:color="auto"/>
        <w:left w:val="none" w:sz="0" w:space="0" w:color="auto"/>
        <w:bottom w:val="none" w:sz="0" w:space="0" w:color="auto"/>
        <w:right w:val="none" w:sz="0" w:space="0" w:color="auto"/>
      </w:divBdr>
    </w:div>
    <w:div w:id="1795712024">
      <w:bodyDiv w:val="1"/>
      <w:marLeft w:val="0"/>
      <w:marRight w:val="0"/>
      <w:marTop w:val="0"/>
      <w:marBottom w:val="0"/>
      <w:divBdr>
        <w:top w:val="none" w:sz="0" w:space="0" w:color="auto"/>
        <w:left w:val="none" w:sz="0" w:space="0" w:color="auto"/>
        <w:bottom w:val="none" w:sz="0" w:space="0" w:color="auto"/>
        <w:right w:val="none" w:sz="0" w:space="0" w:color="auto"/>
      </w:divBdr>
    </w:div>
    <w:div w:id="1826555008">
      <w:bodyDiv w:val="1"/>
      <w:marLeft w:val="0"/>
      <w:marRight w:val="0"/>
      <w:marTop w:val="0"/>
      <w:marBottom w:val="0"/>
      <w:divBdr>
        <w:top w:val="none" w:sz="0" w:space="0" w:color="auto"/>
        <w:left w:val="none" w:sz="0" w:space="0" w:color="auto"/>
        <w:bottom w:val="none" w:sz="0" w:space="0" w:color="auto"/>
        <w:right w:val="none" w:sz="0" w:space="0" w:color="auto"/>
      </w:divBdr>
    </w:div>
    <w:div w:id="1885867223">
      <w:bodyDiv w:val="1"/>
      <w:marLeft w:val="0"/>
      <w:marRight w:val="0"/>
      <w:marTop w:val="0"/>
      <w:marBottom w:val="0"/>
      <w:divBdr>
        <w:top w:val="none" w:sz="0" w:space="0" w:color="auto"/>
        <w:left w:val="none" w:sz="0" w:space="0" w:color="auto"/>
        <w:bottom w:val="none" w:sz="0" w:space="0" w:color="auto"/>
        <w:right w:val="none" w:sz="0" w:space="0" w:color="auto"/>
      </w:divBdr>
    </w:div>
    <w:div w:id="2088260782">
      <w:bodyDiv w:val="1"/>
      <w:marLeft w:val="0"/>
      <w:marRight w:val="0"/>
      <w:marTop w:val="0"/>
      <w:marBottom w:val="0"/>
      <w:divBdr>
        <w:top w:val="none" w:sz="0" w:space="0" w:color="auto"/>
        <w:left w:val="none" w:sz="0" w:space="0" w:color="auto"/>
        <w:bottom w:val="none" w:sz="0" w:space="0" w:color="auto"/>
        <w:right w:val="none" w:sz="0" w:space="0" w:color="auto"/>
      </w:divBdr>
    </w:div>
    <w:div w:id="209088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p.weixin.qq.com/s?__biz=MzU1OTg4ODk4NA==&amp;mid=2247484583&amp;idx=1&amp;sn=51b56e9a0b2a10fb528d6e78f23f0107&amp;chksm=fc112b90cb66a286538a57de9998ed58a454612a0ce4a562d1e15991c3ecd84012621fe8efcf" TargetMode="Externa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p.weixin.qq.com/s?__biz=MzU1OTg4ODk4NA==&amp;mid=2247484584&amp;idx=1&amp;sn=46fa98fe9c7c2680d353bf38149df0d9&amp;chksm=fc112b9fcb66a289c36dd4313461ea32abbc23c42f369173e6ca011b31bb7645500baf53ef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548CB-66D2-CF48-9F05-D9AFC88E4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Wu</dc:creator>
  <cp:keywords/>
  <dc:description/>
  <cp:lastModifiedBy>Derek Wu</cp:lastModifiedBy>
  <cp:revision>14</cp:revision>
  <dcterms:created xsi:type="dcterms:W3CDTF">2025-01-27T07:24:00Z</dcterms:created>
  <dcterms:modified xsi:type="dcterms:W3CDTF">2025-01-28T01:41:00Z</dcterms:modified>
</cp:coreProperties>
</file>