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9DC80" w14:textId="77777777" w:rsidR="00A77AA2" w:rsidRPr="008310EB" w:rsidRDefault="00A77AA2" w:rsidP="00A77AA2">
      <w:pPr>
        <w:pStyle w:val="p1"/>
        <w:rPr>
          <w:rFonts w:ascii="KaiTi" w:eastAsia="KaiTi" w:hAnsi="KaiTi"/>
          <w:sz w:val="24"/>
          <w:szCs w:val="24"/>
        </w:rPr>
      </w:pPr>
      <w:r w:rsidRPr="008310EB">
        <w:rPr>
          <w:rFonts w:ascii="KaiTi" w:eastAsia="KaiTi" w:hAnsi="KaiTi" w:cs="PingFang TC" w:hint="eastAsia"/>
          <w:sz w:val="24"/>
          <w:szCs w:val="24"/>
        </w:rPr>
        <w:t>亲爱的朋友，</w:t>
      </w:r>
    </w:p>
    <w:p w14:paraId="667CF7B5" w14:textId="77777777" w:rsidR="00A77AA2" w:rsidRPr="008310EB" w:rsidRDefault="00A77AA2" w:rsidP="00A77AA2">
      <w:pPr>
        <w:pStyle w:val="p2"/>
        <w:rPr>
          <w:rFonts w:ascii="KaiTi" w:eastAsia="KaiTi" w:hAnsi="KaiTi"/>
          <w:sz w:val="24"/>
          <w:szCs w:val="24"/>
        </w:rPr>
      </w:pPr>
    </w:p>
    <w:p w14:paraId="05A5A5AB" w14:textId="686AE4B7" w:rsidR="00BF0608" w:rsidRPr="005E6A6F" w:rsidRDefault="008310EB" w:rsidP="005E6A6F">
      <w:pPr>
        <w:spacing w:before="100" w:beforeAutospacing="1" w:after="100" w:afterAutospacing="1" w:line="240" w:lineRule="auto"/>
        <w:rPr>
          <w:rFonts w:ascii="KaiTi" w:eastAsia="KaiTi" w:hAnsi="KaiTi" w:cs="Times New Roman"/>
          <w:kern w:val="0"/>
          <w14:ligatures w14:val="none"/>
        </w:rPr>
      </w:pPr>
      <w:r w:rsidRPr="008310EB">
        <w:rPr>
          <w:rFonts w:ascii="KaiTi" w:eastAsia="KaiTi" w:hAnsi="KaiTi" w:cs="PingFang TC" w:hint="eastAsia"/>
          <w:kern w:val="0"/>
          <w14:ligatures w14:val="none"/>
        </w:rPr>
        <w:t>随着春季的到来，我们向您致以温暖的祝福！在这个充满新希望的季节，愿您与家人身体健康、事业顺利，财运亨通</w:t>
      </w:r>
      <w:r w:rsidRPr="008310EB">
        <w:rPr>
          <w:rFonts w:ascii="KaiTi" w:eastAsia="KaiTi" w:hAnsi="KaiTi" w:cs="PingFang TC"/>
          <w:kern w:val="0"/>
          <w14:ligatures w14:val="none"/>
        </w:rPr>
        <w:t>。</w:t>
      </w:r>
    </w:p>
    <w:p w14:paraId="27BAB97A" w14:textId="700BB687" w:rsidR="00BF0608" w:rsidRPr="00BF0608" w:rsidRDefault="00BF0608" w:rsidP="00BF0608">
      <w:pPr>
        <w:rPr>
          <w:rFonts w:ascii="KaiTi" w:eastAsia="KaiTi" w:hAnsi="KaiTi"/>
          <w:color w:val="FF0000"/>
        </w:rPr>
      </w:pPr>
      <w:r w:rsidRPr="00BF0608">
        <w:rPr>
          <w:rFonts w:ascii="KaiTi" w:eastAsia="KaiTi" w:hAnsi="KaiTi"/>
          <w:b/>
          <w:bCs/>
          <w:color w:val="FF0000"/>
        </w:rPr>
        <w:t>重要提醒</w:t>
      </w:r>
    </w:p>
    <w:p w14:paraId="416A4BD8" w14:textId="29FE86A9" w:rsidR="00BF0608" w:rsidRPr="00BF0608" w:rsidRDefault="00BF0608" w:rsidP="00BF0608">
      <w:pPr>
        <w:rPr>
          <w:rFonts w:ascii="KaiTi" w:eastAsia="KaiTi" w:hAnsi="KaiTi"/>
        </w:rPr>
      </w:pPr>
      <w:r w:rsidRPr="00BF0608">
        <w:rPr>
          <w:rFonts w:ascii="KaiTi" w:eastAsia="KaiTi" w:hAnsi="KaiTi"/>
        </w:rPr>
        <w:t>预计香港保监局将在2025年第二季度</w:t>
      </w:r>
      <w:r w:rsidR="008310EB">
        <w:rPr>
          <w:rFonts w:ascii="KaiTi" w:eastAsia="KaiTi" w:hAnsi="KaiTi" w:hint="eastAsia"/>
        </w:rPr>
        <w:t>末</w:t>
      </w:r>
      <w:r w:rsidRPr="00BF0608">
        <w:rPr>
          <w:rFonts w:ascii="KaiTi" w:eastAsia="KaiTi" w:hAnsi="KaiTi"/>
        </w:rPr>
        <w:t>对</w:t>
      </w:r>
      <w:r w:rsidR="00E67E6B">
        <w:rPr>
          <w:rFonts w:ascii="KaiTi" w:eastAsia="KaiTi" w:hAnsi="KaiTi" w:hint="eastAsia"/>
        </w:rPr>
        <w:t>香港储蓄</w:t>
      </w:r>
      <w:r w:rsidRPr="00BF0608">
        <w:rPr>
          <w:rFonts w:ascii="KaiTi" w:eastAsia="KaiTi" w:hAnsi="KaiTi"/>
        </w:rPr>
        <w:t>分红险的预期利率进行</w:t>
      </w:r>
      <w:r w:rsidR="00E67E6B">
        <w:rPr>
          <w:rFonts w:ascii="KaiTi" w:eastAsia="KaiTi" w:hAnsi="KaiTi" w:hint="eastAsia"/>
        </w:rPr>
        <w:t>上限管理</w:t>
      </w:r>
      <w:r w:rsidRPr="00BF0608">
        <w:rPr>
          <w:rFonts w:ascii="KaiTi" w:eastAsia="KaiTi" w:hAnsi="KaiTi"/>
        </w:rPr>
        <w:t>，这可能会</w:t>
      </w:r>
      <w:r w:rsidR="00E67E6B">
        <w:rPr>
          <w:rFonts w:ascii="KaiTi" w:eastAsia="KaiTi" w:hAnsi="KaiTi" w:hint="eastAsia"/>
        </w:rPr>
        <w:t>使得目前预期IRR达到长线7%水平的产品都会下架。</w:t>
      </w:r>
      <w:r w:rsidRPr="00BF0608">
        <w:rPr>
          <w:rFonts w:ascii="KaiTi" w:eastAsia="KaiTi" w:hAnsi="KaiTi"/>
        </w:rPr>
        <w:t>我们建议客户提前规划，抓住当前的有利时机优化财富管理方案。</w:t>
      </w:r>
    </w:p>
    <w:p w14:paraId="696D636C" w14:textId="2FC6B4C5" w:rsidR="009623A1" w:rsidRPr="009623A1" w:rsidRDefault="009623A1" w:rsidP="00DD4DD9">
      <w:pPr>
        <w:rPr>
          <w:rFonts w:ascii="KaiTi" w:eastAsia="KaiTi" w:hAnsi="KaiTi"/>
          <w:b/>
          <w:bCs/>
        </w:rPr>
      </w:pPr>
      <w:r w:rsidRPr="009623A1">
        <w:rPr>
          <w:rFonts w:ascii="KaiTi" w:eastAsia="KaiTi" w:hAnsi="KaiTi" w:hint="eastAsia"/>
          <w:b/>
          <w:bCs/>
        </w:rPr>
        <w:t>市场概览</w:t>
      </w:r>
    </w:p>
    <w:p w14:paraId="57DE0BB3" w14:textId="6D670F91" w:rsidR="005E6A6F" w:rsidRDefault="009623A1" w:rsidP="009623A1">
      <w:pPr>
        <w:rPr>
          <w:rFonts w:ascii="KaiTi" w:eastAsia="KaiTi" w:hAnsi="KaiTi"/>
        </w:rPr>
      </w:pPr>
      <w:r w:rsidRPr="009623A1">
        <w:rPr>
          <w:rFonts w:ascii="KaiTi" w:eastAsia="KaiTi" w:hAnsi="KaiTi"/>
        </w:rPr>
        <w:t>2025年开局，港股市场在经历了</w:t>
      </w:r>
      <w:r w:rsidR="00DC4A9B">
        <w:rPr>
          <w:rFonts w:ascii="KaiTi" w:eastAsia="KaiTi" w:hAnsi="KaiTi" w:hint="eastAsia"/>
        </w:rPr>
        <w:t>长达6年</w:t>
      </w:r>
      <w:r w:rsidRPr="009623A1">
        <w:rPr>
          <w:rFonts w:ascii="KaiTi" w:eastAsia="KaiTi" w:hAnsi="KaiTi"/>
        </w:rPr>
        <w:t>的</w:t>
      </w:r>
      <w:r w:rsidR="00DC4A9B">
        <w:rPr>
          <w:rFonts w:ascii="KaiTi" w:eastAsia="KaiTi" w:hAnsi="KaiTi" w:hint="eastAsia"/>
        </w:rPr>
        <w:t>下跌</w:t>
      </w:r>
      <w:r w:rsidRPr="009623A1">
        <w:rPr>
          <w:rFonts w:ascii="KaiTi" w:eastAsia="KaiTi" w:hAnsi="KaiTi"/>
        </w:rPr>
        <w:t>后，终于迎来了一波强劲的反弹。恒生指数和一系列科技股、消费股的表现强劲，市场在短期内显现出极大的活力。这种反弹的背后，不仅是对中国经济重新评估的结果，也是中国资产价值重估的重要时刻。</w:t>
      </w:r>
    </w:p>
    <w:p w14:paraId="48638525" w14:textId="77777777" w:rsidR="00DC4A9B" w:rsidRPr="009623A1" w:rsidRDefault="00DC4A9B" w:rsidP="009623A1">
      <w:pPr>
        <w:rPr>
          <w:rFonts w:ascii="KaiTi" w:eastAsia="KaiTi" w:hAnsi="KaiTi"/>
        </w:rPr>
      </w:pPr>
    </w:p>
    <w:p w14:paraId="75384EB4" w14:textId="77777777" w:rsidR="009623A1" w:rsidRPr="009623A1" w:rsidRDefault="009623A1" w:rsidP="009623A1">
      <w:pPr>
        <w:rPr>
          <w:rFonts w:ascii="KaiTi" w:eastAsia="KaiTi" w:hAnsi="KaiTi"/>
        </w:rPr>
      </w:pPr>
      <w:r w:rsidRPr="009623A1">
        <w:rPr>
          <w:rFonts w:ascii="KaiTi" w:eastAsia="KaiTi" w:hAnsi="KaiTi"/>
        </w:rPr>
        <w:t>在这种市场情况下，我们有责任提醒您：虽然市场的上涨为投资者带来了暂时的回报，但任何投资者，尤其是普通投资者，在面对牛市时，必须保持冷静和理性。正如我们在多个场合提到的，</w:t>
      </w:r>
      <w:r w:rsidRPr="009623A1">
        <w:rPr>
          <w:rFonts w:ascii="KaiTi" w:eastAsia="KaiTi" w:hAnsi="KaiTi"/>
          <w:color w:val="FF0000"/>
        </w:rPr>
        <w:t>牛市往往是普通投资者亏损的主要来源</w:t>
      </w:r>
      <w:r w:rsidRPr="009623A1">
        <w:rPr>
          <w:rFonts w:ascii="KaiTi" w:eastAsia="KaiTi" w:hAnsi="KaiTi"/>
        </w:rPr>
        <w:t>，而这种损失并非即时显现，而是在长时间内通过“机会性炒作”逐渐累积，最终导致永久性的亏损。因此，我们始终强调，短期的市场热潮并非投资的核心，而是如何通过长期的、理性的投资策略在市场的波动中稳步前行。</w:t>
      </w:r>
    </w:p>
    <w:p w14:paraId="0C30549E" w14:textId="77777777" w:rsidR="009623A1" w:rsidRPr="009623A1" w:rsidRDefault="009623A1" w:rsidP="009623A1">
      <w:pPr>
        <w:rPr>
          <w:rFonts w:ascii="KaiTi" w:eastAsia="KaiTi" w:hAnsi="KaiTi"/>
        </w:rPr>
      </w:pPr>
    </w:p>
    <w:p w14:paraId="352AE33A" w14:textId="77777777" w:rsidR="009623A1" w:rsidRPr="009623A1" w:rsidRDefault="009623A1" w:rsidP="009623A1">
      <w:pPr>
        <w:rPr>
          <w:rFonts w:ascii="KaiTi" w:eastAsia="KaiTi" w:hAnsi="KaiTi"/>
        </w:rPr>
      </w:pPr>
      <w:r w:rsidRPr="009623A1">
        <w:rPr>
          <w:rFonts w:ascii="KaiTi" w:eastAsia="KaiTi" w:hAnsi="KaiTi"/>
          <w:b/>
          <w:bCs/>
        </w:rPr>
        <w:t>1. 牛市的风险与长期投资的智慧</w:t>
      </w:r>
    </w:p>
    <w:p w14:paraId="495BF9E4" w14:textId="77777777" w:rsidR="009623A1" w:rsidRPr="009623A1" w:rsidRDefault="009623A1" w:rsidP="009623A1">
      <w:pPr>
        <w:rPr>
          <w:rFonts w:ascii="KaiTi" w:eastAsia="KaiTi" w:hAnsi="KaiTi"/>
        </w:rPr>
      </w:pPr>
    </w:p>
    <w:p w14:paraId="688E8727" w14:textId="77777777" w:rsidR="009623A1" w:rsidRPr="009623A1" w:rsidRDefault="009623A1" w:rsidP="009623A1">
      <w:pPr>
        <w:rPr>
          <w:rFonts w:ascii="KaiTi" w:eastAsia="KaiTi" w:hAnsi="KaiTi"/>
        </w:rPr>
      </w:pPr>
      <w:r w:rsidRPr="009623A1">
        <w:rPr>
          <w:rFonts w:ascii="KaiTi" w:eastAsia="KaiTi" w:hAnsi="KaiTi"/>
        </w:rPr>
        <w:t>市场反弹期间，股市的短期涨幅往往会吸引大量资金的涌入，然而，这种迅速上涨并不能改变市场的根本风险，投资者需要警惕“机会性炒作”带来的巨大风险。随着市场情绪的激增，不少投资者往往忽视了企业基本面，单纯追逐上涨的股票。我们相信，真正能带来可持续回报的投资，是基于深思熟虑的价值选择，而非追逐短期内的暴涨。</w:t>
      </w:r>
    </w:p>
    <w:p w14:paraId="3EE3CF84" w14:textId="77777777" w:rsidR="009623A1" w:rsidRPr="009623A1" w:rsidRDefault="009623A1" w:rsidP="009623A1">
      <w:pPr>
        <w:rPr>
          <w:rFonts w:ascii="KaiTi" w:eastAsia="KaiTi" w:hAnsi="KaiTi"/>
        </w:rPr>
      </w:pPr>
    </w:p>
    <w:p w14:paraId="449CC774" w14:textId="101857B6" w:rsidR="009623A1" w:rsidRPr="009623A1" w:rsidRDefault="009623A1" w:rsidP="009623A1">
      <w:pPr>
        <w:rPr>
          <w:rFonts w:ascii="KaiTi" w:eastAsia="KaiTi" w:hAnsi="KaiTi" w:hint="eastAsia"/>
        </w:rPr>
      </w:pPr>
      <w:r w:rsidRPr="009623A1">
        <w:rPr>
          <w:rFonts w:ascii="KaiTi" w:eastAsia="KaiTi" w:hAnsi="KaiTi"/>
          <w:b/>
          <w:bCs/>
        </w:rPr>
        <w:t>2. 低相关性资产配置</w:t>
      </w:r>
      <w:r w:rsidR="00DC4A9B">
        <w:rPr>
          <w:rFonts w:ascii="KaiTi" w:eastAsia="KaiTi" w:hAnsi="KaiTi" w:hint="eastAsia"/>
          <w:b/>
          <w:bCs/>
        </w:rPr>
        <w:t>，避免组合大幅波动</w:t>
      </w:r>
    </w:p>
    <w:p w14:paraId="4D9C9870" w14:textId="77777777" w:rsidR="009623A1" w:rsidRPr="009623A1" w:rsidRDefault="009623A1" w:rsidP="009623A1">
      <w:pPr>
        <w:rPr>
          <w:rFonts w:ascii="KaiTi" w:eastAsia="KaiTi" w:hAnsi="KaiTi"/>
        </w:rPr>
      </w:pPr>
    </w:p>
    <w:p w14:paraId="0B90DEBA" w14:textId="4A928540" w:rsidR="009623A1" w:rsidRPr="009623A1" w:rsidRDefault="009623A1" w:rsidP="009623A1">
      <w:pPr>
        <w:rPr>
          <w:rFonts w:ascii="KaiTi" w:eastAsia="KaiTi" w:hAnsi="KaiTi"/>
        </w:rPr>
      </w:pPr>
      <w:r w:rsidRPr="009623A1">
        <w:rPr>
          <w:rFonts w:ascii="KaiTi" w:eastAsia="KaiTi" w:hAnsi="KaiTi"/>
        </w:rPr>
        <w:lastRenderedPageBreak/>
        <w:t>因此，</w:t>
      </w:r>
      <w:r w:rsidR="005E6A6F">
        <w:rPr>
          <w:rFonts w:ascii="KaiTi" w:eastAsia="KaiTi" w:hAnsi="KaiTi" w:hint="eastAsia"/>
        </w:rPr>
        <w:t>在</w:t>
      </w:r>
      <w:r w:rsidRPr="009623A1">
        <w:rPr>
          <w:rFonts w:ascii="KaiTi" w:eastAsia="KaiTi" w:hAnsi="KaiTi"/>
        </w:rPr>
        <w:t>资产组合中</w:t>
      </w:r>
      <w:r w:rsidR="005E6A6F">
        <w:rPr>
          <w:rFonts w:ascii="KaiTi" w:eastAsia="KaiTi" w:hAnsi="KaiTi" w:hint="eastAsia"/>
        </w:rPr>
        <w:t>放入一系列的</w:t>
      </w:r>
      <w:r w:rsidRPr="009623A1">
        <w:rPr>
          <w:rFonts w:ascii="KaiTi" w:eastAsia="KaiTi" w:hAnsi="KaiTi"/>
        </w:rPr>
        <w:t>低相关性</w:t>
      </w:r>
      <w:r w:rsidR="005E6A6F">
        <w:rPr>
          <w:rFonts w:ascii="KaiTi" w:eastAsia="KaiTi" w:hAnsi="KaiTi" w:hint="eastAsia"/>
        </w:rPr>
        <w:t>的</w:t>
      </w:r>
      <w:r w:rsidRPr="009623A1">
        <w:rPr>
          <w:rFonts w:ascii="KaiTi" w:eastAsia="KaiTi" w:hAnsi="KaiTi" w:hint="eastAsia"/>
        </w:rPr>
        <w:t>资</w:t>
      </w:r>
      <w:r w:rsidRPr="009623A1">
        <w:rPr>
          <w:rFonts w:ascii="KaiTi" w:eastAsia="KaiTi" w:hAnsi="KaiTi"/>
        </w:rPr>
        <w:t>产至关重要。通过多元化配置，尤其是结合股票和固定收益资产，投资者能够在享受市场上涨红利的同时，有效降低市场波动对投资回报的冲击。长期投资组合的稳定性，是每一个投资者在面对市场短期波动时的护航盾牌。</w:t>
      </w:r>
    </w:p>
    <w:p w14:paraId="4FBD3779" w14:textId="77777777" w:rsidR="009623A1" w:rsidRPr="009623A1" w:rsidRDefault="009623A1" w:rsidP="009623A1">
      <w:pPr>
        <w:rPr>
          <w:rFonts w:ascii="KaiTi" w:eastAsia="KaiTi" w:hAnsi="KaiTi"/>
        </w:rPr>
      </w:pPr>
    </w:p>
    <w:p w14:paraId="2905F5C0" w14:textId="77777777" w:rsidR="009623A1" w:rsidRPr="009623A1" w:rsidRDefault="009623A1" w:rsidP="009623A1">
      <w:pPr>
        <w:rPr>
          <w:rFonts w:ascii="KaiTi" w:eastAsia="KaiTi" w:hAnsi="KaiTi"/>
        </w:rPr>
      </w:pPr>
      <w:r w:rsidRPr="009623A1">
        <w:rPr>
          <w:rFonts w:ascii="KaiTi" w:eastAsia="KaiTi" w:hAnsi="KaiTi"/>
          <w:b/>
          <w:bCs/>
        </w:rPr>
        <w:t>3. 在市场中活下来，方可见未来</w:t>
      </w:r>
    </w:p>
    <w:p w14:paraId="64B18397" w14:textId="77777777" w:rsidR="009623A1" w:rsidRPr="009623A1" w:rsidRDefault="009623A1" w:rsidP="009623A1">
      <w:pPr>
        <w:rPr>
          <w:rFonts w:ascii="KaiTi" w:eastAsia="KaiTi" w:hAnsi="KaiTi"/>
        </w:rPr>
      </w:pPr>
    </w:p>
    <w:p w14:paraId="09122495" w14:textId="77777777" w:rsidR="009623A1" w:rsidRPr="009623A1" w:rsidRDefault="009623A1" w:rsidP="009623A1">
      <w:pPr>
        <w:rPr>
          <w:rFonts w:ascii="KaiTi" w:eastAsia="KaiTi" w:hAnsi="KaiTi"/>
        </w:rPr>
      </w:pPr>
      <w:r w:rsidRPr="009623A1">
        <w:rPr>
          <w:rFonts w:ascii="KaiTi" w:eastAsia="KaiTi" w:hAnsi="KaiTi"/>
        </w:rPr>
        <w:t>过去五年，港股市场经历了连续的下行压力。尽管市场环境严峻，我们始终坚持一项原则——“活下来”。投资者首要的目标，是在市场中生存并积累资本。这是历史上无数投资者成功的共识，无论市场的起伏如何，只有“在市场里待着”，才能抓住未来可能到来的反弹机会。</w:t>
      </w:r>
    </w:p>
    <w:p w14:paraId="18120AC0" w14:textId="77777777" w:rsidR="009623A1" w:rsidRPr="009623A1" w:rsidRDefault="009623A1" w:rsidP="009623A1">
      <w:pPr>
        <w:rPr>
          <w:rFonts w:ascii="KaiTi" w:eastAsia="KaiTi" w:hAnsi="KaiTi"/>
        </w:rPr>
      </w:pPr>
    </w:p>
    <w:p w14:paraId="07331815" w14:textId="77777777" w:rsidR="009623A1" w:rsidRPr="009623A1" w:rsidRDefault="009623A1" w:rsidP="009623A1">
      <w:pPr>
        <w:rPr>
          <w:rFonts w:ascii="KaiTi" w:eastAsia="KaiTi" w:hAnsi="KaiTi"/>
        </w:rPr>
      </w:pPr>
      <w:r w:rsidRPr="009623A1">
        <w:rPr>
          <w:rFonts w:ascii="KaiTi" w:eastAsia="KaiTi" w:hAnsi="KaiTi"/>
          <w:b/>
          <w:bCs/>
        </w:rPr>
        <w:t>4. 仓位足够，才能对生活产生实质性影响</w:t>
      </w:r>
    </w:p>
    <w:p w14:paraId="4E2F972C" w14:textId="77777777" w:rsidR="009623A1" w:rsidRPr="009623A1" w:rsidRDefault="009623A1" w:rsidP="009623A1">
      <w:pPr>
        <w:rPr>
          <w:rFonts w:ascii="KaiTi" w:eastAsia="KaiTi" w:hAnsi="KaiTi"/>
        </w:rPr>
      </w:pPr>
    </w:p>
    <w:p w14:paraId="6159BC46" w14:textId="3CF6BBFB" w:rsidR="005E6A6F" w:rsidRPr="009623A1" w:rsidRDefault="009623A1" w:rsidP="005E6A6F">
      <w:pPr>
        <w:rPr>
          <w:rFonts w:ascii="KaiTi" w:eastAsia="KaiTi" w:hAnsi="KaiTi"/>
        </w:rPr>
      </w:pPr>
      <w:r w:rsidRPr="009623A1">
        <w:rPr>
          <w:rFonts w:ascii="KaiTi" w:eastAsia="KaiTi" w:hAnsi="KaiTi"/>
        </w:rPr>
        <w:t>正如巴菲特所言：“投资是一项长期的事业，短期的市场波动并不影响我们长期的投资策略。”为了确保资产增值对您生活产生实质性影响，投资者的仓位需要足够大，才能通过资本的增长带来可观的回报。过于保守的仓位难以在市场机会来临时充分享受资产增值的红利。</w:t>
      </w:r>
      <w:r w:rsidR="005E6A6F" w:rsidRPr="005E6A6F">
        <w:rPr>
          <w:rFonts w:ascii="KaiTi" w:eastAsia="KaiTi" w:hAnsi="KaiTi" w:hint="eastAsia"/>
        </w:rPr>
        <w:t>然而，较大的仓位也可能带来较大的波动，而这种波动常常会对投资者的心态产生显著影响。</w:t>
      </w:r>
    </w:p>
    <w:p w14:paraId="05BAEB38" w14:textId="4A98BFF7" w:rsidR="009623A1" w:rsidRPr="009623A1" w:rsidRDefault="009623A1" w:rsidP="009623A1">
      <w:pPr>
        <w:rPr>
          <w:rFonts w:ascii="KaiTi" w:eastAsia="KaiTi" w:hAnsi="KaiTi"/>
        </w:rPr>
      </w:pPr>
    </w:p>
    <w:p w14:paraId="6EDE898D" w14:textId="77777777" w:rsidR="009623A1" w:rsidRPr="009623A1" w:rsidRDefault="009623A1" w:rsidP="009623A1">
      <w:pPr>
        <w:rPr>
          <w:rFonts w:ascii="KaiTi" w:eastAsia="KaiTi" w:hAnsi="KaiTi"/>
        </w:rPr>
      </w:pPr>
      <w:r w:rsidRPr="009623A1">
        <w:rPr>
          <w:rFonts w:ascii="KaiTi" w:eastAsia="KaiTi" w:hAnsi="KaiTi"/>
          <w:b/>
          <w:bCs/>
        </w:rPr>
        <w:t>5. 通过组合配置实现更高收益与流动性</w:t>
      </w:r>
    </w:p>
    <w:p w14:paraId="6A4FC7A1" w14:textId="77777777" w:rsidR="009623A1" w:rsidRPr="009623A1" w:rsidRDefault="009623A1" w:rsidP="009623A1">
      <w:pPr>
        <w:rPr>
          <w:rFonts w:ascii="KaiTi" w:eastAsia="KaiTi" w:hAnsi="KaiTi"/>
        </w:rPr>
      </w:pPr>
    </w:p>
    <w:p w14:paraId="11AA4A6D" w14:textId="04EF058A" w:rsidR="009623A1" w:rsidRDefault="009623A1" w:rsidP="009623A1">
      <w:pPr>
        <w:rPr>
          <w:rFonts w:ascii="KaiTi" w:eastAsia="KaiTi" w:hAnsi="KaiTi"/>
        </w:rPr>
      </w:pPr>
      <w:r w:rsidRPr="009623A1">
        <w:rPr>
          <w:rFonts w:ascii="KaiTi" w:eastAsia="KaiTi" w:hAnsi="KaiTi"/>
        </w:rPr>
        <w:t>在当前市场反弹的机会中，我们致力于帮助客户通过组合配置的方式，实现</w:t>
      </w:r>
      <w:r w:rsidR="005E6A6F">
        <w:rPr>
          <w:rFonts w:ascii="KaiTi" w:eastAsia="KaiTi" w:hAnsi="KaiTi" w:hint="eastAsia"/>
        </w:rPr>
        <w:t>安全性、</w:t>
      </w:r>
      <w:r w:rsidRPr="009623A1">
        <w:rPr>
          <w:rFonts w:ascii="KaiTi" w:eastAsia="KaiTi" w:hAnsi="KaiTi"/>
        </w:rPr>
        <w:t>收益和流动性</w:t>
      </w:r>
      <w:r w:rsidR="005E6A6F">
        <w:rPr>
          <w:rFonts w:ascii="KaiTi" w:eastAsia="KaiTi" w:hAnsi="KaiTi" w:hint="eastAsia"/>
        </w:rPr>
        <w:t>的良性结合</w:t>
      </w:r>
      <w:r w:rsidRPr="009623A1">
        <w:rPr>
          <w:rFonts w:ascii="KaiTi" w:eastAsia="KaiTi" w:hAnsi="KaiTi"/>
        </w:rPr>
        <w:t>。通过高质量的资产组合，客户不仅能够捕捉到中国资产价值重估的机会，同时也能够平衡风险与回报，确保在不同市场周期中都能维持相对较高的回报水平。</w:t>
      </w:r>
    </w:p>
    <w:p w14:paraId="410C0997" w14:textId="77777777" w:rsidR="005E6A6F" w:rsidRPr="005E6A6F" w:rsidRDefault="005E6A6F" w:rsidP="005E6A6F">
      <w:pPr>
        <w:rPr>
          <w:rFonts w:ascii="KaiTi" w:eastAsia="KaiTi" w:hAnsi="KaiTi"/>
        </w:rPr>
      </w:pPr>
      <w:r w:rsidRPr="005E6A6F">
        <w:rPr>
          <w:rFonts w:ascii="KaiTi" w:eastAsia="KaiTi" w:hAnsi="KaiTi"/>
        </w:rPr>
        <w:t>为了更好地应对市场波动，长期投资配置工具，如储蓄分红险等，能够为投资者提供更加稳定、可预见的收益。这些工具不仅在长期内提供资本增值的潜力，而且由于其内在的稳定性和定期分红功能，可以帮助投资者更好地应对市场波动带来的心理压力。通过这些</w:t>
      </w:r>
      <w:r w:rsidRPr="005E6A6F">
        <w:rPr>
          <w:rFonts w:ascii="KaiTi" w:eastAsia="KaiTi" w:hAnsi="KaiTi"/>
        </w:rPr>
        <w:lastRenderedPageBreak/>
        <w:t>“时间友好”的工具，投资者可以在享受市场增长红利的同时，减少频繁调整和情绪波动带来的负担。</w:t>
      </w:r>
    </w:p>
    <w:p w14:paraId="568E117C" w14:textId="77777777" w:rsidR="005E6A6F" w:rsidRDefault="005E6A6F" w:rsidP="009623A1">
      <w:pPr>
        <w:rPr>
          <w:rFonts w:ascii="KaiTi" w:eastAsia="KaiTi" w:hAnsi="KaiTi"/>
        </w:rPr>
      </w:pPr>
    </w:p>
    <w:p w14:paraId="4BC113BB" w14:textId="23419C30" w:rsidR="009623A1" w:rsidRDefault="009623A1" w:rsidP="00DD4DD9">
      <w:pPr>
        <w:rPr>
          <w:rFonts w:ascii="KaiTi" w:eastAsia="KaiTi" w:hAnsi="KaiTi"/>
        </w:rPr>
      </w:pPr>
      <w:r w:rsidRPr="009623A1">
        <w:rPr>
          <w:rFonts w:ascii="KaiTi" w:eastAsia="KaiTi" w:hAnsi="KaiTi"/>
        </w:rPr>
        <w:t>正如我们一直倡导的，真正的财富管理不仅仅是眼前的短期收益，更是长期的战略性布局。我们愿意与您一同走在这条路上，帮助您更好地管理财富，实现您家庭和未来的财务目标。</w:t>
      </w:r>
    </w:p>
    <w:p w14:paraId="402C0F7E" w14:textId="77777777" w:rsidR="009623A1" w:rsidRDefault="009623A1" w:rsidP="00DD4DD9">
      <w:pPr>
        <w:rPr>
          <w:rFonts w:ascii="KaiTi" w:eastAsia="KaiTi" w:hAnsi="KaiTi"/>
        </w:rPr>
      </w:pPr>
    </w:p>
    <w:p w14:paraId="16406628" w14:textId="0E213F32" w:rsidR="00BF0608" w:rsidRPr="00433533" w:rsidRDefault="00433533" w:rsidP="00DD4DD9">
      <w:pPr>
        <w:rPr>
          <w:rFonts w:ascii="KaiTi" w:eastAsia="KaiTi" w:hAnsi="KaiTi"/>
          <w:b/>
          <w:bCs/>
        </w:rPr>
      </w:pPr>
      <w:r>
        <w:rPr>
          <w:rFonts w:ascii="KaiTi" w:eastAsia="KaiTi" w:hAnsi="KaiTi" w:hint="eastAsia"/>
          <w:b/>
          <w:bCs/>
        </w:rPr>
        <w:t>海外</w:t>
      </w:r>
      <w:r w:rsidRPr="00433533">
        <w:rPr>
          <w:rFonts w:ascii="KaiTi" w:eastAsia="KaiTi" w:hAnsi="KaiTi" w:hint="eastAsia"/>
          <w:b/>
          <w:bCs/>
        </w:rPr>
        <w:t>市场概览</w:t>
      </w:r>
    </w:p>
    <w:p w14:paraId="50BE3744" w14:textId="77777777" w:rsidR="008310EB" w:rsidRPr="008310EB" w:rsidRDefault="008310EB" w:rsidP="008310EB">
      <w:pPr>
        <w:autoSpaceDE w:val="0"/>
        <w:autoSpaceDN w:val="0"/>
        <w:adjustRightInd w:val="0"/>
        <w:spacing w:after="0" w:line="240" w:lineRule="auto"/>
        <w:rPr>
          <w:rFonts w:ascii="KaiTi" w:eastAsia="KaiTi" w:hAnsi="KaiTi" w:hint="eastAsia"/>
        </w:rPr>
      </w:pPr>
      <w:r w:rsidRPr="008310EB">
        <w:rPr>
          <w:rFonts w:ascii="KaiTi" w:eastAsia="KaiTi" w:hAnsi="KaiTi" w:hint="eastAsia"/>
        </w:rPr>
        <w:t>近期的经济数据表明，通货膨胀压力依然存在。美国的生产者价格指数（PPI）和消费者价格指数（CPI）分别增长了3.5%和3.0%。尽管这些数字高于美联储的2.0%的目标，核心数据（剔除食品和能源）显示，通胀的影响可能更加深远，可能会影响未来的货币政策。</w:t>
      </w:r>
    </w:p>
    <w:p w14:paraId="2C5B0086" w14:textId="77777777" w:rsidR="008310EB" w:rsidRPr="008310EB" w:rsidRDefault="008310EB" w:rsidP="008310EB">
      <w:pPr>
        <w:autoSpaceDE w:val="0"/>
        <w:autoSpaceDN w:val="0"/>
        <w:adjustRightInd w:val="0"/>
        <w:spacing w:after="0" w:line="240" w:lineRule="auto"/>
        <w:rPr>
          <w:rFonts w:ascii="KaiTi" w:eastAsia="KaiTi" w:hAnsi="KaiTi" w:hint="eastAsia"/>
        </w:rPr>
      </w:pPr>
    </w:p>
    <w:p w14:paraId="3A2FDFD5" w14:textId="77777777" w:rsidR="008310EB" w:rsidRPr="008310EB" w:rsidRDefault="008310EB" w:rsidP="008310EB">
      <w:pPr>
        <w:autoSpaceDE w:val="0"/>
        <w:autoSpaceDN w:val="0"/>
        <w:adjustRightInd w:val="0"/>
        <w:spacing w:after="0" w:line="240" w:lineRule="auto"/>
        <w:rPr>
          <w:rFonts w:ascii="KaiTi" w:eastAsia="KaiTi" w:hAnsi="KaiTi" w:hint="eastAsia"/>
        </w:rPr>
      </w:pPr>
      <w:r w:rsidRPr="008310EB">
        <w:rPr>
          <w:rFonts w:ascii="KaiTi" w:eastAsia="KaiTi" w:hAnsi="KaiTi" w:hint="eastAsia"/>
        </w:rPr>
        <w:t>随着特朗普政府对多个国际贸易伙伴的关税政策的进一步明确，尤其是在2025年4月1日对中国、加拿大和墨西哥的产品增加关税后，物价可能面临进一步上涨的压力。这一系列的财政政策将对美联储的决策产生影响，可能会对未来的降息进程产生一定的制约。</w:t>
      </w:r>
    </w:p>
    <w:p w14:paraId="59AACF56" w14:textId="77777777" w:rsidR="008310EB" w:rsidRPr="008310EB" w:rsidRDefault="008310EB" w:rsidP="008310EB">
      <w:pPr>
        <w:autoSpaceDE w:val="0"/>
        <w:autoSpaceDN w:val="0"/>
        <w:adjustRightInd w:val="0"/>
        <w:spacing w:after="0" w:line="240" w:lineRule="auto"/>
        <w:rPr>
          <w:rFonts w:ascii="KaiTi" w:eastAsia="KaiTi" w:hAnsi="KaiTi"/>
        </w:rPr>
      </w:pPr>
    </w:p>
    <w:p w14:paraId="08E0F1BC" w14:textId="77777777" w:rsidR="008310EB" w:rsidRPr="008310EB" w:rsidRDefault="008310EB" w:rsidP="008310EB">
      <w:pPr>
        <w:autoSpaceDE w:val="0"/>
        <w:autoSpaceDN w:val="0"/>
        <w:adjustRightInd w:val="0"/>
        <w:spacing w:after="0" w:line="240" w:lineRule="auto"/>
        <w:rPr>
          <w:rFonts w:ascii="KaiTi" w:eastAsia="KaiTi" w:hAnsi="KaiTi" w:hint="eastAsia"/>
        </w:rPr>
      </w:pPr>
      <w:r w:rsidRPr="008310EB">
        <w:rPr>
          <w:rFonts w:ascii="KaiTi" w:eastAsia="KaiTi" w:hAnsi="KaiTi" w:hint="eastAsia"/>
        </w:rPr>
        <w:t>此外，消费者信心指数和零售销售数据也表现疲弱。根据美国消费者信心指数的最新数据，1月份的消费者信心下降了5.4点，这表明消费者对未来经济状况和收入的预期变得更加谨慎。美国1月的零售销售额下降了0.9%，这一数据比12月的0.7%的增长更为疲弱。</w:t>
      </w:r>
    </w:p>
    <w:p w14:paraId="38A66475" w14:textId="77777777" w:rsidR="008310EB" w:rsidRPr="008310EB" w:rsidRDefault="008310EB" w:rsidP="008310EB">
      <w:pPr>
        <w:autoSpaceDE w:val="0"/>
        <w:autoSpaceDN w:val="0"/>
        <w:adjustRightInd w:val="0"/>
        <w:spacing w:after="0" w:line="240" w:lineRule="auto"/>
        <w:rPr>
          <w:rFonts w:ascii="KaiTi" w:eastAsia="KaiTi" w:hAnsi="KaiTi"/>
        </w:rPr>
      </w:pPr>
    </w:p>
    <w:p w14:paraId="5195810D" w14:textId="6268A7F4" w:rsidR="00C25F33" w:rsidRPr="000C1D9B" w:rsidRDefault="008310EB" w:rsidP="008310EB">
      <w:pPr>
        <w:autoSpaceDE w:val="0"/>
        <w:autoSpaceDN w:val="0"/>
        <w:adjustRightInd w:val="0"/>
        <w:spacing w:after="0" w:line="240" w:lineRule="auto"/>
        <w:rPr>
          <w:rFonts w:ascii="KaiTi" w:eastAsia="KaiTi" w:hAnsi="KaiTi" w:cs="Arial"/>
          <w:kern w:val="0"/>
        </w:rPr>
      </w:pPr>
      <w:r w:rsidRPr="008310EB">
        <w:rPr>
          <w:rFonts w:ascii="KaiTi" w:eastAsia="KaiTi" w:hAnsi="KaiTi" w:hint="eastAsia"/>
        </w:rPr>
        <w:t>尽管如此，第四季度的企业盈利报告表现超出预期，超过75%的标准普尔500指数成分股公司报告的利润增长约为17%，这意味着2024年第四季度将成为自2021年第四季度以来最强劲的年同比盈利增长。</w:t>
      </w:r>
    </w:p>
    <w:p w14:paraId="599F205E" w14:textId="77777777" w:rsidR="00095622" w:rsidRPr="000C1D9B" w:rsidRDefault="00095622" w:rsidP="000243A7">
      <w:pPr>
        <w:autoSpaceDE w:val="0"/>
        <w:autoSpaceDN w:val="0"/>
        <w:adjustRightInd w:val="0"/>
        <w:spacing w:after="0" w:line="240" w:lineRule="auto"/>
        <w:rPr>
          <w:rFonts w:ascii="KaiTi" w:eastAsia="KaiTi" w:hAnsi="KaiTi" w:cs="Arial"/>
          <w:kern w:val="0"/>
        </w:rPr>
      </w:pPr>
    </w:p>
    <w:p w14:paraId="3C8CBC5C" w14:textId="58353A34" w:rsidR="00B87E04" w:rsidRPr="000C1D9B" w:rsidRDefault="00610169" w:rsidP="00610169">
      <w:pPr>
        <w:rPr>
          <w:rFonts w:ascii="KaiTi" w:eastAsia="KaiTi" w:hAnsi="KaiTi"/>
          <w:b/>
          <w:bCs/>
        </w:rPr>
      </w:pPr>
      <w:r w:rsidRPr="000C1D9B">
        <w:rPr>
          <w:rFonts w:ascii="KaiTi" w:eastAsia="KaiTi" w:hAnsi="KaiTi" w:hint="eastAsia"/>
          <w:b/>
          <w:bCs/>
        </w:rPr>
        <w:t>示例组合运行情况</w:t>
      </w:r>
    </w:p>
    <w:p w14:paraId="41DC8E22" w14:textId="7277CF87" w:rsidR="00610169" w:rsidRPr="000C1D9B" w:rsidRDefault="00610169" w:rsidP="00610169">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为了能够更好地帮助大家理解和熟悉我们的长期配置思路，我们通过公司投连险平台管理了两个典型组合。两个组合都以100万美金的初始投入为例，并于10月24日完成建仓买入。</w:t>
      </w:r>
    </w:p>
    <w:p w14:paraId="454592C1" w14:textId="77777777" w:rsidR="00610169" w:rsidRPr="000C1D9B" w:rsidRDefault="00610169" w:rsidP="00610169">
      <w:pPr>
        <w:rPr>
          <w:rFonts w:ascii="KaiTi" w:eastAsia="KaiTi" w:hAnsi="KaiTi"/>
          <w:b/>
          <w:bCs/>
        </w:rPr>
      </w:pPr>
      <w:r w:rsidRPr="000C1D9B">
        <w:rPr>
          <w:rFonts w:ascii="KaiTi" w:eastAsia="KaiTi" w:hAnsi="KaiTi" w:hint="eastAsia"/>
          <w:b/>
          <w:bCs/>
        </w:rPr>
        <w:t>组合1: 长线增长 ILI Long Term Accumulation</w:t>
      </w:r>
    </w:p>
    <w:p w14:paraId="191BDF3E" w14:textId="77777777" w:rsidR="00610169" w:rsidRPr="000C1D9B" w:rsidRDefault="00610169" w:rsidP="00610169">
      <w:pPr>
        <w:rPr>
          <w:rFonts w:ascii="KaiTi" w:eastAsia="KaiTi" w:hAnsi="KaiTi"/>
        </w:rPr>
      </w:pPr>
    </w:p>
    <w:p w14:paraId="76BE4D8D" w14:textId="297D103B" w:rsidR="00610169" w:rsidRPr="000C1D9B" w:rsidRDefault="00610169" w:rsidP="00610169">
      <w:pPr>
        <w:rPr>
          <w:rFonts w:ascii="KaiTi" w:eastAsia="KaiTi" w:hAnsi="KaiTi"/>
        </w:rPr>
      </w:pPr>
      <w:r w:rsidRPr="000C1D9B">
        <w:rPr>
          <w:rFonts w:ascii="KaiTi" w:eastAsia="KaiTi" w:hAnsi="KaiTi" w:hint="eastAsia"/>
        </w:rPr>
        <w:t>其中第一个组合更关注长期的增长，通过固定收益、房地产和优质股票的组合来实现</w:t>
      </w:r>
      <w:r w:rsidR="00974058" w:rsidRPr="000C1D9B">
        <w:rPr>
          <w:rFonts w:ascii="KaiTi" w:eastAsia="KaiTi" w:hAnsi="KaiTi" w:hint="eastAsia"/>
        </w:rPr>
        <w:t>，他们的配置比例为40%：25%：35%</w:t>
      </w:r>
      <w:r w:rsidRPr="000C1D9B">
        <w:rPr>
          <w:rFonts w:ascii="KaiTi" w:eastAsia="KaiTi" w:hAnsi="KaiTi" w:hint="eastAsia"/>
        </w:rPr>
        <w:t>。</w:t>
      </w:r>
    </w:p>
    <w:p w14:paraId="715FE02C" w14:textId="49D9E1D4" w:rsidR="00610169" w:rsidRPr="000C1D9B" w:rsidRDefault="00610169" w:rsidP="00610169">
      <w:pPr>
        <w:rPr>
          <w:rFonts w:ascii="KaiTi" w:eastAsia="KaiTi" w:hAnsi="KaiTi"/>
        </w:rPr>
      </w:pPr>
      <w:r w:rsidRPr="000C1D9B">
        <w:rPr>
          <w:rFonts w:ascii="KaiTi" w:eastAsia="KaiTi" w:hAnsi="KaiTi" w:hint="eastAsia"/>
        </w:rPr>
        <w:t>截止202</w:t>
      </w:r>
      <w:r w:rsidR="00026074">
        <w:rPr>
          <w:rFonts w:ascii="KaiTi" w:eastAsia="KaiTi" w:hAnsi="KaiTi" w:hint="eastAsia"/>
        </w:rPr>
        <w:t>5</w:t>
      </w:r>
      <w:r w:rsidRPr="000C1D9B">
        <w:rPr>
          <w:rFonts w:ascii="KaiTi" w:eastAsia="KaiTi" w:hAnsi="KaiTi" w:hint="eastAsia"/>
        </w:rPr>
        <w:t>年</w:t>
      </w:r>
      <w:r w:rsidR="002029DF">
        <w:rPr>
          <w:rFonts w:ascii="KaiTi" w:eastAsia="KaiTi" w:hAnsi="KaiTi" w:hint="eastAsia"/>
        </w:rPr>
        <w:t>2</w:t>
      </w:r>
      <w:r w:rsidRPr="000C1D9B">
        <w:rPr>
          <w:rFonts w:ascii="KaiTi" w:eastAsia="KaiTi" w:hAnsi="KaiTi" w:hint="eastAsia"/>
        </w:rPr>
        <w:t>月2</w:t>
      </w:r>
      <w:r w:rsidR="002029DF">
        <w:rPr>
          <w:rFonts w:ascii="KaiTi" w:eastAsia="KaiTi" w:hAnsi="KaiTi" w:hint="eastAsia"/>
        </w:rPr>
        <w:t>5</w:t>
      </w:r>
      <w:r w:rsidRPr="000C1D9B">
        <w:rPr>
          <w:rFonts w:ascii="KaiTi" w:eastAsia="KaiTi" w:hAnsi="KaiTi" w:hint="eastAsia"/>
        </w:rPr>
        <w:t>日，这个组合的运行情况如下：</w:t>
      </w:r>
    </w:p>
    <w:p w14:paraId="5965973B" w14:textId="1A369957" w:rsidR="00974058" w:rsidRPr="000C1D9B" w:rsidRDefault="002029DF" w:rsidP="00610169">
      <w:pPr>
        <w:rPr>
          <w:rFonts w:ascii="KaiTi" w:eastAsia="KaiTi" w:hAnsi="KaiTi"/>
        </w:rPr>
      </w:pPr>
      <w:r>
        <w:rPr>
          <w:noProof/>
        </w:rPr>
        <w:lastRenderedPageBreak/>
        <w:drawing>
          <wp:inline distT="0" distB="0" distL="0" distR="0" wp14:anchorId="3BA5506F" wp14:editId="41F49998">
            <wp:extent cx="5943600" cy="1745615"/>
            <wp:effectExtent l="0" t="0" r="0" b="0"/>
            <wp:docPr id="9420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015" name=""/>
                    <pic:cNvPicPr/>
                  </pic:nvPicPr>
                  <pic:blipFill>
                    <a:blip r:embed="rId6"/>
                    <a:stretch>
                      <a:fillRect/>
                    </a:stretch>
                  </pic:blipFill>
                  <pic:spPr>
                    <a:xfrm>
                      <a:off x="0" y="0"/>
                      <a:ext cx="5943600" cy="1745615"/>
                    </a:xfrm>
                    <a:prstGeom prst="rect">
                      <a:avLst/>
                    </a:prstGeom>
                  </pic:spPr>
                </pic:pic>
              </a:graphicData>
            </a:graphic>
          </wp:inline>
        </w:drawing>
      </w:r>
    </w:p>
    <w:p w14:paraId="683305E0" w14:textId="5E8F0D66" w:rsidR="00517DEA" w:rsidRPr="000C1D9B" w:rsidRDefault="002029DF" w:rsidP="00610169">
      <w:pPr>
        <w:rPr>
          <w:rFonts w:ascii="KaiTi" w:eastAsia="KaiTi" w:hAnsi="KaiTi"/>
        </w:rPr>
      </w:pPr>
      <w:r>
        <w:rPr>
          <w:rFonts w:ascii="KaiTi" w:eastAsia="KaiTi" w:hAnsi="KaiTi" w:hint="eastAsia"/>
        </w:rPr>
        <w:t>尽管上个月中国</w:t>
      </w:r>
      <w:proofErr w:type="spellStart"/>
      <w:r>
        <w:rPr>
          <w:rFonts w:ascii="KaiTi" w:eastAsia="KaiTi" w:hAnsi="KaiTi" w:hint="eastAsia"/>
        </w:rPr>
        <w:t>DeepSeek</w:t>
      </w:r>
      <w:proofErr w:type="spellEnd"/>
      <w:r>
        <w:rPr>
          <w:rFonts w:ascii="KaiTi" w:eastAsia="KaiTi" w:hAnsi="KaiTi" w:hint="eastAsia"/>
        </w:rPr>
        <w:t>横空出世，对美股科技股板块有不小的冲击，但本组合表现依然较为平稳。随着美联储降息预期冲击的消退，与利率相关的高敏感资产，例如债券和房地产基金价格都有所反弹。</w:t>
      </w:r>
      <w:r w:rsidR="00517DEA">
        <w:rPr>
          <w:rFonts w:ascii="KaiTi" w:eastAsia="KaiTi" w:hAnsi="KaiTi" w:hint="eastAsia"/>
        </w:rPr>
        <w:t>组合整体累积表现为</w:t>
      </w:r>
      <w:r>
        <w:rPr>
          <w:rFonts w:ascii="KaiTi" w:eastAsia="KaiTi" w:hAnsi="KaiTi"/>
        </w:rPr>
        <w:t>0.94</w:t>
      </w:r>
      <w:r w:rsidR="00517DEA">
        <w:rPr>
          <w:rFonts w:ascii="KaiTi" w:eastAsia="KaiTi" w:hAnsi="KaiTi" w:hint="eastAsia"/>
        </w:rPr>
        <w:t>%。</w:t>
      </w:r>
    </w:p>
    <w:p w14:paraId="7D9CE0A1" w14:textId="77777777" w:rsidR="00B14E80" w:rsidRDefault="00B14E80" w:rsidP="00610169">
      <w:pPr>
        <w:rPr>
          <w:rFonts w:ascii="KaiTi" w:eastAsia="KaiTi" w:hAnsi="KaiTi"/>
          <w:b/>
          <w:bCs/>
        </w:rPr>
      </w:pPr>
    </w:p>
    <w:p w14:paraId="71D98BA2" w14:textId="06628C88" w:rsidR="00610169" w:rsidRPr="00B14E80" w:rsidRDefault="00610169" w:rsidP="00610169">
      <w:pPr>
        <w:rPr>
          <w:rFonts w:ascii="KaiTi" w:eastAsia="KaiTi" w:hAnsi="KaiTi"/>
          <w:b/>
          <w:bCs/>
        </w:rPr>
      </w:pPr>
      <w:r w:rsidRPr="000C1D9B">
        <w:rPr>
          <w:rFonts w:ascii="KaiTi" w:eastAsia="KaiTi" w:hAnsi="KaiTi" w:hint="eastAsia"/>
          <w:b/>
          <w:bCs/>
        </w:rPr>
        <w:t>组合2: 收息现金流 ILI CASH GENERATOR</w:t>
      </w:r>
    </w:p>
    <w:p w14:paraId="4AABE039" w14:textId="7B72C2E3" w:rsidR="00263AC5" w:rsidRPr="000C1D9B" w:rsidRDefault="00610169" w:rsidP="00263AC5">
      <w:pPr>
        <w:rPr>
          <w:rFonts w:ascii="KaiTi" w:eastAsia="KaiTi" w:hAnsi="KaiTi"/>
        </w:rPr>
      </w:pPr>
      <w:r w:rsidRPr="000C1D9B">
        <w:rPr>
          <w:rFonts w:ascii="KaiTi" w:eastAsia="KaiTi" w:hAnsi="KaiTi" w:hint="eastAsia"/>
        </w:rPr>
        <w:t>组合2选择派息型的基金，可以在投入后第一个月就开始收取分红，在储蓄分红险之外打造一个即时产生的被动现金流工具</w:t>
      </w:r>
      <w:r w:rsidR="00270CC8">
        <w:rPr>
          <w:rFonts w:ascii="KaiTi" w:eastAsia="KaiTi" w:hAnsi="KaiTi" w:hint="eastAsia"/>
        </w:rPr>
        <w:t>。该组合</w:t>
      </w:r>
      <w:r w:rsidR="00263AC5" w:rsidRPr="000C1D9B">
        <w:rPr>
          <w:rFonts w:ascii="KaiTi" w:eastAsia="KaiTi" w:hAnsi="KaiTi" w:hint="eastAsia"/>
        </w:rPr>
        <w:t>通过固定收益和</w:t>
      </w:r>
      <w:r w:rsidR="00263AC5">
        <w:rPr>
          <w:rFonts w:ascii="KaiTi" w:eastAsia="KaiTi" w:hAnsi="KaiTi" w:hint="eastAsia"/>
        </w:rPr>
        <w:t>美国</w:t>
      </w:r>
      <w:r w:rsidR="00263AC5" w:rsidRPr="000C1D9B">
        <w:rPr>
          <w:rFonts w:ascii="KaiTi" w:eastAsia="KaiTi" w:hAnsi="KaiTi" w:hint="eastAsia"/>
        </w:rPr>
        <w:t>优质股票的组合来实现，他们的配置比例为40%：</w:t>
      </w:r>
      <w:r w:rsidR="00263AC5">
        <w:rPr>
          <w:rFonts w:ascii="KaiTi" w:eastAsia="KaiTi" w:hAnsi="KaiTi" w:hint="eastAsia"/>
        </w:rPr>
        <w:t>60</w:t>
      </w:r>
      <w:r w:rsidR="00263AC5" w:rsidRPr="000C1D9B">
        <w:rPr>
          <w:rFonts w:ascii="KaiTi" w:eastAsia="KaiTi" w:hAnsi="KaiTi" w:hint="eastAsia"/>
        </w:rPr>
        <w:t>%。</w:t>
      </w:r>
    </w:p>
    <w:p w14:paraId="313B1F2B" w14:textId="0FE33AA5" w:rsidR="00610169" w:rsidRPr="000C1D9B" w:rsidRDefault="00F625EC" w:rsidP="00610169">
      <w:pPr>
        <w:rPr>
          <w:rFonts w:ascii="KaiTi" w:eastAsia="KaiTi" w:hAnsi="KaiTi"/>
        </w:rPr>
      </w:pPr>
      <w:r w:rsidRPr="000C1D9B">
        <w:rPr>
          <w:rFonts w:ascii="KaiTi" w:eastAsia="KaiTi" w:hAnsi="KaiTi" w:hint="eastAsia"/>
        </w:rPr>
        <w:t>初始投入约100万美金</w:t>
      </w:r>
      <w:r w:rsidR="00270CC8">
        <w:rPr>
          <w:rFonts w:ascii="KaiTi" w:eastAsia="KaiTi" w:hAnsi="KaiTi" w:hint="eastAsia"/>
        </w:rPr>
        <w:t>。</w:t>
      </w:r>
      <w:r w:rsidR="00610169" w:rsidRPr="000C1D9B">
        <w:rPr>
          <w:rFonts w:ascii="KaiTi" w:eastAsia="KaiTi" w:hAnsi="KaiTi" w:hint="eastAsia"/>
        </w:rPr>
        <w:t>按照买入价格，大约可以产生年化6.5%的分红收益，并按月派发。</w:t>
      </w:r>
    </w:p>
    <w:p w14:paraId="72F6AF63" w14:textId="290A594B" w:rsidR="00254FBC" w:rsidRDefault="00254FBC" w:rsidP="00610169">
      <w:pPr>
        <w:rPr>
          <w:rFonts w:ascii="KaiTi" w:eastAsia="KaiTi" w:hAnsi="KaiTi"/>
        </w:rPr>
      </w:pPr>
      <w:r w:rsidRPr="000C1D9B">
        <w:rPr>
          <w:rFonts w:ascii="KaiTi" w:eastAsia="KaiTi" w:hAnsi="KaiTi" w:hint="eastAsia"/>
        </w:rPr>
        <w:t>截止202</w:t>
      </w:r>
      <w:r w:rsidR="00026074">
        <w:rPr>
          <w:rFonts w:ascii="KaiTi" w:eastAsia="KaiTi" w:hAnsi="KaiTi" w:hint="eastAsia"/>
        </w:rPr>
        <w:t>5</w:t>
      </w:r>
      <w:r w:rsidRPr="000C1D9B">
        <w:rPr>
          <w:rFonts w:ascii="KaiTi" w:eastAsia="KaiTi" w:hAnsi="KaiTi" w:hint="eastAsia"/>
        </w:rPr>
        <w:t>年1月2</w:t>
      </w:r>
      <w:r w:rsidR="00026074">
        <w:rPr>
          <w:rFonts w:ascii="KaiTi" w:eastAsia="KaiTi" w:hAnsi="KaiTi" w:hint="eastAsia"/>
        </w:rPr>
        <w:t>4</w:t>
      </w:r>
      <w:r w:rsidRPr="000C1D9B">
        <w:rPr>
          <w:rFonts w:ascii="KaiTi" w:eastAsia="KaiTi" w:hAnsi="KaiTi" w:hint="eastAsia"/>
        </w:rPr>
        <w:t>日，组合运行情况：</w:t>
      </w:r>
    </w:p>
    <w:p w14:paraId="44278A57" w14:textId="0CE50DB7" w:rsidR="00610169" w:rsidRPr="000C1D9B" w:rsidRDefault="002029DF" w:rsidP="00610169">
      <w:pPr>
        <w:rPr>
          <w:rFonts w:ascii="KaiTi" w:eastAsia="KaiTi" w:hAnsi="KaiTi"/>
        </w:rPr>
      </w:pPr>
      <w:r w:rsidRPr="002029DF">
        <w:rPr>
          <w:rFonts w:ascii="KaiTi" w:eastAsia="KaiTi" w:hAnsi="KaiTi"/>
        </w:rPr>
        <w:drawing>
          <wp:inline distT="0" distB="0" distL="0" distR="0" wp14:anchorId="70EFCEBB" wp14:editId="2B15E149">
            <wp:extent cx="5943600" cy="1806575"/>
            <wp:effectExtent l="0" t="0" r="0" b="0"/>
            <wp:docPr id="10180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06610" name=""/>
                    <pic:cNvPicPr/>
                  </pic:nvPicPr>
                  <pic:blipFill>
                    <a:blip r:embed="rId7"/>
                    <a:stretch>
                      <a:fillRect/>
                    </a:stretch>
                  </pic:blipFill>
                  <pic:spPr>
                    <a:xfrm>
                      <a:off x="0" y="0"/>
                      <a:ext cx="5943600" cy="1806575"/>
                    </a:xfrm>
                    <a:prstGeom prst="rect">
                      <a:avLst/>
                    </a:prstGeom>
                  </pic:spPr>
                </pic:pic>
              </a:graphicData>
            </a:graphic>
          </wp:inline>
        </w:drawing>
      </w:r>
    </w:p>
    <w:p w14:paraId="2091BE33" w14:textId="77777777" w:rsidR="002029DF" w:rsidRDefault="00604A99" w:rsidP="00903A83">
      <w:pPr>
        <w:rPr>
          <w:rFonts w:ascii="KaiTi" w:eastAsia="KaiTi" w:hAnsi="KaiTi"/>
        </w:rPr>
      </w:pPr>
      <w:r w:rsidRPr="000C1D9B">
        <w:rPr>
          <w:rFonts w:ascii="KaiTi" w:eastAsia="KaiTi" w:hAnsi="KaiTi" w:hint="eastAsia"/>
        </w:rPr>
        <w:t>从账面价格来看，本组合</w:t>
      </w:r>
      <w:r w:rsidR="00515263">
        <w:rPr>
          <w:rFonts w:ascii="KaiTi" w:eastAsia="KaiTi" w:hAnsi="KaiTi" w:hint="eastAsia"/>
        </w:rPr>
        <w:t>累计</w:t>
      </w:r>
      <w:r w:rsidRPr="000C1D9B">
        <w:rPr>
          <w:rFonts w:ascii="KaiTi" w:eastAsia="KaiTi" w:hAnsi="KaiTi" w:hint="eastAsia"/>
        </w:rPr>
        <w:t>表现为</w:t>
      </w:r>
      <w:r w:rsidR="00517DEA">
        <w:rPr>
          <w:rFonts w:ascii="KaiTi" w:eastAsia="KaiTi" w:hAnsi="KaiTi" w:hint="eastAsia"/>
        </w:rPr>
        <w:t>0.</w:t>
      </w:r>
      <w:r w:rsidR="002029DF">
        <w:rPr>
          <w:rFonts w:ascii="KaiTi" w:eastAsia="KaiTi" w:hAnsi="KaiTi" w:hint="eastAsia"/>
        </w:rPr>
        <w:t>7</w:t>
      </w:r>
      <w:r w:rsidR="00517DEA">
        <w:rPr>
          <w:rFonts w:ascii="KaiTi" w:eastAsia="KaiTi" w:hAnsi="KaiTi" w:hint="eastAsia"/>
        </w:rPr>
        <w:t>2</w:t>
      </w:r>
      <w:r w:rsidRPr="000C1D9B">
        <w:rPr>
          <w:rFonts w:ascii="KaiTi" w:eastAsia="KaiTi" w:hAnsi="KaiTi" w:hint="eastAsia"/>
        </w:rPr>
        <w:t>%，但如果</w:t>
      </w:r>
      <w:r w:rsidR="00A77AA2" w:rsidRPr="000C1D9B">
        <w:rPr>
          <w:rFonts w:ascii="KaiTi" w:eastAsia="KaiTi" w:hAnsi="KaiTi" w:hint="eastAsia"/>
        </w:rPr>
        <w:t>加上</w:t>
      </w:r>
      <w:r w:rsidR="00EA2E0B" w:rsidRPr="000C1D9B">
        <w:rPr>
          <w:rFonts w:ascii="KaiTi" w:eastAsia="KaiTi" w:hAnsi="KaiTi" w:hint="eastAsia"/>
        </w:rPr>
        <w:t>本</w:t>
      </w:r>
      <w:r w:rsidRPr="000C1D9B">
        <w:rPr>
          <w:rFonts w:ascii="KaiTi" w:eastAsia="KaiTi" w:hAnsi="KaiTi" w:hint="eastAsia"/>
        </w:rPr>
        <w:t>组合</w:t>
      </w:r>
      <w:r w:rsidR="00515263">
        <w:rPr>
          <w:rFonts w:ascii="KaiTi" w:eastAsia="KaiTi" w:hAnsi="KaiTi" w:hint="eastAsia"/>
        </w:rPr>
        <w:t>累计</w:t>
      </w:r>
      <w:r w:rsidRPr="000C1D9B">
        <w:rPr>
          <w:rFonts w:ascii="KaiTi" w:eastAsia="KaiTi" w:hAnsi="KaiTi" w:hint="eastAsia"/>
        </w:rPr>
        <w:t>发放</w:t>
      </w:r>
      <w:r w:rsidR="00185554">
        <w:rPr>
          <w:rFonts w:ascii="KaiTi" w:eastAsia="KaiTi" w:hAnsi="KaiTi" w:hint="eastAsia"/>
        </w:rPr>
        <w:t>的</w:t>
      </w:r>
      <w:r w:rsidRPr="000C1D9B">
        <w:rPr>
          <w:rFonts w:ascii="KaiTi" w:eastAsia="KaiTi" w:hAnsi="KaiTi" w:hint="eastAsia"/>
        </w:rPr>
        <w:t>分红，整体</w:t>
      </w:r>
      <w:r w:rsidR="00390AA6">
        <w:rPr>
          <w:rFonts w:ascii="KaiTi" w:eastAsia="KaiTi" w:hAnsi="KaiTi" w:hint="eastAsia"/>
        </w:rPr>
        <w:t>累积</w:t>
      </w:r>
      <w:r w:rsidR="00DB4456">
        <w:rPr>
          <w:rFonts w:ascii="KaiTi" w:eastAsia="KaiTi" w:hAnsi="KaiTi" w:hint="eastAsia"/>
        </w:rPr>
        <w:t>收益为</w:t>
      </w:r>
      <w:r w:rsidR="002029DF">
        <w:rPr>
          <w:rFonts w:ascii="KaiTi" w:eastAsia="KaiTi" w:hAnsi="KaiTi" w:hint="eastAsia"/>
        </w:rPr>
        <w:t>2.91</w:t>
      </w:r>
      <w:r w:rsidR="00DB4456">
        <w:rPr>
          <w:rFonts w:ascii="KaiTi" w:eastAsia="KaiTi" w:hAnsi="KaiTi" w:hint="eastAsia"/>
        </w:rPr>
        <w:t>%</w:t>
      </w:r>
      <w:r w:rsidRPr="000C1D9B">
        <w:rPr>
          <w:rFonts w:ascii="KaiTi" w:eastAsia="KaiTi" w:hAnsi="KaiTi" w:hint="eastAsia"/>
        </w:rPr>
        <w:t>。</w:t>
      </w:r>
    </w:p>
    <w:p w14:paraId="1BE6FB44" w14:textId="1DBC452F" w:rsidR="00415269" w:rsidRDefault="002029DF" w:rsidP="00903A83">
      <w:pPr>
        <w:rPr>
          <w:rFonts w:ascii="KaiTi" w:eastAsia="KaiTi" w:hAnsi="KaiTi"/>
        </w:rPr>
      </w:pPr>
      <w:r>
        <w:rPr>
          <w:rFonts w:ascii="KaiTi" w:eastAsia="KaiTi" w:hAnsi="KaiTi" w:hint="eastAsia"/>
        </w:rPr>
        <w:t>自</w:t>
      </w:r>
      <w:r w:rsidR="00DD4DD9">
        <w:rPr>
          <w:rFonts w:ascii="KaiTi" w:eastAsia="KaiTi" w:hAnsi="KaiTi" w:hint="eastAsia"/>
        </w:rPr>
        <w:t>202</w:t>
      </w:r>
      <w:r>
        <w:rPr>
          <w:rFonts w:ascii="KaiTi" w:eastAsia="KaiTi" w:hAnsi="KaiTi" w:hint="eastAsia"/>
        </w:rPr>
        <w:t>4</w:t>
      </w:r>
      <w:r w:rsidR="00DD4DD9">
        <w:rPr>
          <w:rFonts w:ascii="KaiTi" w:eastAsia="KaiTi" w:hAnsi="KaiTi" w:hint="eastAsia"/>
        </w:rPr>
        <w:t>年</w:t>
      </w:r>
      <w:r w:rsidR="00B44E02">
        <w:rPr>
          <w:rFonts w:ascii="KaiTi" w:eastAsia="KaiTi" w:hAnsi="KaiTi" w:hint="eastAsia"/>
        </w:rPr>
        <w:t>10月</w:t>
      </w:r>
      <w:r>
        <w:rPr>
          <w:rFonts w:ascii="KaiTi" w:eastAsia="KaiTi" w:hAnsi="KaiTi" w:hint="eastAsia"/>
        </w:rPr>
        <w:t>到25年1月</w:t>
      </w:r>
      <w:r w:rsidR="00DD4DD9">
        <w:rPr>
          <w:rFonts w:ascii="KaiTi" w:eastAsia="KaiTi" w:hAnsi="KaiTi" w:hint="eastAsia"/>
        </w:rPr>
        <w:t>，</w:t>
      </w:r>
      <w:r w:rsidR="00EA2E0B" w:rsidRPr="000C1D9B">
        <w:rPr>
          <w:rFonts w:ascii="KaiTi" w:eastAsia="KaiTi" w:hAnsi="KaiTi" w:hint="eastAsia"/>
        </w:rPr>
        <w:t>Z12美国中高等级债券基金</w:t>
      </w:r>
      <w:r>
        <w:rPr>
          <w:rFonts w:ascii="KaiTi" w:eastAsia="KaiTi" w:hAnsi="KaiTi" w:hint="eastAsia"/>
        </w:rPr>
        <w:t>每月</w:t>
      </w:r>
      <w:r w:rsidR="00EA2E0B" w:rsidRPr="000C1D9B">
        <w:rPr>
          <w:rFonts w:ascii="KaiTi" w:eastAsia="KaiTi" w:hAnsi="KaiTi" w:hint="eastAsia"/>
        </w:rPr>
        <w:t>派发</w:t>
      </w:r>
      <w:r>
        <w:rPr>
          <w:rFonts w:ascii="KaiTi" w:eastAsia="KaiTi" w:hAnsi="KaiTi" w:hint="eastAsia"/>
        </w:rPr>
        <w:t>分红</w:t>
      </w:r>
      <w:r w:rsidR="00EA2E0B" w:rsidRPr="000C1D9B">
        <w:rPr>
          <w:rFonts w:ascii="KaiTi" w:eastAsia="KaiTi" w:hAnsi="KaiTi" w:hint="eastAsia"/>
        </w:rPr>
        <w:t>$0.04/</w:t>
      </w:r>
      <w:r w:rsidR="00F625EC" w:rsidRPr="000C1D9B">
        <w:rPr>
          <w:rFonts w:ascii="KaiTi" w:eastAsia="KaiTi" w:hAnsi="KaiTi" w:hint="eastAsia"/>
        </w:rPr>
        <w:t>股</w:t>
      </w:r>
      <w:r w:rsidR="00EA2E0B" w:rsidRPr="000C1D9B">
        <w:rPr>
          <w:rFonts w:ascii="KaiTi" w:eastAsia="KaiTi" w:hAnsi="KaiTi" w:hint="eastAsia"/>
        </w:rPr>
        <w:t>，Z17美国优质股权基金</w:t>
      </w:r>
      <w:r>
        <w:rPr>
          <w:rFonts w:ascii="KaiTi" w:eastAsia="KaiTi" w:hAnsi="KaiTi" w:hint="eastAsia"/>
        </w:rPr>
        <w:t>每月</w:t>
      </w:r>
      <w:r w:rsidR="00EA2E0B" w:rsidRPr="000C1D9B">
        <w:rPr>
          <w:rFonts w:ascii="KaiTi" w:eastAsia="KaiTi" w:hAnsi="KaiTi" w:hint="eastAsia"/>
        </w:rPr>
        <w:t>派发</w:t>
      </w:r>
      <w:r>
        <w:rPr>
          <w:rFonts w:ascii="KaiTi" w:eastAsia="KaiTi" w:hAnsi="KaiTi" w:hint="eastAsia"/>
        </w:rPr>
        <w:t>分红</w:t>
      </w:r>
      <w:r w:rsidR="00EA2E0B" w:rsidRPr="000C1D9B">
        <w:rPr>
          <w:rFonts w:ascii="KaiTi" w:eastAsia="KaiTi" w:hAnsi="KaiTi" w:hint="eastAsia"/>
        </w:rPr>
        <w:t>$0.054/股。</w:t>
      </w:r>
      <w:r w:rsidR="00F625EC" w:rsidRPr="000C1D9B">
        <w:rPr>
          <w:rFonts w:ascii="KaiTi" w:eastAsia="KaiTi" w:hAnsi="KaiTi" w:hint="eastAsia"/>
        </w:rPr>
        <w:t>合计投资者</w:t>
      </w:r>
      <w:r w:rsidR="00DB4456">
        <w:rPr>
          <w:rFonts w:ascii="KaiTi" w:eastAsia="KaiTi" w:hAnsi="KaiTi" w:hint="eastAsia"/>
        </w:rPr>
        <w:t>已累计</w:t>
      </w:r>
      <w:r w:rsidR="00F625EC" w:rsidRPr="000C1D9B">
        <w:rPr>
          <w:rFonts w:ascii="KaiTi" w:eastAsia="KaiTi" w:hAnsi="KaiTi" w:hint="eastAsia"/>
        </w:rPr>
        <w:t>获得$</w:t>
      </w:r>
      <w:r>
        <w:rPr>
          <w:rFonts w:ascii="KaiTi" w:eastAsia="KaiTi" w:hAnsi="KaiTi" w:hint="eastAsia"/>
        </w:rPr>
        <w:t>21871</w:t>
      </w:r>
      <w:r w:rsidR="00185554">
        <w:rPr>
          <w:rFonts w:ascii="KaiTi" w:eastAsia="KaiTi" w:hAnsi="KaiTi" w:hint="eastAsia"/>
        </w:rPr>
        <w:t>（折合人民币</w:t>
      </w:r>
      <w:r w:rsidR="00390AA6">
        <w:rPr>
          <w:rFonts w:ascii="KaiTi" w:eastAsia="KaiTi" w:hAnsi="KaiTi" w:hint="eastAsia"/>
        </w:rPr>
        <w:t>1</w:t>
      </w:r>
      <w:r>
        <w:rPr>
          <w:rFonts w:ascii="KaiTi" w:eastAsia="KaiTi" w:hAnsi="KaiTi" w:hint="eastAsia"/>
        </w:rPr>
        <w:t>57471.2</w:t>
      </w:r>
      <w:r w:rsidR="00185554">
        <w:rPr>
          <w:rFonts w:ascii="KaiTi" w:eastAsia="KaiTi" w:hAnsi="KaiTi" w:hint="eastAsia"/>
        </w:rPr>
        <w:t>元</w:t>
      </w:r>
      <w:r w:rsidR="00DB4456">
        <w:rPr>
          <w:rFonts w:ascii="KaiTi" w:eastAsia="KaiTi" w:hAnsi="KaiTi" w:hint="eastAsia"/>
        </w:rPr>
        <w:t>，汇率按照7.2计算</w:t>
      </w:r>
      <w:r w:rsidR="00185554">
        <w:rPr>
          <w:rFonts w:ascii="KaiTi" w:eastAsia="KaiTi" w:hAnsi="KaiTi" w:hint="eastAsia"/>
        </w:rPr>
        <w:t>）</w:t>
      </w:r>
      <w:r w:rsidR="00254FBC" w:rsidRPr="000C1D9B">
        <w:rPr>
          <w:rFonts w:ascii="KaiTi" w:eastAsia="KaiTi" w:hAnsi="KaiTi" w:hint="eastAsia"/>
        </w:rPr>
        <w:t>的现金流收入，年化派息收益率为6.56%。</w:t>
      </w:r>
    </w:p>
    <w:tbl>
      <w:tblPr>
        <w:tblStyle w:val="TableGrid"/>
        <w:tblW w:w="0" w:type="auto"/>
        <w:tblLook w:val="04A0" w:firstRow="1" w:lastRow="0" w:firstColumn="1" w:lastColumn="0" w:noHBand="0" w:noVBand="1"/>
      </w:tblPr>
      <w:tblGrid>
        <w:gridCol w:w="1838"/>
        <w:gridCol w:w="1276"/>
        <w:gridCol w:w="1134"/>
        <w:gridCol w:w="1215"/>
        <w:gridCol w:w="1013"/>
        <w:gridCol w:w="958"/>
        <w:gridCol w:w="958"/>
        <w:gridCol w:w="958"/>
      </w:tblGrid>
      <w:tr w:rsidR="002029DF" w:rsidRPr="002029DF" w14:paraId="31E4FDCA" w14:textId="77777777" w:rsidTr="002029DF">
        <w:trPr>
          <w:trHeight w:val="320"/>
        </w:trPr>
        <w:tc>
          <w:tcPr>
            <w:tcW w:w="1838" w:type="dxa"/>
            <w:noWrap/>
            <w:vAlign w:val="center"/>
            <w:hideMark/>
          </w:tcPr>
          <w:p w14:paraId="12C4813A"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lastRenderedPageBreak/>
              <w:t>基金名称</w:t>
            </w:r>
          </w:p>
        </w:tc>
        <w:tc>
          <w:tcPr>
            <w:tcW w:w="1276" w:type="dxa"/>
            <w:noWrap/>
            <w:vAlign w:val="center"/>
            <w:hideMark/>
          </w:tcPr>
          <w:p w14:paraId="179E40E0"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除净日期</w:t>
            </w:r>
          </w:p>
        </w:tc>
        <w:tc>
          <w:tcPr>
            <w:tcW w:w="1134" w:type="dxa"/>
            <w:noWrap/>
            <w:vAlign w:val="center"/>
            <w:hideMark/>
          </w:tcPr>
          <w:p w14:paraId="2D2B8AB2"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每单位派发</w:t>
            </w:r>
          </w:p>
        </w:tc>
        <w:tc>
          <w:tcPr>
            <w:tcW w:w="1215" w:type="dxa"/>
            <w:noWrap/>
            <w:vAlign w:val="center"/>
            <w:hideMark/>
          </w:tcPr>
          <w:p w14:paraId="7A74A6C7"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持有份额</w:t>
            </w:r>
          </w:p>
        </w:tc>
        <w:tc>
          <w:tcPr>
            <w:tcW w:w="1013" w:type="dxa"/>
            <w:noWrap/>
            <w:vAlign w:val="center"/>
            <w:hideMark/>
          </w:tcPr>
          <w:p w14:paraId="682F1182"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派发合计</w:t>
            </w:r>
          </w:p>
        </w:tc>
        <w:tc>
          <w:tcPr>
            <w:tcW w:w="958" w:type="dxa"/>
            <w:noWrap/>
            <w:vAlign w:val="center"/>
            <w:hideMark/>
          </w:tcPr>
          <w:p w14:paraId="70BF93BF"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初始投资额</w:t>
            </w:r>
          </w:p>
        </w:tc>
        <w:tc>
          <w:tcPr>
            <w:tcW w:w="958" w:type="dxa"/>
            <w:noWrap/>
            <w:vAlign w:val="center"/>
            <w:hideMark/>
          </w:tcPr>
          <w:p w14:paraId="0093F955"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月度派息收益率</w:t>
            </w:r>
          </w:p>
        </w:tc>
        <w:tc>
          <w:tcPr>
            <w:tcW w:w="958" w:type="dxa"/>
            <w:noWrap/>
            <w:vAlign w:val="center"/>
            <w:hideMark/>
          </w:tcPr>
          <w:p w14:paraId="47D0D76B"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年化派息收益率</w:t>
            </w:r>
          </w:p>
        </w:tc>
      </w:tr>
      <w:tr w:rsidR="002029DF" w:rsidRPr="002029DF" w14:paraId="6A456A29" w14:textId="77777777" w:rsidTr="002029DF">
        <w:trPr>
          <w:trHeight w:val="320"/>
        </w:trPr>
        <w:tc>
          <w:tcPr>
            <w:tcW w:w="1838" w:type="dxa"/>
            <w:vMerge w:val="restart"/>
            <w:noWrap/>
            <w:vAlign w:val="center"/>
            <w:hideMark/>
          </w:tcPr>
          <w:p w14:paraId="38E8EC20"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Z12 美国中高等级债券基金</w:t>
            </w:r>
          </w:p>
        </w:tc>
        <w:tc>
          <w:tcPr>
            <w:tcW w:w="1276" w:type="dxa"/>
            <w:noWrap/>
            <w:vAlign w:val="center"/>
            <w:hideMark/>
          </w:tcPr>
          <w:p w14:paraId="5AB754E0"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11/1/24</w:t>
            </w:r>
          </w:p>
        </w:tc>
        <w:tc>
          <w:tcPr>
            <w:tcW w:w="1134" w:type="dxa"/>
            <w:noWrap/>
            <w:vAlign w:val="center"/>
            <w:hideMark/>
          </w:tcPr>
          <w:p w14:paraId="463FF9A1"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0.04</w:t>
            </w:r>
          </w:p>
        </w:tc>
        <w:tc>
          <w:tcPr>
            <w:tcW w:w="1215" w:type="dxa"/>
            <w:noWrap/>
            <w:vAlign w:val="center"/>
            <w:hideMark/>
          </w:tcPr>
          <w:p w14:paraId="1F5870AE"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76825</w:t>
            </w:r>
          </w:p>
        </w:tc>
        <w:tc>
          <w:tcPr>
            <w:tcW w:w="1013" w:type="dxa"/>
            <w:noWrap/>
            <w:vAlign w:val="center"/>
            <w:hideMark/>
          </w:tcPr>
          <w:p w14:paraId="1EE778DD"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3073</w:t>
            </w:r>
          </w:p>
        </w:tc>
        <w:tc>
          <w:tcPr>
            <w:tcW w:w="958" w:type="dxa"/>
            <w:noWrap/>
            <w:vAlign w:val="center"/>
            <w:hideMark/>
          </w:tcPr>
          <w:p w14:paraId="31146BDC"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600003</w:t>
            </w:r>
          </w:p>
        </w:tc>
        <w:tc>
          <w:tcPr>
            <w:tcW w:w="958" w:type="dxa"/>
            <w:noWrap/>
            <w:vAlign w:val="center"/>
            <w:hideMark/>
          </w:tcPr>
          <w:p w14:paraId="777AABE3"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0.51%</w:t>
            </w:r>
          </w:p>
        </w:tc>
        <w:tc>
          <w:tcPr>
            <w:tcW w:w="958" w:type="dxa"/>
            <w:noWrap/>
            <w:vAlign w:val="center"/>
            <w:hideMark/>
          </w:tcPr>
          <w:p w14:paraId="382122EB"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6.15%</w:t>
            </w:r>
          </w:p>
        </w:tc>
      </w:tr>
      <w:tr w:rsidR="002029DF" w:rsidRPr="002029DF" w14:paraId="5D788F63" w14:textId="77777777" w:rsidTr="002029DF">
        <w:trPr>
          <w:trHeight w:val="320"/>
        </w:trPr>
        <w:tc>
          <w:tcPr>
            <w:tcW w:w="1838" w:type="dxa"/>
            <w:vMerge/>
            <w:noWrap/>
            <w:vAlign w:val="center"/>
            <w:hideMark/>
          </w:tcPr>
          <w:p w14:paraId="04068A1B" w14:textId="207603C0" w:rsidR="002029DF" w:rsidRPr="002029DF" w:rsidRDefault="002029DF" w:rsidP="002029DF">
            <w:pPr>
              <w:jc w:val="center"/>
              <w:rPr>
                <w:rFonts w:ascii="KaiTi" w:eastAsia="KaiTi" w:hAnsi="KaiTi" w:cs="Arial"/>
                <w:color w:val="000000" w:themeColor="text1"/>
                <w:sz w:val="21"/>
                <w:szCs w:val="21"/>
                <w:u w:val="single"/>
              </w:rPr>
            </w:pPr>
          </w:p>
        </w:tc>
        <w:tc>
          <w:tcPr>
            <w:tcW w:w="1276" w:type="dxa"/>
            <w:noWrap/>
            <w:vAlign w:val="center"/>
            <w:hideMark/>
          </w:tcPr>
          <w:p w14:paraId="09ECCDCE"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12/2/24</w:t>
            </w:r>
          </w:p>
        </w:tc>
        <w:tc>
          <w:tcPr>
            <w:tcW w:w="1134" w:type="dxa"/>
            <w:noWrap/>
            <w:vAlign w:val="center"/>
            <w:hideMark/>
          </w:tcPr>
          <w:p w14:paraId="5CA020D1"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0.04</w:t>
            </w:r>
          </w:p>
        </w:tc>
        <w:tc>
          <w:tcPr>
            <w:tcW w:w="1215" w:type="dxa"/>
            <w:noWrap/>
            <w:vAlign w:val="center"/>
            <w:hideMark/>
          </w:tcPr>
          <w:p w14:paraId="0617C89F"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76825</w:t>
            </w:r>
          </w:p>
        </w:tc>
        <w:tc>
          <w:tcPr>
            <w:tcW w:w="1013" w:type="dxa"/>
            <w:noWrap/>
            <w:vAlign w:val="center"/>
            <w:hideMark/>
          </w:tcPr>
          <w:p w14:paraId="5978354E"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3073</w:t>
            </w:r>
          </w:p>
        </w:tc>
        <w:tc>
          <w:tcPr>
            <w:tcW w:w="958" w:type="dxa"/>
            <w:noWrap/>
            <w:vAlign w:val="center"/>
            <w:hideMark/>
          </w:tcPr>
          <w:p w14:paraId="73A1DE5B"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600003</w:t>
            </w:r>
          </w:p>
        </w:tc>
        <w:tc>
          <w:tcPr>
            <w:tcW w:w="958" w:type="dxa"/>
            <w:noWrap/>
            <w:vAlign w:val="center"/>
            <w:hideMark/>
          </w:tcPr>
          <w:p w14:paraId="23DC2DEA"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0.51%</w:t>
            </w:r>
          </w:p>
        </w:tc>
        <w:tc>
          <w:tcPr>
            <w:tcW w:w="958" w:type="dxa"/>
            <w:noWrap/>
            <w:vAlign w:val="center"/>
            <w:hideMark/>
          </w:tcPr>
          <w:p w14:paraId="50DA3037"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6.15%</w:t>
            </w:r>
          </w:p>
        </w:tc>
      </w:tr>
      <w:tr w:rsidR="002029DF" w:rsidRPr="002029DF" w14:paraId="7DDB023A" w14:textId="77777777" w:rsidTr="002029DF">
        <w:trPr>
          <w:trHeight w:val="320"/>
        </w:trPr>
        <w:tc>
          <w:tcPr>
            <w:tcW w:w="1838" w:type="dxa"/>
            <w:vMerge/>
            <w:noWrap/>
            <w:vAlign w:val="center"/>
            <w:hideMark/>
          </w:tcPr>
          <w:p w14:paraId="7521A7E5" w14:textId="6A7AAE1F" w:rsidR="002029DF" w:rsidRPr="002029DF" w:rsidRDefault="002029DF" w:rsidP="002029DF">
            <w:pPr>
              <w:jc w:val="center"/>
              <w:rPr>
                <w:rFonts w:ascii="KaiTi" w:eastAsia="KaiTi" w:hAnsi="KaiTi" w:cs="Arial"/>
                <w:color w:val="000000" w:themeColor="text1"/>
                <w:sz w:val="21"/>
                <w:szCs w:val="21"/>
              </w:rPr>
            </w:pPr>
          </w:p>
        </w:tc>
        <w:tc>
          <w:tcPr>
            <w:tcW w:w="1276" w:type="dxa"/>
            <w:noWrap/>
            <w:vAlign w:val="center"/>
            <w:hideMark/>
          </w:tcPr>
          <w:p w14:paraId="273301B7"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12/30/24</w:t>
            </w:r>
          </w:p>
        </w:tc>
        <w:tc>
          <w:tcPr>
            <w:tcW w:w="1134" w:type="dxa"/>
            <w:noWrap/>
            <w:vAlign w:val="center"/>
            <w:hideMark/>
          </w:tcPr>
          <w:p w14:paraId="6AD5972E"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0.04</w:t>
            </w:r>
          </w:p>
        </w:tc>
        <w:tc>
          <w:tcPr>
            <w:tcW w:w="1215" w:type="dxa"/>
            <w:noWrap/>
            <w:vAlign w:val="center"/>
            <w:hideMark/>
          </w:tcPr>
          <w:p w14:paraId="1F15A76A"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76825</w:t>
            </w:r>
          </w:p>
        </w:tc>
        <w:tc>
          <w:tcPr>
            <w:tcW w:w="1013" w:type="dxa"/>
            <w:noWrap/>
            <w:vAlign w:val="center"/>
            <w:hideMark/>
          </w:tcPr>
          <w:p w14:paraId="1CC44FF9"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3073</w:t>
            </w:r>
          </w:p>
        </w:tc>
        <w:tc>
          <w:tcPr>
            <w:tcW w:w="958" w:type="dxa"/>
            <w:noWrap/>
            <w:vAlign w:val="center"/>
            <w:hideMark/>
          </w:tcPr>
          <w:p w14:paraId="323CBB5B"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600003</w:t>
            </w:r>
          </w:p>
        </w:tc>
        <w:tc>
          <w:tcPr>
            <w:tcW w:w="958" w:type="dxa"/>
            <w:noWrap/>
            <w:vAlign w:val="center"/>
            <w:hideMark/>
          </w:tcPr>
          <w:p w14:paraId="5EEC58DD"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0.51%</w:t>
            </w:r>
          </w:p>
        </w:tc>
        <w:tc>
          <w:tcPr>
            <w:tcW w:w="958" w:type="dxa"/>
            <w:noWrap/>
            <w:vAlign w:val="center"/>
            <w:hideMark/>
          </w:tcPr>
          <w:p w14:paraId="2C1A0914"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6.15%</w:t>
            </w:r>
          </w:p>
        </w:tc>
      </w:tr>
      <w:tr w:rsidR="002029DF" w:rsidRPr="002029DF" w14:paraId="02FFEF03" w14:textId="77777777" w:rsidTr="002029DF">
        <w:trPr>
          <w:trHeight w:val="320"/>
        </w:trPr>
        <w:tc>
          <w:tcPr>
            <w:tcW w:w="1838" w:type="dxa"/>
            <w:vMerge/>
            <w:noWrap/>
            <w:vAlign w:val="center"/>
            <w:hideMark/>
          </w:tcPr>
          <w:p w14:paraId="55F17397" w14:textId="7F76BF23" w:rsidR="002029DF" w:rsidRPr="002029DF" w:rsidRDefault="002029DF" w:rsidP="002029DF">
            <w:pPr>
              <w:jc w:val="center"/>
              <w:rPr>
                <w:rFonts w:ascii="KaiTi" w:eastAsia="KaiTi" w:hAnsi="KaiTi" w:cs="Arial"/>
                <w:color w:val="000000" w:themeColor="text1"/>
                <w:sz w:val="21"/>
                <w:szCs w:val="21"/>
              </w:rPr>
            </w:pPr>
          </w:p>
        </w:tc>
        <w:tc>
          <w:tcPr>
            <w:tcW w:w="1276" w:type="dxa"/>
            <w:noWrap/>
            <w:vAlign w:val="center"/>
            <w:hideMark/>
          </w:tcPr>
          <w:p w14:paraId="2AEC3FBF"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1/31/25</w:t>
            </w:r>
          </w:p>
        </w:tc>
        <w:tc>
          <w:tcPr>
            <w:tcW w:w="1134" w:type="dxa"/>
            <w:noWrap/>
            <w:vAlign w:val="center"/>
            <w:hideMark/>
          </w:tcPr>
          <w:p w14:paraId="44565EB3"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0.04</w:t>
            </w:r>
          </w:p>
        </w:tc>
        <w:tc>
          <w:tcPr>
            <w:tcW w:w="1215" w:type="dxa"/>
            <w:noWrap/>
            <w:vAlign w:val="center"/>
            <w:hideMark/>
          </w:tcPr>
          <w:p w14:paraId="407BCA7A"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76825</w:t>
            </w:r>
          </w:p>
        </w:tc>
        <w:tc>
          <w:tcPr>
            <w:tcW w:w="1013" w:type="dxa"/>
            <w:noWrap/>
            <w:vAlign w:val="center"/>
            <w:hideMark/>
          </w:tcPr>
          <w:p w14:paraId="68136ECD"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3073</w:t>
            </w:r>
          </w:p>
        </w:tc>
        <w:tc>
          <w:tcPr>
            <w:tcW w:w="958" w:type="dxa"/>
            <w:noWrap/>
            <w:vAlign w:val="center"/>
            <w:hideMark/>
          </w:tcPr>
          <w:p w14:paraId="4C8EAF6C"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600003</w:t>
            </w:r>
          </w:p>
        </w:tc>
        <w:tc>
          <w:tcPr>
            <w:tcW w:w="958" w:type="dxa"/>
            <w:noWrap/>
            <w:vAlign w:val="center"/>
            <w:hideMark/>
          </w:tcPr>
          <w:p w14:paraId="18ECB33B"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0.51%</w:t>
            </w:r>
          </w:p>
        </w:tc>
        <w:tc>
          <w:tcPr>
            <w:tcW w:w="958" w:type="dxa"/>
            <w:noWrap/>
            <w:vAlign w:val="center"/>
            <w:hideMark/>
          </w:tcPr>
          <w:p w14:paraId="4BA48E9D"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6.15%</w:t>
            </w:r>
          </w:p>
        </w:tc>
      </w:tr>
      <w:tr w:rsidR="002029DF" w:rsidRPr="002029DF" w14:paraId="1A0B2108" w14:textId="77777777" w:rsidTr="002029DF">
        <w:trPr>
          <w:trHeight w:val="320"/>
        </w:trPr>
        <w:tc>
          <w:tcPr>
            <w:tcW w:w="1838" w:type="dxa"/>
            <w:vMerge w:val="restart"/>
            <w:noWrap/>
            <w:vAlign w:val="center"/>
            <w:hideMark/>
          </w:tcPr>
          <w:p w14:paraId="2F80EEA1"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Z17 美国优质股权基金</w:t>
            </w:r>
          </w:p>
        </w:tc>
        <w:tc>
          <w:tcPr>
            <w:tcW w:w="1276" w:type="dxa"/>
            <w:noWrap/>
            <w:vAlign w:val="center"/>
            <w:hideMark/>
          </w:tcPr>
          <w:p w14:paraId="004F543C"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10/30/24</w:t>
            </w:r>
          </w:p>
        </w:tc>
        <w:tc>
          <w:tcPr>
            <w:tcW w:w="1134" w:type="dxa"/>
            <w:noWrap/>
            <w:vAlign w:val="center"/>
            <w:hideMark/>
          </w:tcPr>
          <w:p w14:paraId="7E5F3FAF"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0.054</w:t>
            </w:r>
          </w:p>
        </w:tc>
        <w:tc>
          <w:tcPr>
            <w:tcW w:w="1215" w:type="dxa"/>
            <w:noWrap/>
            <w:vAlign w:val="center"/>
            <w:hideMark/>
          </w:tcPr>
          <w:p w14:paraId="271B1E21"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44345</w:t>
            </w:r>
          </w:p>
        </w:tc>
        <w:tc>
          <w:tcPr>
            <w:tcW w:w="1013" w:type="dxa"/>
            <w:noWrap/>
            <w:vAlign w:val="center"/>
            <w:hideMark/>
          </w:tcPr>
          <w:p w14:paraId="565F9BF2"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2395</w:t>
            </w:r>
          </w:p>
        </w:tc>
        <w:tc>
          <w:tcPr>
            <w:tcW w:w="958" w:type="dxa"/>
            <w:noWrap/>
            <w:vAlign w:val="center"/>
            <w:hideMark/>
          </w:tcPr>
          <w:p w14:paraId="2CEE8974"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399992</w:t>
            </w:r>
          </w:p>
        </w:tc>
        <w:tc>
          <w:tcPr>
            <w:tcW w:w="958" w:type="dxa"/>
            <w:noWrap/>
            <w:vAlign w:val="center"/>
            <w:hideMark/>
          </w:tcPr>
          <w:p w14:paraId="561BE841"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0.60%</w:t>
            </w:r>
          </w:p>
        </w:tc>
        <w:tc>
          <w:tcPr>
            <w:tcW w:w="958" w:type="dxa"/>
            <w:noWrap/>
            <w:vAlign w:val="center"/>
            <w:hideMark/>
          </w:tcPr>
          <w:p w14:paraId="07A9D989"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7.18%</w:t>
            </w:r>
          </w:p>
        </w:tc>
      </w:tr>
      <w:tr w:rsidR="002029DF" w:rsidRPr="002029DF" w14:paraId="2EB8FFD2" w14:textId="77777777" w:rsidTr="002029DF">
        <w:trPr>
          <w:trHeight w:val="320"/>
        </w:trPr>
        <w:tc>
          <w:tcPr>
            <w:tcW w:w="1838" w:type="dxa"/>
            <w:vMerge/>
            <w:noWrap/>
            <w:vAlign w:val="center"/>
            <w:hideMark/>
          </w:tcPr>
          <w:p w14:paraId="37FEF597" w14:textId="098FA6CB" w:rsidR="002029DF" w:rsidRPr="002029DF" w:rsidRDefault="002029DF" w:rsidP="002029DF">
            <w:pPr>
              <w:jc w:val="center"/>
              <w:rPr>
                <w:rFonts w:ascii="KaiTi" w:eastAsia="KaiTi" w:hAnsi="KaiTi" w:cs="Arial"/>
                <w:color w:val="000000" w:themeColor="text1"/>
                <w:sz w:val="21"/>
                <w:szCs w:val="21"/>
                <w:u w:val="single"/>
              </w:rPr>
            </w:pPr>
          </w:p>
        </w:tc>
        <w:tc>
          <w:tcPr>
            <w:tcW w:w="1276" w:type="dxa"/>
            <w:noWrap/>
            <w:vAlign w:val="center"/>
            <w:hideMark/>
          </w:tcPr>
          <w:p w14:paraId="4B2078D9"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11/28/24</w:t>
            </w:r>
          </w:p>
        </w:tc>
        <w:tc>
          <w:tcPr>
            <w:tcW w:w="1134" w:type="dxa"/>
            <w:noWrap/>
            <w:vAlign w:val="center"/>
            <w:hideMark/>
          </w:tcPr>
          <w:p w14:paraId="37C8F240"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0.054</w:t>
            </w:r>
          </w:p>
        </w:tc>
        <w:tc>
          <w:tcPr>
            <w:tcW w:w="1215" w:type="dxa"/>
            <w:noWrap/>
            <w:vAlign w:val="center"/>
            <w:hideMark/>
          </w:tcPr>
          <w:p w14:paraId="33025DCA"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44345</w:t>
            </w:r>
          </w:p>
        </w:tc>
        <w:tc>
          <w:tcPr>
            <w:tcW w:w="1013" w:type="dxa"/>
            <w:noWrap/>
            <w:vAlign w:val="center"/>
            <w:hideMark/>
          </w:tcPr>
          <w:p w14:paraId="7CD4CE5E"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2395</w:t>
            </w:r>
          </w:p>
        </w:tc>
        <w:tc>
          <w:tcPr>
            <w:tcW w:w="958" w:type="dxa"/>
            <w:noWrap/>
            <w:vAlign w:val="center"/>
            <w:hideMark/>
          </w:tcPr>
          <w:p w14:paraId="0AFDF100"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399992</w:t>
            </w:r>
          </w:p>
        </w:tc>
        <w:tc>
          <w:tcPr>
            <w:tcW w:w="958" w:type="dxa"/>
            <w:noWrap/>
            <w:vAlign w:val="center"/>
            <w:hideMark/>
          </w:tcPr>
          <w:p w14:paraId="4B13426C"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0.60%</w:t>
            </w:r>
          </w:p>
        </w:tc>
        <w:tc>
          <w:tcPr>
            <w:tcW w:w="958" w:type="dxa"/>
            <w:noWrap/>
            <w:vAlign w:val="center"/>
            <w:hideMark/>
          </w:tcPr>
          <w:p w14:paraId="3CE816A1"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7.18%</w:t>
            </w:r>
          </w:p>
        </w:tc>
      </w:tr>
      <w:tr w:rsidR="002029DF" w:rsidRPr="002029DF" w14:paraId="7259553B" w14:textId="77777777" w:rsidTr="002029DF">
        <w:trPr>
          <w:trHeight w:val="320"/>
        </w:trPr>
        <w:tc>
          <w:tcPr>
            <w:tcW w:w="1838" w:type="dxa"/>
            <w:vMerge/>
            <w:noWrap/>
            <w:vAlign w:val="center"/>
            <w:hideMark/>
          </w:tcPr>
          <w:p w14:paraId="0A3AF342" w14:textId="66FE5DA2" w:rsidR="002029DF" w:rsidRPr="002029DF" w:rsidRDefault="002029DF" w:rsidP="002029DF">
            <w:pPr>
              <w:jc w:val="center"/>
              <w:rPr>
                <w:rFonts w:ascii="KaiTi" w:eastAsia="KaiTi" w:hAnsi="KaiTi" w:cs="Arial"/>
                <w:color w:val="000000" w:themeColor="text1"/>
                <w:sz w:val="21"/>
                <w:szCs w:val="21"/>
              </w:rPr>
            </w:pPr>
          </w:p>
        </w:tc>
        <w:tc>
          <w:tcPr>
            <w:tcW w:w="1276" w:type="dxa"/>
            <w:noWrap/>
            <w:vAlign w:val="center"/>
            <w:hideMark/>
          </w:tcPr>
          <w:p w14:paraId="1292E7E5"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12/24/24</w:t>
            </w:r>
          </w:p>
        </w:tc>
        <w:tc>
          <w:tcPr>
            <w:tcW w:w="1134" w:type="dxa"/>
            <w:noWrap/>
            <w:vAlign w:val="center"/>
            <w:hideMark/>
          </w:tcPr>
          <w:p w14:paraId="28D70985"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0.054</w:t>
            </w:r>
          </w:p>
        </w:tc>
        <w:tc>
          <w:tcPr>
            <w:tcW w:w="1215" w:type="dxa"/>
            <w:noWrap/>
            <w:vAlign w:val="center"/>
            <w:hideMark/>
          </w:tcPr>
          <w:p w14:paraId="5C94F82D"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44345</w:t>
            </w:r>
          </w:p>
        </w:tc>
        <w:tc>
          <w:tcPr>
            <w:tcW w:w="1013" w:type="dxa"/>
            <w:noWrap/>
            <w:vAlign w:val="center"/>
            <w:hideMark/>
          </w:tcPr>
          <w:p w14:paraId="5A01AD6A"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2395</w:t>
            </w:r>
          </w:p>
        </w:tc>
        <w:tc>
          <w:tcPr>
            <w:tcW w:w="958" w:type="dxa"/>
            <w:noWrap/>
            <w:vAlign w:val="center"/>
            <w:hideMark/>
          </w:tcPr>
          <w:p w14:paraId="0D6697E6"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399992</w:t>
            </w:r>
          </w:p>
        </w:tc>
        <w:tc>
          <w:tcPr>
            <w:tcW w:w="958" w:type="dxa"/>
            <w:noWrap/>
            <w:vAlign w:val="center"/>
            <w:hideMark/>
          </w:tcPr>
          <w:p w14:paraId="33DE049C"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0.60%</w:t>
            </w:r>
          </w:p>
        </w:tc>
        <w:tc>
          <w:tcPr>
            <w:tcW w:w="958" w:type="dxa"/>
            <w:noWrap/>
            <w:vAlign w:val="center"/>
            <w:hideMark/>
          </w:tcPr>
          <w:p w14:paraId="67639508"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7.18%</w:t>
            </w:r>
          </w:p>
        </w:tc>
      </w:tr>
      <w:tr w:rsidR="002029DF" w:rsidRPr="002029DF" w14:paraId="60D1AE66" w14:textId="77777777" w:rsidTr="002029DF">
        <w:trPr>
          <w:trHeight w:val="320"/>
        </w:trPr>
        <w:tc>
          <w:tcPr>
            <w:tcW w:w="1838" w:type="dxa"/>
            <w:vMerge/>
            <w:noWrap/>
            <w:vAlign w:val="center"/>
            <w:hideMark/>
          </w:tcPr>
          <w:p w14:paraId="6827A5E7" w14:textId="475B1047" w:rsidR="002029DF" w:rsidRPr="002029DF" w:rsidRDefault="002029DF" w:rsidP="002029DF">
            <w:pPr>
              <w:jc w:val="center"/>
              <w:rPr>
                <w:rFonts w:ascii="KaiTi" w:eastAsia="KaiTi" w:hAnsi="KaiTi" w:cs="Arial"/>
                <w:color w:val="000000" w:themeColor="text1"/>
                <w:sz w:val="21"/>
                <w:szCs w:val="21"/>
              </w:rPr>
            </w:pPr>
          </w:p>
        </w:tc>
        <w:tc>
          <w:tcPr>
            <w:tcW w:w="1276" w:type="dxa"/>
            <w:noWrap/>
            <w:vAlign w:val="center"/>
            <w:hideMark/>
          </w:tcPr>
          <w:p w14:paraId="5414774B"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1/31/25</w:t>
            </w:r>
          </w:p>
        </w:tc>
        <w:tc>
          <w:tcPr>
            <w:tcW w:w="1134" w:type="dxa"/>
            <w:noWrap/>
            <w:vAlign w:val="center"/>
            <w:hideMark/>
          </w:tcPr>
          <w:p w14:paraId="3031530F"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0.054</w:t>
            </w:r>
          </w:p>
        </w:tc>
        <w:tc>
          <w:tcPr>
            <w:tcW w:w="1215" w:type="dxa"/>
            <w:noWrap/>
            <w:vAlign w:val="center"/>
            <w:hideMark/>
          </w:tcPr>
          <w:p w14:paraId="6F4C45FB"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44345</w:t>
            </w:r>
          </w:p>
        </w:tc>
        <w:tc>
          <w:tcPr>
            <w:tcW w:w="1013" w:type="dxa"/>
            <w:noWrap/>
            <w:vAlign w:val="center"/>
            <w:hideMark/>
          </w:tcPr>
          <w:p w14:paraId="5C259EB9"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2395</w:t>
            </w:r>
          </w:p>
        </w:tc>
        <w:tc>
          <w:tcPr>
            <w:tcW w:w="958" w:type="dxa"/>
            <w:noWrap/>
            <w:vAlign w:val="center"/>
            <w:hideMark/>
          </w:tcPr>
          <w:p w14:paraId="2A4718AB"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399992</w:t>
            </w:r>
          </w:p>
        </w:tc>
        <w:tc>
          <w:tcPr>
            <w:tcW w:w="958" w:type="dxa"/>
            <w:noWrap/>
            <w:vAlign w:val="center"/>
            <w:hideMark/>
          </w:tcPr>
          <w:p w14:paraId="048A1C76"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0.60%</w:t>
            </w:r>
          </w:p>
        </w:tc>
        <w:tc>
          <w:tcPr>
            <w:tcW w:w="958" w:type="dxa"/>
            <w:noWrap/>
            <w:vAlign w:val="center"/>
            <w:hideMark/>
          </w:tcPr>
          <w:p w14:paraId="41728128"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7.18%</w:t>
            </w:r>
          </w:p>
        </w:tc>
      </w:tr>
      <w:tr w:rsidR="002029DF" w:rsidRPr="002029DF" w14:paraId="6AB003D9" w14:textId="77777777" w:rsidTr="002029DF">
        <w:trPr>
          <w:trHeight w:val="320"/>
        </w:trPr>
        <w:tc>
          <w:tcPr>
            <w:tcW w:w="1838" w:type="dxa"/>
            <w:noWrap/>
            <w:vAlign w:val="center"/>
            <w:hideMark/>
          </w:tcPr>
          <w:p w14:paraId="671C7B35" w14:textId="0B8C5A60" w:rsidR="002029DF" w:rsidRPr="002029DF" w:rsidRDefault="002029DF" w:rsidP="002029DF">
            <w:pPr>
              <w:jc w:val="center"/>
              <w:rPr>
                <w:rFonts w:ascii="KaiTi" w:eastAsia="KaiTi" w:hAnsi="KaiTi" w:cs="Arial"/>
                <w:color w:val="000000" w:themeColor="text1"/>
                <w:sz w:val="21"/>
                <w:szCs w:val="21"/>
              </w:rPr>
            </w:pPr>
          </w:p>
        </w:tc>
        <w:tc>
          <w:tcPr>
            <w:tcW w:w="1276" w:type="dxa"/>
            <w:noWrap/>
            <w:vAlign w:val="center"/>
            <w:hideMark/>
          </w:tcPr>
          <w:p w14:paraId="4AAF9FA2" w14:textId="2273BB8A" w:rsidR="002029DF" w:rsidRPr="002029DF" w:rsidRDefault="002029DF" w:rsidP="002029DF">
            <w:pPr>
              <w:jc w:val="center"/>
              <w:rPr>
                <w:rFonts w:ascii="KaiTi" w:eastAsia="KaiTi" w:hAnsi="KaiTi" w:cs="Arial"/>
                <w:color w:val="000000" w:themeColor="text1"/>
                <w:sz w:val="21"/>
                <w:szCs w:val="21"/>
              </w:rPr>
            </w:pPr>
          </w:p>
        </w:tc>
        <w:tc>
          <w:tcPr>
            <w:tcW w:w="1134" w:type="dxa"/>
            <w:noWrap/>
            <w:vAlign w:val="center"/>
            <w:hideMark/>
          </w:tcPr>
          <w:p w14:paraId="4E8BDB99" w14:textId="4CEE6C7B" w:rsidR="002029DF" w:rsidRPr="002029DF" w:rsidRDefault="002029DF" w:rsidP="002029DF">
            <w:pPr>
              <w:jc w:val="center"/>
              <w:rPr>
                <w:rFonts w:ascii="KaiTi" w:eastAsia="KaiTi" w:hAnsi="KaiTi" w:cs="Arial"/>
                <w:color w:val="000000" w:themeColor="text1"/>
                <w:sz w:val="21"/>
                <w:szCs w:val="21"/>
              </w:rPr>
            </w:pPr>
          </w:p>
        </w:tc>
        <w:tc>
          <w:tcPr>
            <w:tcW w:w="1215" w:type="dxa"/>
            <w:noWrap/>
            <w:vAlign w:val="center"/>
            <w:hideMark/>
          </w:tcPr>
          <w:p w14:paraId="66745CF0"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合计</w:t>
            </w:r>
          </w:p>
        </w:tc>
        <w:tc>
          <w:tcPr>
            <w:tcW w:w="1013" w:type="dxa"/>
            <w:noWrap/>
            <w:vAlign w:val="center"/>
            <w:hideMark/>
          </w:tcPr>
          <w:p w14:paraId="191E53A8" w14:textId="1D2AE2B0"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21,871</w:t>
            </w:r>
          </w:p>
        </w:tc>
        <w:tc>
          <w:tcPr>
            <w:tcW w:w="958" w:type="dxa"/>
            <w:noWrap/>
            <w:vAlign w:val="center"/>
            <w:hideMark/>
          </w:tcPr>
          <w:p w14:paraId="3B7C2029" w14:textId="748EB731"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999,995</w:t>
            </w:r>
          </w:p>
        </w:tc>
        <w:tc>
          <w:tcPr>
            <w:tcW w:w="958" w:type="dxa"/>
            <w:noWrap/>
            <w:vAlign w:val="center"/>
            <w:hideMark/>
          </w:tcPr>
          <w:p w14:paraId="23EA8D5A"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0.55%</w:t>
            </w:r>
          </w:p>
        </w:tc>
        <w:tc>
          <w:tcPr>
            <w:tcW w:w="958" w:type="dxa"/>
            <w:noWrap/>
            <w:vAlign w:val="center"/>
            <w:hideMark/>
          </w:tcPr>
          <w:p w14:paraId="783D81F8" w14:textId="77777777" w:rsidR="002029DF" w:rsidRPr="002029DF" w:rsidRDefault="002029DF" w:rsidP="002029DF">
            <w:pPr>
              <w:jc w:val="center"/>
              <w:rPr>
                <w:rFonts w:ascii="KaiTi" w:eastAsia="KaiTi" w:hAnsi="KaiTi" w:cs="Arial"/>
                <w:color w:val="000000" w:themeColor="text1"/>
                <w:sz w:val="21"/>
                <w:szCs w:val="21"/>
              </w:rPr>
            </w:pPr>
            <w:r w:rsidRPr="002029DF">
              <w:rPr>
                <w:rFonts w:ascii="KaiTi" w:eastAsia="KaiTi" w:hAnsi="KaiTi" w:cs="Arial"/>
                <w:color w:val="000000" w:themeColor="text1"/>
                <w:sz w:val="21"/>
                <w:szCs w:val="21"/>
              </w:rPr>
              <w:t>6.56%</w:t>
            </w:r>
          </w:p>
        </w:tc>
      </w:tr>
    </w:tbl>
    <w:p w14:paraId="714B9D36" w14:textId="77777777" w:rsidR="002029DF" w:rsidRDefault="002029DF" w:rsidP="002029DF">
      <w:pPr>
        <w:rPr>
          <w:rFonts w:ascii="KaiTi" w:eastAsia="KaiTi" w:hAnsi="KaiTi" w:cs="Arial"/>
          <w:color w:val="FF0000"/>
          <w:sz w:val="21"/>
          <w:szCs w:val="21"/>
        </w:rPr>
      </w:pPr>
    </w:p>
    <w:p w14:paraId="2DE6146A" w14:textId="77777777" w:rsidR="002029DF" w:rsidRDefault="002029DF" w:rsidP="00A77AA2">
      <w:pPr>
        <w:pStyle w:val="p1"/>
        <w:rPr>
          <w:rFonts w:ascii="KaiTi" w:eastAsia="KaiTi" w:hAnsi="KaiTi" w:cs="Arial" w:hint="eastAsia"/>
          <w:color w:val="auto"/>
          <w:kern w:val="2"/>
          <w:sz w:val="24"/>
          <w:szCs w:val="24"/>
          <w14:ligatures w14:val="standardContextual"/>
        </w:rPr>
      </w:pPr>
    </w:p>
    <w:p w14:paraId="6721DF18" w14:textId="77777777" w:rsidR="008310EB" w:rsidRPr="008310EB" w:rsidRDefault="008310EB" w:rsidP="008310EB">
      <w:pPr>
        <w:pStyle w:val="p1"/>
        <w:rPr>
          <w:rFonts w:ascii="KaiTi" w:eastAsia="KaiTi" w:hAnsi="KaiTi" w:cs="Arial" w:hint="eastAsia"/>
          <w:color w:val="auto"/>
          <w:kern w:val="2"/>
          <w:sz w:val="24"/>
          <w:szCs w:val="24"/>
          <w14:ligatures w14:val="standardContextual"/>
        </w:rPr>
      </w:pPr>
      <w:r w:rsidRPr="008310EB">
        <w:rPr>
          <w:rFonts w:ascii="KaiTi" w:eastAsia="KaiTi" w:hAnsi="KaiTi" w:cs="Arial" w:hint="eastAsia"/>
          <w:color w:val="auto"/>
          <w:kern w:val="2"/>
          <w:sz w:val="24"/>
          <w:szCs w:val="24"/>
          <w14:ligatures w14:val="standardContextual"/>
        </w:rPr>
        <w:t>尽管市场面临不确定性，我们建议客户维持多元化的资产配置，注重高质量股票和现金等价物的投资。未来的经济政策变化可能会带来市场波动，因此我们建议您根据自身的风险承受能力进行合理的资产配置。</w:t>
      </w:r>
    </w:p>
    <w:p w14:paraId="19789208" w14:textId="77777777" w:rsidR="008310EB" w:rsidRPr="008310EB" w:rsidRDefault="008310EB" w:rsidP="008310EB">
      <w:pPr>
        <w:pStyle w:val="p1"/>
        <w:rPr>
          <w:rFonts w:ascii="KaiTi" w:eastAsia="KaiTi" w:hAnsi="KaiTi" w:cs="Arial"/>
          <w:color w:val="auto"/>
          <w:kern w:val="2"/>
          <w:sz w:val="24"/>
          <w:szCs w:val="24"/>
          <w14:ligatures w14:val="standardContextual"/>
        </w:rPr>
      </w:pPr>
    </w:p>
    <w:p w14:paraId="7995D78E" w14:textId="41870F7A" w:rsidR="00DC494F" w:rsidRDefault="008310EB" w:rsidP="008310EB">
      <w:pPr>
        <w:pStyle w:val="p1"/>
        <w:rPr>
          <w:rFonts w:ascii="KaiTi" w:eastAsia="KaiTi" w:hAnsi="KaiTi" w:cs="Arial"/>
          <w:color w:val="auto"/>
          <w:kern w:val="2"/>
          <w:sz w:val="24"/>
          <w:szCs w:val="24"/>
          <w14:ligatures w14:val="standardContextual"/>
        </w:rPr>
      </w:pPr>
      <w:r w:rsidRPr="008310EB">
        <w:rPr>
          <w:rFonts w:ascii="KaiTi" w:eastAsia="KaiTi" w:hAnsi="KaiTi" w:cs="Arial" w:hint="eastAsia"/>
          <w:color w:val="auto"/>
          <w:kern w:val="2"/>
          <w:sz w:val="24"/>
          <w:szCs w:val="24"/>
          <w14:ligatures w14:val="standardContextual"/>
        </w:rPr>
        <w:t>如果您有任何疑问，或需要进一步的投资建议，欢迎随时与我们联系。我们始终为您提供专业的财务规划与咨询服务，帮助您实现财务目标。</w:t>
      </w:r>
    </w:p>
    <w:p w14:paraId="7F341F31" w14:textId="77777777" w:rsidR="00DD4DD9" w:rsidRDefault="00DD4DD9" w:rsidP="00A77AA2">
      <w:pPr>
        <w:pStyle w:val="p1"/>
        <w:rPr>
          <w:rFonts w:ascii="KaiTi" w:eastAsia="KaiTi" w:hAnsi="KaiTi" w:cs="PingFang TC"/>
          <w:sz w:val="24"/>
          <w:szCs w:val="24"/>
        </w:rPr>
      </w:pPr>
    </w:p>
    <w:p w14:paraId="2D7579BF" w14:textId="77777777" w:rsidR="002456EF" w:rsidRDefault="002456EF" w:rsidP="00A77AA2">
      <w:pPr>
        <w:pStyle w:val="p1"/>
        <w:rPr>
          <w:rFonts w:ascii="KaiTi" w:eastAsia="KaiTi" w:hAnsi="KaiTi" w:cs="PingFang TC"/>
          <w:sz w:val="24"/>
          <w:szCs w:val="24"/>
        </w:rPr>
      </w:pPr>
    </w:p>
    <w:p w14:paraId="0C479408" w14:textId="19CDDB40" w:rsidR="00DC494F" w:rsidRPr="000C1D9B" w:rsidRDefault="002456EF" w:rsidP="00A77AA2">
      <w:pPr>
        <w:pStyle w:val="p1"/>
        <w:rPr>
          <w:rFonts w:ascii="KaiTi" w:eastAsia="KaiTi" w:hAnsi="KaiTi"/>
          <w:sz w:val="24"/>
          <w:szCs w:val="24"/>
        </w:rPr>
      </w:pPr>
      <w:r>
        <w:rPr>
          <w:rFonts w:ascii="KaiTi" w:eastAsia="KaiTi" w:hAnsi="KaiTi" w:cs="PingFang TC" w:hint="eastAsia"/>
          <w:sz w:val="24"/>
          <w:szCs w:val="24"/>
        </w:rPr>
        <w:t>旺达财智</w:t>
      </w:r>
      <w:r w:rsidR="00DC494F">
        <w:rPr>
          <w:rFonts w:ascii="KaiTi" w:eastAsia="KaiTi" w:hAnsi="KaiTi" w:cs="PingFang TC" w:hint="eastAsia"/>
          <w:sz w:val="24"/>
          <w:szCs w:val="24"/>
        </w:rPr>
        <w:t>团队</w:t>
      </w:r>
    </w:p>
    <w:p w14:paraId="17748B82" w14:textId="77777777" w:rsidR="00610169" w:rsidRDefault="00610169" w:rsidP="000243A7">
      <w:pPr>
        <w:rPr>
          <w:rFonts w:ascii="KaiTi" w:eastAsia="KaiTi" w:hAnsi="KaiTi" w:cs="Arial"/>
        </w:rPr>
      </w:pPr>
    </w:p>
    <w:p w14:paraId="2D9CDACE" w14:textId="392891E7" w:rsidR="002456EF" w:rsidRDefault="002456EF" w:rsidP="000243A7">
      <w:pPr>
        <w:rPr>
          <w:rFonts w:ascii="KaiTi" w:eastAsia="KaiTi" w:hAnsi="KaiTi" w:cs="Arial"/>
        </w:rPr>
      </w:pPr>
      <w:r>
        <w:rPr>
          <w:rFonts w:ascii="KaiTi" w:eastAsia="KaiTi" w:hAnsi="KaiTi" w:cs="Arial" w:hint="eastAsia"/>
        </w:rPr>
        <w:t>2025年</w:t>
      </w:r>
      <w:r w:rsidR="005E6A6F">
        <w:rPr>
          <w:rFonts w:ascii="KaiTi" w:eastAsia="KaiTi" w:hAnsi="KaiTi" w:cs="Arial" w:hint="eastAsia"/>
        </w:rPr>
        <w:t>2</w:t>
      </w:r>
      <w:r>
        <w:rPr>
          <w:rFonts w:ascii="KaiTi" w:eastAsia="KaiTi" w:hAnsi="KaiTi" w:cs="Arial" w:hint="eastAsia"/>
        </w:rPr>
        <w:t>月</w:t>
      </w:r>
      <w:r w:rsidR="005E6A6F">
        <w:rPr>
          <w:rFonts w:ascii="KaiTi" w:eastAsia="KaiTi" w:hAnsi="KaiTi" w:cs="Arial" w:hint="eastAsia"/>
        </w:rPr>
        <w:t>26</w:t>
      </w:r>
      <w:r>
        <w:rPr>
          <w:rFonts w:ascii="KaiTi" w:eastAsia="KaiTi" w:hAnsi="KaiTi" w:cs="Arial" w:hint="eastAsia"/>
        </w:rPr>
        <w:t>日</w:t>
      </w:r>
    </w:p>
    <w:p w14:paraId="442008DD" w14:textId="77777777" w:rsidR="00286491" w:rsidRDefault="00286491" w:rsidP="000243A7">
      <w:pPr>
        <w:rPr>
          <w:rFonts w:ascii="KaiTi" w:eastAsia="KaiTi" w:hAnsi="KaiTi" w:cs="Arial"/>
        </w:rPr>
      </w:pPr>
    </w:p>
    <w:p w14:paraId="710B16D5"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5177CC0F"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Pr>
          <w:rFonts w:ascii="System Font" w:hAnsi="System Font" w:cs="System Font" w:hint="eastAsia"/>
          <w:color w:val="0E0E0E"/>
          <w:kern w:val="0"/>
          <w:sz w:val="20"/>
          <w:szCs w:val="20"/>
        </w:rPr>
        <w:t>241030</w:t>
      </w:r>
    </w:p>
    <w:p w14:paraId="7BDC3DD4"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客户通讯第二期</w:t>
      </w:r>
      <w:r>
        <w:rPr>
          <w:rFonts w:ascii="System Font" w:hAnsi="System Font" w:cs="System Font" w:hint="eastAsia"/>
          <w:color w:val="0E0E0E"/>
          <w:kern w:val="0"/>
          <w:sz w:val="20"/>
          <w:szCs w:val="20"/>
        </w:rPr>
        <w:t>241130</w:t>
      </w:r>
    </w:p>
    <w:p w14:paraId="4B3CDAD0" w14:textId="77777777" w:rsidR="00286491" w:rsidRDefault="00286491" w:rsidP="00286491">
      <w:pPr>
        <w:rPr>
          <w:rFonts w:ascii="System Font" w:hAnsi="System Font" w:cs="System Font"/>
          <w:color w:val="0E0E0E"/>
          <w:kern w:val="0"/>
          <w:sz w:val="20"/>
          <w:szCs w:val="20"/>
        </w:rPr>
      </w:pPr>
    </w:p>
    <w:p w14:paraId="78A32D82"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2715CD2A"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0A6C7E2E" w14:textId="77777777" w:rsidR="00286491" w:rsidRDefault="00000000" w:rsidP="00286491">
      <w:pPr>
        <w:rPr>
          <w:rFonts w:ascii="System Font" w:hAnsi="System Font" w:cs="System Font"/>
          <w:color w:val="0E0E0E"/>
          <w:kern w:val="0"/>
          <w:sz w:val="20"/>
          <w:szCs w:val="20"/>
        </w:rPr>
      </w:pPr>
      <w:hyperlink r:id="rId8" w:anchor="rd" w:history="1">
        <w:r w:rsidR="00286491" w:rsidRPr="00621667">
          <w:rPr>
            <w:rStyle w:val="Hyperlink"/>
            <w:rFonts w:ascii="System Font" w:hAnsi="System Font" w:cs="System Font"/>
            <w:kern w:val="0"/>
            <w:sz w:val="20"/>
            <w:szCs w:val="20"/>
          </w:rPr>
          <w:t>海外投资系列</w:t>
        </w:r>
        <w:r w:rsidR="00286491" w:rsidRPr="00621667">
          <w:rPr>
            <w:rStyle w:val="Hyperlink"/>
            <w:rFonts w:ascii="System Font" w:hAnsi="System Font" w:cs="System Font"/>
            <w:kern w:val="0"/>
            <w:sz w:val="20"/>
            <w:szCs w:val="20"/>
          </w:rPr>
          <w:t>1</w:t>
        </w:r>
        <w:r w:rsidR="00286491" w:rsidRPr="00621667">
          <w:rPr>
            <w:rStyle w:val="Hyperlink"/>
            <w:rFonts w:ascii="System Font" w:hAnsi="System Font" w:cs="System Font"/>
            <w:kern w:val="0"/>
            <w:sz w:val="20"/>
            <w:szCs w:val="20"/>
          </w:rPr>
          <w:t>：什么是投资？探讨投资的底层逻辑与终极目标</w:t>
        </w:r>
      </w:hyperlink>
    </w:p>
    <w:p w14:paraId="7F316DD8" w14:textId="77777777" w:rsidR="00286491" w:rsidRDefault="00000000" w:rsidP="00286491">
      <w:pPr>
        <w:rPr>
          <w:rFonts w:ascii="System Font" w:hAnsi="System Font" w:cs="System Font"/>
          <w:color w:val="0E0E0E"/>
          <w:kern w:val="0"/>
          <w:sz w:val="20"/>
          <w:szCs w:val="20"/>
        </w:rPr>
      </w:pPr>
      <w:hyperlink r:id="rId9" w:anchor="rd" w:history="1">
        <w:r w:rsidR="00286491" w:rsidRPr="00621667">
          <w:rPr>
            <w:rStyle w:val="Hyperlink"/>
            <w:rFonts w:ascii="System Font" w:hAnsi="System Font" w:cs="System Font"/>
            <w:kern w:val="0"/>
            <w:sz w:val="20"/>
            <w:szCs w:val="20"/>
          </w:rPr>
          <w:t>海外投资系列</w:t>
        </w:r>
        <w:r w:rsidR="00286491" w:rsidRPr="00621667">
          <w:rPr>
            <w:rStyle w:val="Hyperlink"/>
            <w:rFonts w:ascii="System Font" w:hAnsi="System Font" w:cs="System Font"/>
            <w:kern w:val="0"/>
            <w:sz w:val="20"/>
            <w:szCs w:val="20"/>
          </w:rPr>
          <w:t>2</w:t>
        </w:r>
        <w:r w:rsidR="00286491" w:rsidRPr="00621667">
          <w:rPr>
            <w:rStyle w:val="Hyperlink"/>
            <w:rFonts w:ascii="System Font" w:hAnsi="System Font" w:cs="System Font"/>
            <w:kern w:val="0"/>
            <w:sz w:val="20"/>
            <w:szCs w:val="20"/>
          </w:rPr>
          <w:t>：如何在波涛汹涌的投资市场中获得长期稳健收益？</w:t>
        </w:r>
      </w:hyperlink>
    </w:p>
    <w:p w14:paraId="6A6648FE" w14:textId="77777777" w:rsidR="00286491" w:rsidRDefault="00286491" w:rsidP="000243A7">
      <w:pPr>
        <w:rPr>
          <w:rFonts w:ascii="KaiTi" w:eastAsia="KaiTi" w:hAnsi="KaiTi" w:cs="Arial"/>
        </w:rPr>
      </w:pPr>
    </w:p>
    <w:p w14:paraId="488B58EC" w14:textId="77777777" w:rsidR="002456EF" w:rsidRDefault="002456EF" w:rsidP="000243A7">
      <w:pPr>
        <w:rPr>
          <w:rFonts w:ascii="KaiTi" w:eastAsia="KaiTi" w:hAnsi="KaiTi" w:cs="Arial"/>
        </w:rPr>
      </w:pPr>
    </w:p>
    <w:p w14:paraId="75A73E20"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2C0737C1"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18743E40" w14:textId="23D3801F"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0961F492" w14:textId="03E6D90B"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172B6609" w14:textId="4A211BD0" w:rsidR="00E5410F" w:rsidRDefault="00E5410F" w:rsidP="00E5410F">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76F6198B" w14:textId="77777777" w:rsidR="00E5410F" w:rsidRDefault="00E5410F" w:rsidP="00E5410F">
      <w:pPr>
        <w:rPr>
          <w:rFonts w:ascii="System Font" w:hAnsi="System Font" w:cs="System Font"/>
          <w:color w:val="0E0E0E"/>
          <w:kern w:val="0"/>
          <w:sz w:val="20"/>
          <w:szCs w:val="20"/>
        </w:rPr>
      </w:pPr>
    </w:p>
    <w:p w14:paraId="239C3C31" w14:textId="58626359" w:rsidR="00E5410F" w:rsidRPr="00433533" w:rsidRDefault="00E5410F" w:rsidP="00433533">
      <w:pPr>
        <w:rPr>
          <w:rFonts w:ascii="KaiTi" w:eastAsia="KaiTi" w:hAnsi="KaiTi" w:cs="Arial"/>
        </w:rPr>
      </w:pPr>
    </w:p>
    <w:sectPr w:rsidR="00E5410F" w:rsidRPr="004335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notTrueType/>
    <w:pitch w:val="default"/>
  </w:font>
  <w:font w:name="KaiTi">
    <w:panose1 w:val="02010609060101010101"/>
    <w:charset w:val="86"/>
    <w:family w:val="modern"/>
    <w:pitch w:val="fixed"/>
    <w:sig w:usb0="800002BF" w:usb1="38CF7CFA" w:usb2="00000016" w:usb3="00000000" w:csb0="00040001" w:csb1="00000000"/>
  </w:font>
  <w:font w:name="PingFang TC">
    <w:panose1 w:val="020B0400000000000000"/>
    <w:charset w:val="88"/>
    <w:family w:val="swiss"/>
    <w:pitch w:val="variable"/>
    <w:sig w:usb0="A00002FF" w:usb1="7ACFFDFB" w:usb2="00000017" w:usb3="00000000" w:csb0="00100001" w:csb1="00000000"/>
  </w:font>
  <w:font w:name="Arial">
    <w:panose1 w:val="020B0604020202020204"/>
    <w:charset w:val="00"/>
    <w:family w:val="swiss"/>
    <w:pitch w:val="variable"/>
    <w:sig w:usb0="E0002AFF" w:usb1="C0007843"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627F"/>
    <w:multiLevelType w:val="hybridMultilevel"/>
    <w:tmpl w:val="01C68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51300"/>
    <w:multiLevelType w:val="hybridMultilevel"/>
    <w:tmpl w:val="1106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C329D"/>
    <w:multiLevelType w:val="hybridMultilevel"/>
    <w:tmpl w:val="3B2EC18E"/>
    <w:lvl w:ilvl="0" w:tplc="D5083EE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762BD6"/>
    <w:multiLevelType w:val="hybridMultilevel"/>
    <w:tmpl w:val="EE888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C36C0"/>
    <w:multiLevelType w:val="hybridMultilevel"/>
    <w:tmpl w:val="4ADC4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15A6AAA"/>
    <w:multiLevelType w:val="hybridMultilevel"/>
    <w:tmpl w:val="846E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E753A6"/>
    <w:multiLevelType w:val="hybridMultilevel"/>
    <w:tmpl w:val="2A2660D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7211820">
    <w:abstractNumId w:val="2"/>
  </w:num>
  <w:num w:numId="2" w16cid:durableId="2016378384">
    <w:abstractNumId w:val="0"/>
  </w:num>
  <w:num w:numId="3" w16cid:durableId="853958204">
    <w:abstractNumId w:val="4"/>
  </w:num>
  <w:num w:numId="4" w16cid:durableId="755976737">
    <w:abstractNumId w:val="1"/>
  </w:num>
  <w:num w:numId="5" w16cid:durableId="195630654">
    <w:abstractNumId w:val="5"/>
  </w:num>
  <w:num w:numId="6" w16cid:durableId="428501775">
    <w:abstractNumId w:val="3"/>
  </w:num>
  <w:num w:numId="7" w16cid:durableId="1392458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69"/>
    <w:rsid w:val="00017239"/>
    <w:rsid w:val="00020B7C"/>
    <w:rsid w:val="000243A7"/>
    <w:rsid w:val="00026074"/>
    <w:rsid w:val="00050BCD"/>
    <w:rsid w:val="00095622"/>
    <w:rsid w:val="000C1D9B"/>
    <w:rsid w:val="00131974"/>
    <w:rsid w:val="00185554"/>
    <w:rsid w:val="002029DF"/>
    <w:rsid w:val="0023228C"/>
    <w:rsid w:val="002456EF"/>
    <w:rsid w:val="00254FBC"/>
    <w:rsid w:val="00263AC5"/>
    <w:rsid w:val="00270CC8"/>
    <w:rsid w:val="00286491"/>
    <w:rsid w:val="002C7F1A"/>
    <w:rsid w:val="00390AA6"/>
    <w:rsid w:val="003B69DA"/>
    <w:rsid w:val="003F4E0A"/>
    <w:rsid w:val="00415269"/>
    <w:rsid w:val="004239E6"/>
    <w:rsid w:val="00433533"/>
    <w:rsid w:val="00515263"/>
    <w:rsid w:val="00517DEA"/>
    <w:rsid w:val="00562477"/>
    <w:rsid w:val="005E6A6F"/>
    <w:rsid w:val="005F5E4D"/>
    <w:rsid w:val="00604A99"/>
    <w:rsid w:val="00610169"/>
    <w:rsid w:val="00661EDE"/>
    <w:rsid w:val="006D0C57"/>
    <w:rsid w:val="006F35F5"/>
    <w:rsid w:val="007719AD"/>
    <w:rsid w:val="00787D3D"/>
    <w:rsid w:val="007C75A8"/>
    <w:rsid w:val="008310EB"/>
    <w:rsid w:val="00903A83"/>
    <w:rsid w:val="0093744D"/>
    <w:rsid w:val="009623A1"/>
    <w:rsid w:val="0096773B"/>
    <w:rsid w:val="00974058"/>
    <w:rsid w:val="00974FF4"/>
    <w:rsid w:val="009E15E4"/>
    <w:rsid w:val="00A075F9"/>
    <w:rsid w:val="00A31C37"/>
    <w:rsid w:val="00A77AA2"/>
    <w:rsid w:val="00A829E3"/>
    <w:rsid w:val="00A92066"/>
    <w:rsid w:val="00A97851"/>
    <w:rsid w:val="00B14E80"/>
    <w:rsid w:val="00B44E02"/>
    <w:rsid w:val="00B87E04"/>
    <w:rsid w:val="00BF0608"/>
    <w:rsid w:val="00C25F33"/>
    <w:rsid w:val="00DB13C0"/>
    <w:rsid w:val="00DB4456"/>
    <w:rsid w:val="00DC494F"/>
    <w:rsid w:val="00DC4A9B"/>
    <w:rsid w:val="00DD4DD9"/>
    <w:rsid w:val="00E1323B"/>
    <w:rsid w:val="00E5410F"/>
    <w:rsid w:val="00E67E6B"/>
    <w:rsid w:val="00EA2E0B"/>
    <w:rsid w:val="00F50281"/>
    <w:rsid w:val="00F625EC"/>
    <w:rsid w:val="00F702B7"/>
    <w:rsid w:val="00F8452D"/>
    <w:rsid w:val="00FA66BE"/>
    <w:rsid w:val="00FA6DA6"/>
    <w:rsid w:val="00FB54A9"/>
    <w:rsid w:val="00FC3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B85C"/>
  <w15:chartTrackingRefBased/>
  <w15:docId w15:val="{D7183B0E-E5E0-2A48-BD44-A9439168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69"/>
    <w:rPr>
      <w:rFonts w:eastAsiaTheme="majorEastAsia" w:cstheme="majorBidi"/>
      <w:color w:val="272727" w:themeColor="text1" w:themeTint="D8"/>
    </w:rPr>
  </w:style>
  <w:style w:type="paragraph" w:styleId="Title">
    <w:name w:val="Title"/>
    <w:basedOn w:val="Normal"/>
    <w:next w:val="Normal"/>
    <w:link w:val="TitleChar"/>
    <w:uiPriority w:val="10"/>
    <w:qFormat/>
    <w:rsid w:val="00415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69"/>
    <w:pPr>
      <w:spacing w:before="160"/>
      <w:jc w:val="center"/>
    </w:pPr>
    <w:rPr>
      <w:i/>
      <w:iCs/>
      <w:color w:val="404040" w:themeColor="text1" w:themeTint="BF"/>
    </w:rPr>
  </w:style>
  <w:style w:type="character" w:customStyle="1" w:styleId="QuoteChar">
    <w:name w:val="Quote Char"/>
    <w:basedOn w:val="DefaultParagraphFont"/>
    <w:link w:val="Quote"/>
    <w:uiPriority w:val="29"/>
    <w:rsid w:val="00415269"/>
    <w:rPr>
      <w:i/>
      <w:iCs/>
      <w:color w:val="404040" w:themeColor="text1" w:themeTint="BF"/>
    </w:rPr>
  </w:style>
  <w:style w:type="paragraph" w:styleId="ListParagraph">
    <w:name w:val="List Paragraph"/>
    <w:basedOn w:val="Normal"/>
    <w:uiPriority w:val="34"/>
    <w:qFormat/>
    <w:rsid w:val="00415269"/>
    <w:pPr>
      <w:ind w:left="720"/>
      <w:contextualSpacing/>
    </w:pPr>
  </w:style>
  <w:style w:type="character" w:styleId="IntenseEmphasis">
    <w:name w:val="Intense Emphasis"/>
    <w:basedOn w:val="DefaultParagraphFont"/>
    <w:uiPriority w:val="21"/>
    <w:qFormat/>
    <w:rsid w:val="00415269"/>
    <w:rPr>
      <w:i/>
      <w:iCs/>
      <w:color w:val="0F4761" w:themeColor="accent1" w:themeShade="BF"/>
    </w:rPr>
  </w:style>
  <w:style w:type="paragraph" w:styleId="IntenseQuote">
    <w:name w:val="Intense Quote"/>
    <w:basedOn w:val="Normal"/>
    <w:next w:val="Normal"/>
    <w:link w:val="IntenseQuoteChar"/>
    <w:uiPriority w:val="30"/>
    <w:qFormat/>
    <w:rsid w:val="00415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69"/>
    <w:rPr>
      <w:i/>
      <w:iCs/>
      <w:color w:val="0F4761" w:themeColor="accent1" w:themeShade="BF"/>
    </w:rPr>
  </w:style>
  <w:style w:type="character" w:styleId="IntenseReference">
    <w:name w:val="Intense Reference"/>
    <w:basedOn w:val="DefaultParagraphFont"/>
    <w:uiPriority w:val="32"/>
    <w:qFormat/>
    <w:rsid w:val="00415269"/>
    <w:rPr>
      <w:b/>
      <w:bCs/>
      <w:smallCaps/>
      <w:color w:val="0F4761" w:themeColor="accent1" w:themeShade="BF"/>
      <w:spacing w:val="5"/>
    </w:rPr>
  </w:style>
  <w:style w:type="character" w:styleId="Hyperlink">
    <w:name w:val="Hyperlink"/>
    <w:basedOn w:val="DefaultParagraphFont"/>
    <w:uiPriority w:val="99"/>
    <w:unhideWhenUsed/>
    <w:rsid w:val="00F50281"/>
    <w:rPr>
      <w:color w:val="467886" w:themeColor="hyperlink"/>
      <w:u w:val="single"/>
    </w:rPr>
  </w:style>
  <w:style w:type="character" w:styleId="UnresolvedMention">
    <w:name w:val="Unresolved Mention"/>
    <w:basedOn w:val="DefaultParagraphFont"/>
    <w:uiPriority w:val="99"/>
    <w:semiHidden/>
    <w:unhideWhenUsed/>
    <w:rsid w:val="00F50281"/>
    <w:rPr>
      <w:color w:val="605E5C"/>
      <w:shd w:val="clear" w:color="auto" w:fill="E1DFDD"/>
    </w:rPr>
  </w:style>
  <w:style w:type="table" w:styleId="TableGrid">
    <w:name w:val="Table Grid"/>
    <w:basedOn w:val="TableNormal"/>
    <w:uiPriority w:val="39"/>
    <w:rsid w:val="00F62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95622"/>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A77AA2"/>
    <w:pPr>
      <w:spacing w:after="0" w:line="240" w:lineRule="auto"/>
    </w:pPr>
    <w:rPr>
      <w:rFonts w:ascii=".AppleSystemUIFont" w:eastAsia="Times New Roman" w:hAnsi=".AppleSystemUIFont" w:cs="Times New Roman"/>
      <w:color w:val="0E0E0E"/>
      <w:kern w:val="0"/>
      <w:sz w:val="21"/>
      <w:szCs w:val="21"/>
      <w14:ligatures w14:val="none"/>
    </w:rPr>
  </w:style>
  <w:style w:type="paragraph" w:styleId="NormalWeb">
    <w:name w:val="Normal (Web)"/>
    <w:basedOn w:val="Normal"/>
    <w:uiPriority w:val="99"/>
    <w:semiHidden/>
    <w:unhideWhenUsed/>
    <w:rsid w:val="000260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6074"/>
    <w:rPr>
      <w:b/>
      <w:bCs/>
    </w:rPr>
  </w:style>
  <w:style w:type="character" w:styleId="FollowedHyperlink">
    <w:name w:val="FollowedHyperlink"/>
    <w:basedOn w:val="DefaultParagraphFont"/>
    <w:uiPriority w:val="99"/>
    <w:semiHidden/>
    <w:unhideWhenUsed/>
    <w:rsid w:val="00433533"/>
    <w:rPr>
      <w:color w:val="96607D" w:themeColor="followedHyperlink"/>
      <w:u w:val="single"/>
    </w:rPr>
  </w:style>
  <w:style w:type="paragraph" w:styleId="Date">
    <w:name w:val="Date"/>
    <w:basedOn w:val="Normal"/>
    <w:next w:val="Normal"/>
    <w:link w:val="DateChar"/>
    <w:uiPriority w:val="99"/>
    <w:semiHidden/>
    <w:unhideWhenUsed/>
    <w:rsid w:val="002456EF"/>
  </w:style>
  <w:style w:type="character" w:customStyle="1" w:styleId="DateChar">
    <w:name w:val="Date Char"/>
    <w:basedOn w:val="DefaultParagraphFont"/>
    <w:link w:val="Date"/>
    <w:uiPriority w:val="99"/>
    <w:semiHidden/>
    <w:rsid w:val="00245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16546">
      <w:bodyDiv w:val="1"/>
      <w:marLeft w:val="0"/>
      <w:marRight w:val="0"/>
      <w:marTop w:val="0"/>
      <w:marBottom w:val="0"/>
      <w:divBdr>
        <w:top w:val="none" w:sz="0" w:space="0" w:color="auto"/>
        <w:left w:val="none" w:sz="0" w:space="0" w:color="auto"/>
        <w:bottom w:val="none" w:sz="0" w:space="0" w:color="auto"/>
        <w:right w:val="none" w:sz="0" w:space="0" w:color="auto"/>
      </w:divBdr>
    </w:div>
    <w:div w:id="85615037">
      <w:bodyDiv w:val="1"/>
      <w:marLeft w:val="0"/>
      <w:marRight w:val="0"/>
      <w:marTop w:val="0"/>
      <w:marBottom w:val="0"/>
      <w:divBdr>
        <w:top w:val="none" w:sz="0" w:space="0" w:color="auto"/>
        <w:left w:val="none" w:sz="0" w:space="0" w:color="auto"/>
        <w:bottom w:val="none" w:sz="0" w:space="0" w:color="auto"/>
        <w:right w:val="none" w:sz="0" w:space="0" w:color="auto"/>
      </w:divBdr>
    </w:div>
    <w:div w:id="115955871">
      <w:bodyDiv w:val="1"/>
      <w:marLeft w:val="0"/>
      <w:marRight w:val="0"/>
      <w:marTop w:val="0"/>
      <w:marBottom w:val="0"/>
      <w:divBdr>
        <w:top w:val="none" w:sz="0" w:space="0" w:color="auto"/>
        <w:left w:val="none" w:sz="0" w:space="0" w:color="auto"/>
        <w:bottom w:val="none" w:sz="0" w:space="0" w:color="auto"/>
        <w:right w:val="none" w:sz="0" w:space="0" w:color="auto"/>
      </w:divBdr>
    </w:div>
    <w:div w:id="161090902">
      <w:bodyDiv w:val="1"/>
      <w:marLeft w:val="0"/>
      <w:marRight w:val="0"/>
      <w:marTop w:val="0"/>
      <w:marBottom w:val="0"/>
      <w:divBdr>
        <w:top w:val="none" w:sz="0" w:space="0" w:color="auto"/>
        <w:left w:val="none" w:sz="0" w:space="0" w:color="auto"/>
        <w:bottom w:val="none" w:sz="0" w:space="0" w:color="auto"/>
        <w:right w:val="none" w:sz="0" w:space="0" w:color="auto"/>
      </w:divBdr>
    </w:div>
    <w:div w:id="178782285">
      <w:bodyDiv w:val="1"/>
      <w:marLeft w:val="0"/>
      <w:marRight w:val="0"/>
      <w:marTop w:val="0"/>
      <w:marBottom w:val="0"/>
      <w:divBdr>
        <w:top w:val="none" w:sz="0" w:space="0" w:color="auto"/>
        <w:left w:val="none" w:sz="0" w:space="0" w:color="auto"/>
        <w:bottom w:val="none" w:sz="0" w:space="0" w:color="auto"/>
        <w:right w:val="none" w:sz="0" w:space="0" w:color="auto"/>
      </w:divBdr>
    </w:div>
    <w:div w:id="227691641">
      <w:bodyDiv w:val="1"/>
      <w:marLeft w:val="0"/>
      <w:marRight w:val="0"/>
      <w:marTop w:val="0"/>
      <w:marBottom w:val="0"/>
      <w:divBdr>
        <w:top w:val="none" w:sz="0" w:space="0" w:color="auto"/>
        <w:left w:val="none" w:sz="0" w:space="0" w:color="auto"/>
        <w:bottom w:val="none" w:sz="0" w:space="0" w:color="auto"/>
        <w:right w:val="none" w:sz="0" w:space="0" w:color="auto"/>
      </w:divBdr>
    </w:div>
    <w:div w:id="249899692">
      <w:bodyDiv w:val="1"/>
      <w:marLeft w:val="0"/>
      <w:marRight w:val="0"/>
      <w:marTop w:val="0"/>
      <w:marBottom w:val="0"/>
      <w:divBdr>
        <w:top w:val="none" w:sz="0" w:space="0" w:color="auto"/>
        <w:left w:val="none" w:sz="0" w:space="0" w:color="auto"/>
        <w:bottom w:val="none" w:sz="0" w:space="0" w:color="auto"/>
        <w:right w:val="none" w:sz="0" w:space="0" w:color="auto"/>
      </w:divBdr>
    </w:div>
    <w:div w:id="395860041">
      <w:bodyDiv w:val="1"/>
      <w:marLeft w:val="0"/>
      <w:marRight w:val="0"/>
      <w:marTop w:val="0"/>
      <w:marBottom w:val="0"/>
      <w:divBdr>
        <w:top w:val="none" w:sz="0" w:space="0" w:color="auto"/>
        <w:left w:val="none" w:sz="0" w:space="0" w:color="auto"/>
        <w:bottom w:val="none" w:sz="0" w:space="0" w:color="auto"/>
        <w:right w:val="none" w:sz="0" w:space="0" w:color="auto"/>
      </w:divBdr>
    </w:div>
    <w:div w:id="446706661">
      <w:bodyDiv w:val="1"/>
      <w:marLeft w:val="0"/>
      <w:marRight w:val="0"/>
      <w:marTop w:val="0"/>
      <w:marBottom w:val="0"/>
      <w:divBdr>
        <w:top w:val="none" w:sz="0" w:space="0" w:color="auto"/>
        <w:left w:val="none" w:sz="0" w:space="0" w:color="auto"/>
        <w:bottom w:val="none" w:sz="0" w:space="0" w:color="auto"/>
        <w:right w:val="none" w:sz="0" w:space="0" w:color="auto"/>
      </w:divBdr>
    </w:div>
    <w:div w:id="449400608">
      <w:bodyDiv w:val="1"/>
      <w:marLeft w:val="0"/>
      <w:marRight w:val="0"/>
      <w:marTop w:val="0"/>
      <w:marBottom w:val="0"/>
      <w:divBdr>
        <w:top w:val="none" w:sz="0" w:space="0" w:color="auto"/>
        <w:left w:val="none" w:sz="0" w:space="0" w:color="auto"/>
        <w:bottom w:val="none" w:sz="0" w:space="0" w:color="auto"/>
        <w:right w:val="none" w:sz="0" w:space="0" w:color="auto"/>
      </w:divBdr>
    </w:div>
    <w:div w:id="490147994">
      <w:bodyDiv w:val="1"/>
      <w:marLeft w:val="0"/>
      <w:marRight w:val="0"/>
      <w:marTop w:val="0"/>
      <w:marBottom w:val="0"/>
      <w:divBdr>
        <w:top w:val="none" w:sz="0" w:space="0" w:color="auto"/>
        <w:left w:val="none" w:sz="0" w:space="0" w:color="auto"/>
        <w:bottom w:val="none" w:sz="0" w:space="0" w:color="auto"/>
        <w:right w:val="none" w:sz="0" w:space="0" w:color="auto"/>
      </w:divBdr>
    </w:div>
    <w:div w:id="497111169">
      <w:bodyDiv w:val="1"/>
      <w:marLeft w:val="0"/>
      <w:marRight w:val="0"/>
      <w:marTop w:val="0"/>
      <w:marBottom w:val="0"/>
      <w:divBdr>
        <w:top w:val="none" w:sz="0" w:space="0" w:color="auto"/>
        <w:left w:val="none" w:sz="0" w:space="0" w:color="auto"/>
        <w:bottom w:val="none" w:sz="0" w:space="0" w:color="auto"/>
        <w:right w:val="none" w:sz="0" w:space="0" w:color="auto"/>
      </w:divBdr>
    </w:div>
    <w:div w:id="510994458">
      <w:bodyDiv w:val="1"/>
      <w:marLeft w:val="0"/>
      <w:marRight w:val="0"/>
      <w:marTop w:val="0"/>
      <w:marBottom w:val="0"/>
      <w:divBdr>
        <w:top w:val="none" w:sz="0" w:space="0" w:color="auto"/>
        <w:left w:val="none" w:sz="0" w:space="0" w:color="auto"/>
        <w:bottom w:val="none" w:sz="0" w:space="0" w:color="auto"/>
        <w:right w:val="none" w:sz="0" w:space="0" w:color="auto"/>
      </w:divBdr>
    </w:div>
    <w:div w:id="532421047">
      <w:bodyDiv w:val="1"/>
      <w:marLeft w:val="0"/>
      <w:marRight w:val="0"/>
      <w:marTop w:val="0"/>
      <w:marBottom w:val="0"/>
      <w:divBdr>
        <w:top w:val="none" w:sz="0" w:space="0" w:color="auto"/>
        <w:left w:val="none" w:sz="0" w:space="0" w:color="auto"/>
        <w:bottom w:val="none" w:sz="0" w:space="0" w:color="auto"/>
        <w:right w:val="none" w:sz="0" w:space="0" w:color="auto"/>
      </w:divBdr>
    </w:div>
    <w:div w:id="606157504">
      <w:bodyDiv w:val="1"/>
      <w:marLeft w:val="0"/>
      <w:marRight w:val="0"/>
      <w:marTop w:val="0"/>
      <w:marBottom w:val="0"/>
      <w:divBdr>
        <w:top w:val="none" w:sz="0" w:space="0" w:color="auto"/>
        <w:left w:val="none" w:sz="0" w:space="0" w:color="auto"/>
        <w:bottom w:val="none" w:sz="0" w:space="0" w:color="auto"/>
        <w:right w:val="none" w:sz="0" w:space="0" w:color="auto"/>
      </w:divBdr>
    </w:div>
    <w:div w:id="688726518">
      <w:bodyDiv w:val="1"/>
      <w:marLeft w:val="0"/>
      <w:marRight w:val="0"/>
      <w:marTop w:val="0"/>
      <w:marBottom w:val="0"/>
      <w:divBdr>
        <w:top w:val="none" w:sz="0" w:space="0" w:color="auto"/>
        <w:left w:val="none" w:sz="0" w:space="0" w:color="auto"/>
        <w:bottom w:val="none" w:sz="0" w:space="0" w:color="auto"/>
        <w:right w:val="none" w:sz="0" w:space="0" w:color="auto"/>
      </w:divBdr>
    </w:div>
    <w:div w:id="707073919">
      <w:bodyDiv w:val="1"/>
      <w:marLeft w:val="0"/>
      <w:marRight w:val="0"/>
      <w:marTop w:val="0"/>
      <w:marBottom w:val="0"/>
      <w:divBdr>
        <w:top w:val="none" w:sz="0" w:space="0" w:color="auto"/>
        <w:left w:val="none" w:sz="0" w:space="0" w:color="auto"/>
        <w:bottom w:val="none" w:sz="0" w:space="0" w:color="auto"/>
        <w:right w:val="none" w:sz="0" w:space="0" w:color="auto"/>
      </w:divBdr>
    </w:div>
    <w:div w:id="712194438">
      <w:bodyDiv w:val="1"/>
      <w:marLeft w:val="0"/>
      <w:marRight w:val="0"/>
      <w:marTop w:val="0"/>
      <w:marBottom w:val="0"/>
      <w:divBdr>
        <w:top w:val="none" w:sz="0" w:space="0" w:color="auto"/>
        <w:left w:val="none" w:sz="0" w:space="0" w:color="auto"/>
        <w:bottom w:val="none" w:sz="0" w:space="0" w:color="auto"/>
        <w:right w:val="none" w:sz="0" w:space="0" w:color="auto"/>
      </w:divBdr>
    </w:div>
    <w:div w:id="783304304">
      <w:bodyDiv w:val="1"/>
      <w:marLeft w:val="0"/>
      <w:marRight w:val="0"/>
      <w:marTop w:val="0"/>
      <w:marBottom w:val="0"/>
      <w:divBdr>
        <w:top w:val="none" w:sz="0" w:space="0" w:color="auto"/>
        <w:left w:val="none" w:sz="0" w:space="0" w:color="auto"/>
        <w:bottom w:val="none" w:sz="0" w:space="0" w:color="auto"/>
        <w:right w:val="none" w:sz="0" w:space="0" w:color="auto"/>
      </w:divBdr>
    </w:div>
    <w:div w:id="783353221">
      <w:bodyDiv w:val="1"/>
      <w:marLeft w:val="0"/>
      <w:marRight w:val="0"/>
      <w:marTop w:val="0"/>
      <w:marBottom w:val="0"/>
      <w:divBdr>
        <w:top w:val="none" w:sz="0" w:space="0" w:color="auto"/>
        <w:left w:val="none" w:sz="0" w:space="0" w:color="auto"/>
        <w:bottom w:val="none" w:sz="0" w:space="0" w:color="auto"/>
        <w:right w:val="none" w:sz="0" w:space="0" w:color="auto"/>
      </w:divBdr>
    </w:div>
    <w:div w:id="805700248">
      <w:bodyDiv w:val="1"/>
      <w:marLeft w:val="0"/>
      <w:marRight w:val="0"/>
      <w:marTop w:val="0"/>
      <w:marBottom w:val="0"/>
      <w:divBdr>
        <w:top w:val="none" w:sz="0" w:space="0" w:color="auto"/>
        <w:left w:val="none" w:sz="0" w:space="0" w:color="auto"/>
        <w:bottom w:val="none" w:sz="0" w:space="0" w:color="auto"/>
        <w:right w:val="none" w:sz="0" w:space="0" w:color="auto"/>
      </w:divBdr>
    </w:div>
    <w:div w:id="828132453">
      <w:bodyDiv w:val="1"/>
      <w:marLeft w:val="0"/>
      <w:marRight w:val="0"/>
      <w:marTop w:val="0"/>
      <w:marBottom w:val="0"/>
      <w:divBdr>
        <w:top w:val="none" w:sz="0" w:space="0" w:color="auto"/>
        <w:left w:val="none" w:sz="0" w:space="0" w:color="auto"/>
        <w:bottom w:val="none" w:sz="0" w:space="0" w:color="auto"/>
        <w:right w:val="none" w:sz="0" w:space="0" w:color="auto"/>
      </w:divBdr>
    </w:div>
    <w:div w:id="863709989">
      <w:bodyDiv w:val="1"/>
      <w:marLeft w:val="0"/>
      <w:marRight w:val="0"/>
      <w:marTop w:val="0"/>
      <w:marBottom w:val="0"/>
      <w:divBdr>
        <w:top w:val="none" w:sz="0" w:space="0" w:color="auto"/>
        <w:left w:val="none" w:sz="0" w:space="0" w:color="auto"/>
        <w:bottom w:val="none" w:sz="0" w:space="0" w:color="auto"/>
        <w:right w:val="none" w:sz="0" w:space="0" w:color="auto"/>
      </w:divBdr>
    </w:div>
    <w:div w:id="875459636">
      <w:bodyDiv w:val="1"/>
      <w:marLeft w:val="0"/>
      <w:marRight w:val="0"/>
      <w:marTop w:val="0"/>
      <w:marBottom w:val="0"/>
      <w:divBdr>
        <w:top w:val="none" w:sz="0" w:space="0" w:color="auto"/>
        <w:left w:val="none" w:sz="0" w:space="0" w:color="auto"/>
        <w:bottom w:val="none" w:sz="0" w:space="0" w:color="auto"/>
        <w:right w:val="none" w:sz="0" w:space="0" w:color="auto"/>
      </w:divBdr>
    </w:div>
    <w:div w:id="909119474">
      <w:bodyDiv w:val="1"/>
      <w:marLeft w:val="0"/>
      <w:marRight w:val="0"/>
      <w:marTop w:val="0"/>
      <w:marBottom w:val="0"/>
      <w:divBdr>
        <w:top w:val="none" w:sz="0" w:space="0" w:color="auto"/>
        <w:left w:val="none" w:sz="0" w:space="0" w:color="auto"/>
        <w:bottom w:val="none" w:sz="0" w:space="0" w:color="auto"/>
        <w:right w:val="none" w:sz="0" w:space="0" w:color="auto"/>
      </w:divBdr>
    </w:div>
    <w:div w:id="912473521">
      <w:bodyDiv w:val="1"/>
      <w:marLeft w:val="0"/>
      <w:marRight w:val="0"/>
      <w:marTop w:val="0"/>
      <w:marBottom w:val="0"/>
      <w:divBdr>
        <w:top w:val="none" w:sz="0" w:space="0" w:color="auto"/>
        <w:left w:val="none" w:sz="0" w:space="0" w:color="auto"/>
        <w:bottom w:val="none" w:sz="0" w:space="0" w:color="auto"/>
        <w:right w:val="none" w:sz="0" w:space="0" w:color="auto"/>
      </w:divBdr>
    </w:div>
    <w:div w:id="946153374">
      <w:bodyDiv w:val="1"/>
      <w:marLeft w:val="0"/>
      <w:marRight w:val="0"/>
      <w:marTop w:val="0"/>
      <w:marBottom w:val="0"/>
      <w:divBdr>
        <w:top w:val="none" w:sz="0" w:space="0" w:color="auto"/>
        <w:left w:val="none" w:sz="0" w:space="0" w:color="auto"/>
        <w:bottom w:val="none" w:sz="0" w:space="0" w:color="auto"/>
        <w:right w:val="none" w:sz="0" w:space="0" w:color="auto"/>
      </w:divBdr>
    </w:div>
    <w:div w:id="971053672">
      <w:bodyDiv w:val="1"/>
      <w:marLeft w:val="0"/>
      <w:marRight w:val="0"/>
      <w:marTop w:val="0"/>
      <w:marBottom w:val="0"/>
      <w:divBdr>
        <w:top w:val="none" w:sz="0" w:space="0" w:color="auto"/>
        <w:left w:val="none" w:sz="0" w:space="0" w:color="auto"/>
        <w:bottom w:val="none" w:sz="0" w:space="0" w:color="auto"/>
        <w:right w:val="none" w:sz="0" w:space="0" w:color="auto"/>
      </w:divBdr>
    </w:div>
    <w:div w:id="1012143851">
      <w:bodyDiv w:val="1"/>
      <w:marLeft w:val="0"/>
      <w:marRight w:val="0"/>
      <w:marTop w:val="0"/>
      <w:marBottom w:val="0"/>
      <w:divBdr>
        <w:top w:val="none" w:sz="0" w:space="0" w:color="auto"/>
        <w:left w:val="none" w:sz="0" w:space="0" w:color="auto"/>
        <w:bottom w:val="none" w:sz="0" w:space="0" w:color="auto"/>
        <w:right w:val="none" w:sz="0" w:space="0" w:color="auto"/>
      </w:divBdr>
    </w:div>
    <w:div w:id="1041979065">
      <w:bodyDiv w:val="1"/>
      <w:marLeft w:val="0"/>
      <w:marRight w:val="0"/>
      <w:marTop w:val="0"/>
      <w:marBottom w:val="0"/>
      <w:divBdr>
        <w:top w:val="none" w:sz="0" w:space="0" w:color="auto"/>
        <w:left w:val="none" w:sz="0" w:space="0" w:color="auto"/>
        <w:bottom w:val="none" w:sz="0" w:space="0" w:color="auto"/>
        <w:right w:val="none" w:sz="0" w:space="0" w:color="auto"/>
      </w:divBdr>
    </w:div>
    <w:div w:id="1057700527">
      <w:bodyDiv w:val="1"/>
      <w:marLeft w:val="0"/>
      <w:marRight w:val="0"/>
      <w:marTop w:val="0"/>
      <w:marBottom w:val="0"/>
      <w:divBdr>
        <w:top w:val="none" w:sz="0" w:space="0" w:color="auto"/>
        <w:left w:val="none" w:sz="0" w:space="0" w:color="auto"/>
        <w:bottom w:val="none" w:sz="0" w:space="0" w:color="auto"/>
        <w:right w:val="none" w:sz="0" w:space="0" w:color="auto"/>
      </w:divBdr>
    </w:div>
    <w:div w:id="1071931379">
      <w:bodyDiv w:val="1"/>
      <w:marLeft w:val="0"/>
      <w:marRight w:val="0"/>
      <w:marTop w:val="0"/>
      <w:marBottom w:val="0"/>
      <w:divBdr>
        <w:top w:val="none" w:sz="0" w:space="0" w:color="auto"/>
        <w:left w:val="none" w:sz="0" w:space="0" w:color="auto"/>
        <w:bottom w:val="none" w:sz="0" w:space="0" w:color="auto"/>
        <w:right w:val="none" w:sz="0" w:space="0" w:color="auto"/>
      </w:divBdr>
    </w:div>
    <w:div w:id="1072044472">
      <w:bodyDiv w:val="1"/>
      <w:marLeft w:val="0"/>
      <w:marRight w:val="0"/>
      <w:marTop w:val="0"/>
      <w:marBottom w:val="0"/>
      <w:divBdr>
        <w:top w:val="none" w:sz="0" w:space="0" w:color="auto"/>
        <w:left w:val="none" w:sz="0" w:space="0" w:color="auto"/>
        <w:bottom w:val="none" w:sz="0" w:space="0" w:color="auto"/>
        <w:right w:val="none" w:sz="0" w:space="0" w:color="auto"/>
      </w:divBdr>
    </w:div>
    <w:div w:id="1107624462">
      <w:bodyDiv w:val="1"/>
      <w:marLeft w:val="0"/>
      <w:marRight w:val="0"/>
      <w:marTop w:val="0"/>
      <w:marBottom w:val="0"/>
      <w:divBdr>
        <w:top w:val="none" w:sz="0" w:space="0" w:color="auto"/>
        <w:left w:val="none" w:sz="0" w:space="0" w:color="auto"/>
        <w:bottom w:val="none" w:sz="0" w:space="0" w:color="auto"/>
        <w:right w:val="none" w:sz="0" w:space="0" w:color="auto"/>
      </w:divBdr>
    </w:div>
    <w:div w:id="1139876935">
      <w:bodyDiv w:val="1"/>
      <w:marLeft w:val="0"/>
      <w:marRight w:val="0"/>
      <w:marTop w:val="0"/>
      <w:marBottom w:val="0"/>
      <w:divBdr>
        <w:top w:val="none" w:sz="0" w:space="0" w:color="auto"/>
        <w:left w:val="none" w:sz="0" w:space="0" w:color="auto"/>
        <w:bottom w:val="none" w:sz="0" w:space="0" w:color="auto"/>
        <w:right w:val="none" w:sz="0" w:space="0" w:color="auto"/>
      </w:divBdr>
    </w:div>
    <w:div w:id="1194806292">
      <w:bodyDiv w:val="1"/>
      <w:marLeft w:val="0"/>
      <w:marRight w:val="0"/>
      <w:marTop w:val="0"/>
      <w:marBottom w:val="0"/>
      <w:divBdr>
        <w:top w:val="none" w:sz="0" w:space="0" w:color="auto"/>
        <w:left w:val="none" w:sz="0" w:space="0" w:color="auto"/>
        <w:bottom w:val="none" w:sz="0" w:space="0" w:color="auto"/>
        <w:right w:val="none" w:sz="0" w:space="0" w:color="auto"/>
      </w:divBdr>
    </w:div>
    <w:div w:id="1214582901">
      <w:bodyDiv w:val="1"/>
      <w:marLeft w:val="0"/>
      <w:marRight w:val="0"/>
      <w:marTop w:val="0"/>
      <w:marBottom w:val="0"/>
      <w:divBdr>
        <w:top w:val="none" w:sz="0" w:space="0" w:color="auto"/>
        <w:left w:val="none" w:sz="0" w:space="0" w:color="auto"/>
        <w:bottom w:val="none" w:sz="0" w:space="0" w:color="auto"/>
        <w:right w:val="none" w:sz="0" w:space="0" w:color="auto"/>
      </w:divBdr>
    </w:div>
    <w:div w:id="1272858990">
      <w:bodyDiv w:val="1"/>
      <w:marLeft w:val="0"/>
      <w:marRight w:val="0"/>
      <w:marTop w:val="0"/>
      <w:marBottom w:val="0"/>
      <w:divBdr>
        <w:top w:val="none" w:sz="0" w:space="0" w:color="auto"/>
        <w:left w:val="none" w:sz="0" w:space="0" w:color="auto"/>
        <w:bottom w:val="none" w:sz="0" w:space="0" w:color="auto"/>
        <w:right w:val="none" w:sz="0" w:space="0" w:color="auto"/>
      </w:divBdr>
    </w:div>
    <w:div w:id="1284070186">
      <w:bodyDiv w:val="1"/>
      <w:marLeft w:val="0"/>
      <w:marRight w:val="0"/>
      <w:marTop w:val="0"/>
      <w:marBottom w:val="0"/>
      <w:divBdr>
        <w:top w:val="none" w:sz="0" w:space="0" w:color="auto"/>
        <w:left w:val="none" w:sz="0" w:space="0" w:color="auto"/>
        <w:bottom w:val="none" w:sz="0" w:space="0" w:color="auto"/>
        <w:right w:val="none" w:sz="0" w:space="0" w:color="auto"/>
      </w:divBdr>
    </w:div>
    <w:div w:id="1354695086">
      <w:bodyDiv w:val="1"/>
      <w:marLeft w:val="0"/>
      <w:marRight w:val="0"/>
      <w:marTop w:val="0"/>
      <w:marBottom w:val="0"/>
      <w:divBdr>
        <w:top w:val="none" w:sz="0" w:space="0" w:color="auto"/>
        <w:left w:val="none" w:sz="0" w:space="0" w:color="auto"/>
        <w:bottom w:val="none" w:sz="0" w:space="0" w:color="auto"/>
        <w:right w:val="none" w:sz="0" w:space="0" w:color="auto"/>
      </w:divBdr>
    </w:div>
    <w:div w:id="1510869379">
      <w:bodyDiv w:val="1"/>
      <w:marLeft w:val="0"/>
      <w:marRight w:val="0"/>
      <w:marTop w:val="0"/>
      <w:marBottom w:val="0"/>
      <w:divBdr>
        <w:top w:val="none" w:sz="0" w:space="0" w:color="auto"/>
        <w:left w:val="none" w:sz="0" w:space="0" w:color="auto"/>
        <w:bottom w:val="none" w:sz="0" w:space="0" w:color="auto"/>
        <w:right w:val="none" w:sz="0" w:space="0" w:color="auto"/>
      </w:divBdr>
    </w:div>
    <w:div w:id="1542285129">
      <w:bodyDiv w:val="1"/>
      <w:marLeft w:val="0"/>
      <w:marRight w:val="0"/>
      <w:marTop w:val="0"/>
      <w:marBottom w:val="0"/>
      <w:divBdr>
        <w:top w:val="none" w:sz="0" w:space="0" w:color="auto"/>
        <w:left w:val="none" w:sz="0" w:space="0" w:color="auto"/>
        <w:bottom w:val="none" w:sz="0" w:space="0" w:color="auto"/>
        <w:right w:val="none" w:sz="0" w:space="0" w:color="auto"/>
      </w:divBdr>
    </w:div>
    <w:div w:id="1555265319">
      <w:bodyDiv w:val="1"/>
      <w:marLeft w:val="0"/>
      <w:marRight w:val="0"/>
      <w:marTop w:val="0"/>
      <w:marBottom w:val="0"/>
      <w:divBdr>
        <w:top w:val="none" w:sz="0" w:space="0" w:color="auto"/>
        <w:left w:val="none" w:sz="0" w:space="0" w:color="auto"/>
        <w:bottom w:val="none" w:sz="0" w:space="0" w:color="auto"/>
        <w:right w:val="none" w:sz="0" w:space="0" w:color="auto"/>
      </w:divBdr>
    </w:div>
    <w:div w:id="1586986966">
      <w:bodyDiv w:val="1"/>
      <w:marLeft w:val="0"/>
      <w:marRight w:val="0"/>
      <w:marTop w:val="0"/>
      <w:marBottom w:val="0"/>
      <w:divBdr>
        <w:top w:val="none" w:sz="0" w:space="0" w:color="auto"/>
        <w:left w:val="none" w:sz="0" w:space="0" w:color="auto"/>
        <w:bottom w:val="none" w:sz="0" w:space="0" w:color="auto"/>
        <w:right w:val="none" w:sz="0" w:space="0" w:color="auto"/>
      </w:divBdr>
    </w:div>
    <w:div w:id="1612085845">
      <w:bodyDiv w:val="1"/>
      <w:marLeft w:val="0"/>
      <w:marRight w:val="0"/>
      <w:marTop w:val="0"/>
      <w:marBottom w:val="0"/>
      <w:divBdr>
        <w:top w:val="none" w:sz="0" w:space="0" w:color="auto"/>
        <w:left w:val="none" w:sz="0" w:space="0" w:color="auto"/>
        <w:bottom w:val="none" w:sz="0" w:space="0" w:color="auto"/>
        <w:right w:val="none" w:sz="0" w:space="0" w:color="auto"/>
      </w:divBdr>
    </w:div>
    <w:div w:id="1653095701">
      <w:bodyDiv w:val="1"/>
      <w:marLeft w:val="0"/>
      <w:marRight w:val="0"/>
      <w:marTop w:val="0"/>
      <w:marBottom w:val="0"/>
      <w:divBdr>
        <w:top w:val="none" w:sz="0" w:space="0" w:color="auto"/>
        <w:left w:val="none" w:sz="0" w:space="0" w:color="auto"/>
        <w:bottom w:val="none" w:sz="0" w:space="0" w:color="auto"/>
        <w:right w:val="none" w:sz="0" w:space="0" w:color="auto"/>
      </w:divBdr>
    </w:div>
    <w:div w:id="1695156679">
      <w:bodyDiv w:val="1"/>
      <w:marLeft w:val="0"/>
      <w:marRight w:val="0"/>
      <w:marTop w:val="0"/>
      <w:marBottom w:val="0"/>
      <w:divBdr>
        <w:top w:val="none" w:sz="0" w:space="0" w:color="auto"/>
        <w:left w:val="none" w:sz="0" w:space="0" w:color="auto"/>
        <w:bottom w:val="none" w:sz="0" w:space="0" w:color="auto"/>
        <w:right w:val="none" w:sz="0" w:space="0" w:color="auto"/>
      </w:divBdr>
    </w:div>
    <w:div w:id="1707635654">
      <w:bodyDiv w:val="1"/>
      <w:marLeft w:val="0"/>
      <w:marRight w:val="0"/>
      <w:marTop w:val="0"/>
      <w:marBottom w:val="0"/>
      <w:divBdr>
        <w:top w:val="none" w:sz="0" w:space="0" w:color="auto"/>
        <w:left w:val="none" w:sz="0" w:space="0" w:color="auto"/>
        <w:bottom w:val="none" w:sz="0" w:space="0" w:color="auto"/>
        <w:right w:val="none" w:sz="0" w:space="0" w:color="auto"/>
      </w:divBdr>
    </w:div>
    <w:div w:id="1795322699">
      <w:bodyDiv w:val="1"/>
      <w:marLeft w:val="0"/>
      <w:marRight w:val="0"/>
      <w:marTop w:val="0"/>
      <w:marBottom w:val="0"/>
      <w:divBdr>
        <w:top w:val="none" w:sz="0" w:space="0" w:color="auto"/>
        <w:left w:val="none" w:sz="0" w:space="0" w:color="auto"/>
        <w:bottom w:val="none" w:sz="0" w:space="0" w:color="auto"/>
        <w:right w:val="none" w:sz="0" w:space="0" w:color="auto"/>
      </w:divBdr>
    </w:div>
    <w:div w:id="1795712024">
      <w:bodyDiv w:val="1"/>
      <w:marLeft w:val="0"/>
      <w:marRight w:val="0"/>
      <w:marTop w:val="0"/>
      <w:marBottom w:val="0"/>
      <w:divBdr>
        <w:top w:val="none" w:sz="0" w:space="0" w:color="auto"/>
        <w:left w:val="none" w:sz="0" w:space="0" w:color="auto"/>
        <w:bottom w:val="none" w:sz="0" w:space="0" w:color="auto"/>
        <w:right w:val="none" w:sz="0" w:space="0" w:color="auto"/>
      </w:divBdr>
    </w:div>
    <w:div w:id="1816530636">
      <w:bodyDiv w:val="1"/>
      <w:marLeft w:val="0"/>
      <w:marRight w:val="0"/>
      <w:marTop w:val="0"/>
      <w:marBottom w:val="0"/>
      <w:divBdr>
        <w:top w:val="none" w:sz="0" w:space="0" w:color="auto"/>
        <w:left w:val="none" w:sz="0" w:space="0" w:color="auto"/>
        <w:bottom w:val="none" w:sz="0" w:space="0" w:color="auto"/>
        <w:right w:val="none" w:sz="0" w:space="0" w:color="auto"/>
      </w:divBdr>
    </w:div>
    <w:div w:id="1826555008">
      <w:bodyDiv w:val="1"/>
      <w:marLeft w:val="0"/>
      <w:marRight w:val="0"/>
      <w:marTop w:val="0"/>
      <w:marBottom w:val="0"/>
      <w:divBdr>
        <w:top w:val="none" w:sz="0" w:space="0" w:color="auto"/>
        <w:left w:val="none" w:sz="0" w:space="0" w:color="auto"/>
        <w:bottom w:val="none" w:sz="0" w:space="0" w:color="auto"/>
        <w:right w:val="none" w:sz="0" w:space="0" w:color="auto"/>
      </w:divBdr>
    </w:div>
    <w:div w:id="1885867223">
      <w:bodyDiv w:val="1"/>
      <w:marLeft w:val="0"/>
      <w:marRight w:val="0"/>
      <w:marTop w:val="0"/>
      <w:marBottom w:val="0"/>
      <w:divBdr>
        <w:top w:val="none" w:sz="0" w:space="0" w:color="auto"/>
        <w:left w:val="none" w:sz="0" w:space="0" w:color="auto"/>
        <w:bottom w:val="none" w:sz="0" w:space="0" w:color="auto"/>
        <w:right w:val="none" w:sz="0" w:space="0" w:color="auto"/>
      </w:divBdr>
    </w:div>
    <w:div w:id="2088260782">
      <w:bodyDiv w:val="1"/>
      <w:marLeft w:val="0"/>
      <w:marRight w:val="0"/>
      <w:marTop w:val="0"/>
      <w:marBottom w:val="0"/>
      <w:divBdr>
        <w:top w:val="none" w:sz="0" w:space="0" w:color="auto"/>
        <w:left w:val="none" w:sz="0" w:space="0" w:color="auto"/>
        <w:bottom w:val="none" w:sz="0" w:space="0" w:color="auto"/>
        <w:right w:val="none" w:sz="0" w:space="0" w:color="auto"/>
      </w:divBdr>
    </w:div>
    <w:div w:id="209088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548CB-66D2-CF48-9F05-D9AFC88E4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16</cp:revision>
  <dcterms:created xsi:type="dcterms:W3CDTF">2025-01-27T07:24:00Z</dcterms:created>
  <dcterms:modified xsi:type="dcterms:W3CDTF">2025-02-26T07:30:00Z</dcterms:modified>
</cp:coreProperties>
</file>