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9DC80" w14:textId="77777777" w:rsidR="00A77AA2" w:rsidRPr="008310EB" w:rsidRDefault="00A77AA2" w:rsidP="00A77AA2">
      <w:pPr>
        <w:pStyle w:val="p1"/>
        <w:rPr>
          <w:rFonts w:ascii="KaiTi" w:eastAsia="KaiTi" w:hAnsi="KaiTi"/>
          <w:sz w:val="24"/>
          <w:szCs w:val="24"/>
        </w:rPr>
      </w:pPr>
      <w:r w:rsidRPr="008310EB">
        <w:rPr>
          <w:rFonts w:ascii="KaiTi" w:eastAsia="KaiTi" w:hAnsi="KaiTi" w:cs="PingFang TC" w:hint="eastAsia"/>
          <w:sz w:val="24"/>
          <w:szCs w:val="24"/>
        </w:rPr>
        <w:t>亲爱的朋友，</w:t>
      </w:r>
    </w:p>
    <w:p w14:paraId="667CF7B5" w14:textId="77777777" w:rsidR="00A77AA2" w:rsidRPr="008310EB" w:rsidRDefault="00A77AA2" w:rsidP="00A77AA2">
      <w:pPr>
        <w:pStyle w:val="p2"/>
        <w:rPr>
          <w:rFonts w:ascii="KaiTi" w:eastAsia="KaiTi" w:hAnsi="KaiTi"/>
          <w:sz w:val="24"/>
          <w:szCs w:val="24"/>
        </w:rPr>
      </w:pPr>
    </w:p>
    <w:p w14:paraId="02047648" w14:textId="77777777" w:rsidR="00FB2ADC" w:rsidRDefault="00FB2ADC" w:rsidP="00DD4DD9">
      <w:pPr>
        <w:rPr>
          <w:rFonts w:ascii="KaiTi" w:eastAsia="KaiTi" w:hAnsi="KaiTi" w:cs="PingFang TC"/>
          <w:kern w:val="0"/>
          <w14:ligatures w14:val="none"/>
        </w:rPr>
      </w:pPr>
    </w:p>
    <w:p w14:paraId="03F8473A" w14:textId="40290DD5" w:rsidR="001150DB" w:rsidRDefault="005742FF" w:rsidP="00DD4DD9">
      <w:pPr>
        <w:rPr>
          <w:rFonts w:ascii="KaiTi" w:eastAsia="KaiTi" w:hAnsi="KaiTi"/>
          <w:b/>
          <w:bCs/>
          <w:color w:val="FF0000"/>
        </w:rPr>
      </w:pPr>
      <w:r w:rsidRPr="005742FF">
        <w:rPr>
          <w:rFonts w:ascii="KaiTi" w:eastAsia="KaiTi" w:hAnsi="KaiTi" w:cs="PingFang TC" w:hint="eastAsia"/>
          <w:kern w:val="0"/>
          <w14:ligatures w14:val="none"/>
        </w:rPr>
        <w:t>春暖花开的三月已接近尾声，全球资本市场在政策与经济数据的交织中展现出复杂动态。我们希望这份月度通讯能为您提供清晰的市场洞察，帮助您在波动中找到投资方向。无论是面对关税政策的变化，还是市场估值调整，长期投资的耐心与策略都至关重要。愿您在春日里保持从容，期待与您共同迎接未来的投资旅程。</w:t>
      </w:r>
    </w:p>
    <w:p w14:paraId="529BDAE3" w14:textId="77777777" w:rsidR="00FB2ADC" w:rsidRDefault="00FB2ADC" w:rsidP="00DD4DD9">
      <w:pPr>
        <w:rPr>
          <w:rFonts w:ascii="KaiTi" w:eastAsia="KaiTi" w:hAnsi="KaiTi"/>
          <w:b/>
          <w:bCs/>
        </w:rPr>
      </w:pPr>
    </w:p>
    <w:p w14:paraId="696D636C" w14:textId="5FC2E36E" w:rsidR="009623A1" w:rsidRPr="009623A1" w:rsidRDefault="009623A1" w:rsidP="00DD4DD9">
      <w:pPr>
        <w:rPr>
          <w:rFonts w:ascii="KaiTi" w:eastAsia="KaiTi" w:hAnsi="KaiTi"/>
          <w:b/>
          <w:bCs/>
        </w:rPr>
      </w:pPr>
      <w:r w:rsidRPr="009623A1">
        <w:rPr>
          <w:rFonts w:ascii="KaiTi" w:eastAsia="KaiTi" w:hAnsi="KaiTi" w:hint="eastAsia"/>
          <w:b/>
          <w:bCs/>
        </w:rPr>
        <w:t>市场概览</w:t>
      </w:r>
    </w:p>
    <w:p w14:paraId="7937D40B" w14:textId="77777777" w:rsidR="00B8655C" w:rsidRDefault="00B8655C" w:rsidP="001150DB">
      <w:pPr>
        <w:autoSpaceDE w:val="0"/>
        <w:autoSpaceDN w:val="0"/>
        <w:adjustRightInd w:val="0"/>
        <w:spacing w:after="0" w:line="240" w:lineRule="auto"/>
        <w:rPr>
          <w:rFonts w:ascii="KaiTi" w:eastAsia="KaiTi" w:hAnsi="KaiTi"/>
        </w:rPr>
      </w:pPr>
    </w:p>
    <w:p w14:paraId="4BDF0092" w14:textId="239A8046" w:rsidR="001150DB" w:rsidRPr="001150DB" w:rsidRDefault="001150DB" w:rsidP="001150DB">
      <w:pPr>
        <w:autoSpaceDE w:val="0"/>
        <w:autoSpaceDN w:val="0"/>
        <w:adjustRightInd w:val="0"/>
        <w:spacing w:after="0" w:line="240" w:lineRule="auto"/>
        <w:rPr>
          <w:rFonts w:ascii="KaiTi" w:eastAsia="KaiTi" w:hAnsi="KaiTi"/>
        </w:rPr>
      </w:pPr>
      <w:r w:rsidRPr="001150DB">
        <w:rPr>
          <w:rFonts w:ascii="KaiTi" w:eastAsia="KaiTi" w:hAnsi="KaiTi" w:hint="eastAsia"/>
        </w:rPr>
        <w:t>关税政策与股市影响</w:t>
      </w:r>
    </w:p>
    <w:p w14:paraId="4525BC74" w14:textId="77777777" w:rsidR="001150DB" w:rsidRPr="001150DB" w:rsidRDefault="001150DB" w:rsidP="001150DB">
      <w:pPr>
        <w:autoSpaceDE w:val="0"/>
        <w:autoSpaceDN w:val="0"/>
        <w:adjustRightInd w:val="0"/>
        <w:spacing w:after="0" w:line="240" w:lineRule="auto"/>
        <w:rPr>
          <w:rFonts w:ascii="KaiTi" w:eastAsia="KaiTi" w:hAnsi="KaiTi"/>
        </w:rPr>
      </w:pPr>
    </w:p>
    <w:p w14:paraId="53BB78B2" w14:textId="6B711919" w:rsidR="001150DB" w:rsidRPr="001150DB" w:rsidRDefault="001150DB" w:rsidP="001150DB">
      <w:pPr>
        <w:autoSpaceDE w:val="0"/>
        <w:autoSpaceDN w:val="0"/>
        <w:adjustRightInd w:val="0"/>
        <w:spacing w:after="0" w:line="240" w:lineRule="auto"/>
        <w:rPr>
          <w:rFonts w:ascii="KaiTi" w:eastAsia="KaiTi" w:hAnsi="KaiTi"/>
        </w:rPr>
      </w:pPr>
      <w:r w:rsidRPr="001150DB">
        <w:rPr>
          <w:rFonts w:ascii="KaiTi" w:eastAsia="KaiTi" w:hAnsi="KaiTi" w:hint="eastAsia"/>
        </w:rPr>
        <w:t>过去一个月，美国股市因特朗普政府的关税政策而经历显著波动。特朗普对加拿大、墨西哥和中国进口商品的关税威胁引发市场担忧，特别是在2月和3月初，股市多次出现下跌。例如，3月3日，特朗普宣布对加拿大和墨西哥实施25%关税，标准普尔500指数当天下跌2.7%，创下自2022年9月以来最大单日跌幅。这一政策的不确定性增加了经济放缓和通胀压力的预期，影响了投资者信心。</w:t>
      </w:r>
    </w:p>
    <w:p w14:paraId="5A12143D" w14:textId="77777777" w:rsidR="001150DB" w:rsidRPr="001150DB" w:rsidRDefault="001150DB" w:rsidP="001150DB">
      <w:pPr>
        <w:autoSpaceDE w:val="0"/>
        <w:autoSpaceDN w:val="0"/>
        <w:adjustRightInd w:val="0"/>
        <w:spacing w:after="0" w:line="240" w:lineRule="auto"/>
        <w:rPr>
          <w:rFonts w:ascii="KaiTi" w:eastAsia="KaiTi" w:hAnsi="KaiTi"/>
        </w:rPr>
      </w:pPr>
    </w:p>
    <w:p w14:paraId="029F3E42" w14:textId="3D63B611" w:rsidR="001150DB" w:rsidRPr="001150DB" w:rsidRDefault="001150DB" w:rsidP="001150DB">
      <w:pPr>
        <w:autoSpaceDE w:val="0"/>
        <w:autoSpaceDN w:val="0"/>
        <w:adjustRightInd w:val="0"/>
        <w:spacing w:after="0" w:line="240" w:lineRule="auto"/>
        <w:rPr>
          <w:rFonts w:ascii="KaiTi" w:eastAsia="KaiTi" w:hAnsi="KaiTi"/>
        </w:rPr>
      </w:pPr>
      <w:r w:rsidRPr="001150DB">
        <w:rPr>
          <w:rFonts w:ascii="KaiTi" w:eastAsia="KaiTi" w:hAnsi="KaiTi" w:hint="eastAsia"/>
        </w:rPr>
        <w:t>然而，近期政策放松迹象为市场带来了转机。3月24日，市场因特朗普可能减少部分关税计划的报道而大幅反弹。当天，标准普尔500指数上涨1.76%，收于5,767.57点，道琼斯工业平均指数上涨597.97点，或1.42%，收于42,583.32。这一反弹反映了投资者对避免长期贸易战的前景的乐观情绪。</w:t>
      </w:r>
    </w:p>
    <w:p w14:paraId="32241224" w14:textId="77777777" w:rsidR="001150DB" w:rsidRPr="001150DB" w:rsidRDefault="001150DB" w:rsidP="001150DB">
      <w:pPr>
        <w:autoSpaceDE w:val="0"/>
        <w:autoSpaceDN w:val="0"/>
        <w:adjustRightInd w:val="0"/>
        <w:spacing w:after="0" w:line="240" w:lineRule="auto"/>
        <w:rPr>
          <w:rFonts w:ascii="KaiTi" w:eastAsia="KaiTi" w:hAnsi="KaiTi"/>
        </w:rPr>
      </w:pPr>
    </w:p>
    <w:p w14:paraId="2CD8B058" w14:textId="77777777" w:rsidR="001150DB" w:rsidRPr="001150DB" w:rsidRDefault="001150DB" w:rsidP="001150DB">
      <w:pPr>
        <w:autoSpaceDE w:val="0"/>
        <w:autoSpaceDN w:val="0"/>
        <w:adjustRightInd w:val="0"/>
        <w:spacing w:after="0" w:line="240" w:lineRule="auto"/>
        <w:rPr>
          <w:rFonts w:ascii="KaiTi" w:eastAsia="KaiTi" w:hAnsi="KaiTi"/>
        </w:rPr>
      </w:pPr>
      <w:r w:rsidRPr="001150DB">
        <w:rPr>
          <w:rFonts w:ascii="KaiTi" w:eastAsia="KaiTi" w:hAnsi="KaiTi" w:hint="eastAsia"/>
        </w:rPr>
        <w:t>经济指标与政策</w:t>
      </w:r>
    </w:p>
    <w:p w14:paraId="0FF1F278" w14:textId="77777777" w:rsidR="001150DB" w:rsidRPr="001150DB" w:rsidRDefault="001150DB" w:rsidP="001150DB">
      <w:pPr>
        <w:autoSpaceDE w:val="0"/>
        <w:autoSpaceDN w:val="0"/>
        <w:adjustRightInd w:val="0"/>
        <w:spacing w:after="0" w:line="240" w:lineRule="auto"/>
        <w:rPr>
          <w:rFonts w:ascii="KaiTi" w:eastAsia="KaiTi" w:hAnsi="KaiTi"/>
        </w:rPr>
      </w:pPr>
    </w:p>
    <w:p w14:paraId="599F205E" w14:textId="7919C580" w:rsidR="00095622" w:rsidRPr="000C1D9B" w:rsidRDefault="001150DB" w:rsidP="001150DB">
      <w:pPr>
        <w:autoSpaceDE w:val="0"/>
        <w:autoSpaceDN w:val="0"/>
        <w:adjustRightInd w:val="0"/>
        <w:spacing w:after="0" w:line="240" w:lineRule="auto"/>
        <w:rPr>
          <w:rFonts w:ascii="KaiTi" w:eastAsia="KaiTi" w:hAnsi="KaiTi" w:cs="Arial"/>
          <w:kern w:val="0"/>
        </w:rPr>
      </w:pPr>
      <w:r w:rsidRPr="001150DB">
        <w:rPr>
          <w:rFonts w:ascii="KaiTi" w:eastAsia="KaiTi" w:hAnsi="KaiTi" w:hint="eastAsia"/>
        </w:rPr>
        <w:t>2月消费者价格指数（CPI）低于预期，生产者价格指数（PPI）上月未变，显示通胀放缓。但密歇根大学的初步消费者信心调查降至57.7，为2022年11月以来最低，零售销售增长0.2%，低于预期的0.6%，表明潜在经济疲软。联邦储备系统（Fed）在3月会议上维持联邦基金利率不变，采取谨慎的“观望”策略，评估关税对消费者和生产者价格的影响。金价因经济不确定性飙升至3,000美元/盎司以上，反映市场对通胀和经济前景的担忧。</w:t>
      </w:r>
    </w:p>
    <w:p w14:paraId="51C6C03E" w14:textId="77777777" w:rsidR="00E135B6" w:rsidRDefault="00E135B6" w:rsidP="00610169">
      <w:pPr>
        <w:rPr>
          <w:rFonts w:ascii="KaiTi" w:eastAsia="KaiTi" w:hAnsi="KaiTi"/>
          <w:b/>
          <w:bCs/>
        </w:rPr>
      </w:pPr>
    </w:p>
    <w:p w14:paraId="6D81077D" w14:textId="1DDC8B63" w:rsidR="00E135B6" w:rsidRDefault="00E135B6" w:rsidP="00610169">
      <w:pPr>
        <w:rPr>
          <w:rFonts w:ascii="KaiTi" w:eastAsia="KaiTi" w:hAnsi="KaiTi"/>
          <w:b/>
          <w:bCs/>
        </w:rPr>
      </w:pPr>
      <w:r>
        <w:rPr>
          <w:rFonts w:ascii="KaiTi" w:eastAsia="KaiTi" w:hAnsi="KaiTi" w:hint="eastAsia"/>
          <w:b/>
          <w:bCs/>
        </w:rPr>
        <w:t>市场大幅调整是长期投资者的机会</w:t>
      </w:r>
    </w:p>
    <w:p w14:paraId="1D602F65" w14:textId="77777777" w:rsidR="00E135B6" w:rsidRDefault="00E135B6" w:rsidP="00610169">
      <w:pPr>
        <w:rPr>
          <w:rFonts w:ascii="KaiTi" w:eastAsia="KaiTi" w:hAnsi="KaiTi"/>
          <w:b/>
          <w:bCs/>
        </w:rPr>
      </w:pPr>
    </w:p>
    <w:p w14:paraId="6BD6A35B" w14:textId="77777777" w:rsidR="00401CE2" w:rsidRDefault="00C37DA0" w:rsidP="00C37DA0">
      <w:pPr>
        <w:rPr>
          <w:rFonts w:ascii="KaiTi" w:eastAsia="KaiTi" w:hAnsi="KaiTi"/>
        </w:rPr>
      </w:pPr>
      <w:r>
        <w:rPr>
          <w:rFonts w:ascii="KaiTi" w:eastAsia="KaiTi" w:hAnsi="KaiTi" w:hint="eastAsia"/>
        </w:rPr>
        <w:t>巴菲特、</w:t>
      </w:r>
      <w:r w:rsidRPr="00C37DA0">
        <w:rPr>
          <w:rFonts w:ascii="KaiTi" w:eastAsia="KaiTi" w:hAnsi="KaiTi" w:hint="eastAsia"/>
        </w:rPr>
        <w:t>霍华德·马克斯</w:t>
      </w:r>
      <w:r>
        <w:rPr>
          <w:rFonts w:ascii="KaiTi" w:eastAsia="KaiTi" w:hAnsi="KaiTi" w:hint="eastAsia"/>
        </w:rPr>
        <w:t>和其他知名的投资者都曾经说过，</w:t>
      </w:r>
      <w:r w:rsidRPr="00C37DA0">
        <w:rPr>
          <w:rFonts w:ascii="KaiTi" w:eastAsia="KaiTi" w:hAnsi="KaiTi" w:hint="eastAsia"/>
        </w:rPr>
        <w:t>试图预测市场走势是徒劳的，</w:t>
      </w:r>
      <w:r w:rsidR="00401CE2">
        <w:rPr>
          <w:rFonts w:ascii="KaiTi" w:eastAsia="KaiTi" w:hAnsi="KaiTi" w:hint="eastAsia"/>
        </w:rPr>
        <w:t>我们</w:t>
      </w:r>
      <w:r w:rsidRPr="00C37DA0">
        <w:rPr>
          <w:rFonts w:ascii="KaiTi" w:eastAsia="KaiTi" w:hAnsi="KaiTi" w:hint="eastAsia"/>
        </w:rPr>
        <w:t>普通投资者无需因信息过载而焦虑。</w:t>
      </w:r>
    </w:p>
    <w:p w14:paraId="389C67EF" w14:textId="3E3A5784" w:rsidR="00C37DA0" w:rsidRPr="00C37DA0" w:rsidRDefault="00401CE2" w:rsidP="00C37DA0">
      <w:pPr>
        <w:rPr>
          <w:rFonts w:ascii="KaiTi" w:eastAsia="KaiTi" w:hAnsi="KaiTi"/>
        </w:rPr>
      </w:pPr>
      <w:r>
        <w:rPr>
          <w:rFonts w:ascii="KaiTi" w:eastAsia="KaiTi" w:hAnsi="KaiTi" w:hint="eastAsia"/>
        </w:rPr>
        <w:lastRenderedPageBreak/>
        <w:t>我们</w:t>
      </w:r>
      <w:r w:rsidR="00C37DA0" w:rsidRPr="00C37DA0">
        <w:rPr>
          <w:rFonts w:ascii="KaiTi" w:eastAsia="KaiTi" w:hAnsi="KaiTi" w:hint="eastAsia"/>
        </w:rPr>
        <w:t>长期投资者应专注于资产配置，而非短期市场反应，特别是在波动加剧时保持冷静。</w:t>
      </w:r>
      <w:r>
        <w:rPr>
          <w:rFonts w:ascii="KaiTi" w:eastAsia="KaiTi" w:hAnsi="KaiTi" w:hint="eastAsia"/>
        </w:rPr>
        <w:t>更不要因为恐慌随意抛售手中的股票，往往这个时候是长期投资者的买入机会。</w:t>
      </w:r>
    </w:p>
    <w:p w14:paraId="634C08A0" w14:textId="77777777" w:rsidR="00C37DA0" w:rsidRPr="00C37DA0" w:rsidRDefault="00C37DA0" w:rsidP="00C37DA0">
      <w:pPr>
        <w:rPr>
          <w:rFonts w:ascii="KaiTi" w:eastAsia="KaiTi" w:hAnsi="KaiTi"/>
        </w:rPr>
      </w:pPr>
    </w:p>
    <w:p w14:paraId="76F3C2EE" w14:textId="77777777" w:rsidR="00C37DA0" w:rsidRPr="00C37DA0" w:rsidRDefault="00C37DA0" w:rsidP="00C37DA0">
      <w:pPr>
        <w:rPr>
          <w:rFonts w:ascii="KaiTi" w:eastAsia="KaiTi" w:hAnsi="KaiTi"/>
        </w:rPr>
      </w:pPr>
      <w:r w:rsidRPr="00C37DA0">
        <w:rPr>
          <w:rFonts w:ascii="KaiTi" w:eastAsia="KaiTi" w:hAnsi="KaiTi" w:hint="eastAsia"/>
        </w:rPr>
        <w:t>热门股票与指数表现</w:t>
      </w:r>
    </w:p>
    <w:p w14:paraId="008A1861" w14:textId="77777777" w:rsidR="00C37DA0" w:rsidRPr="00C37DA0" w:rsidRDefault="00C37DA0" w:rsidP="00C37DA0">
      <w:pPr>
        <w:rPr>
          <w:rFonts w:ascii="KaiTi" w:eastAsia="KaiTi" w:hAnsi="KaiTi"/>
        </w:rPr>
      </w:pPr>
    </w:p>
    <w:p w14:paraId="4CD5F4B7" w14:textId="54548D5E" w:rsidR="00C37DA0" w:rsidRPr="00C37DA0" w:rsidRDefault="00C37DA0" w:rsidP="00C37DA0">
      <w:pPr>
        <w:rPr>
          <w:rFonts w:ascii="KaiTi" w:eastAsia="KaiTi" w:hAnsi="KaiTi"/>
        </w:rPr>
      </w:pPr>
      <w:r w:rsidRPr="00C37DA0">
        <w:rPr>
          <w:rFonts w:ascii="KaiTi" w:eastAsia="KaiTi" w:hAnsi="KaiTi" w:hint="eastAsia"/>
        </w:rPr>
        <w:t>“壮丽七雄”（Magnificent Seven，包括NVDA、TSLA、AAPL、MSFT、GOOG、AMZN、META）股票近期表现分化。</w:t>
      </w:r>
      <w:r w:rsidR="00401CE2">
        <w:rPr>
          <w:rFonts w:ascii="KaiTi" w:eastAsia="KaiTi" w:hAnsi="KaiTi" w:hint="eastAsia"/>
        </w:rPr>
        <w:t>在3月25日交易日时</w:t>
      </w:r>
      <w:r w:rsidRPr="00C37DA0">
        <w:rPr>
          <w:rFonts w:ascii="KaiTi" w:eastAsia="KaiTi" w:hAnsi="KaiTi" w:hint="eastAsia"/>
        </w:rPr>
        <w:t>，</w:t>
      </w:r>
      <w:r w:rsidR="00401CE2">
        <w:rPr>
          <w:rFonts w:ascii="KaiTi" w:eastAsia="KaiTi" w:hAnsi="KaiTi" w:hint="eastAsia"/>
        </w:rPr>
        <w:t>我统计了下</w:t>
      </w:r>
      <w:r w:rsidRPr="00C37DA0">
        <w:rPr>
          <w:rFonts w:ascii="KaiTi" w:eastAsia="KaiTi" w:hAnsi="KaiTi" w:hint="eastAsia"/>
        </w:rPr>
        <w:t>这些股票的年至今（YTD）表现如下：</w:t>
      </w:r>
    </w:p>
    <w:p w14:paraId="4B0DAB45" w14:textId="77777777" w:rsidR="00401CE2" w:rsidRDefault="00401CE2" w:rsidP="00C37DA0">
      <w:pPr>
        <w:rPr>
          <w:rFonts w:ascii="KaiTi" w:eastAsia="KaiTi" w:hAnsi="KaiTi"/>
        </w:rPr>
      </w:pPr>
    </w:p>
    <w:p w14:paraId="4705D705" w14:textId="4AC03713" w:rsidR="00C37DA0" w:rsidRPr="00C37DA0" w:rsidRDefault="00C37DA0" w:rsidP="00C37DA0">
      <w:pPr>
        <w:rPr>
          <w:rFonts w:ascii="KaiTi" w:eastAsia="KaiTi" w:hAnsi="KaiTi"/>
        </w:rPr>
      </w:pPr>
      <w:r w:rsidRPr="00C37DA0">
        <w:rPr>
          <w:rFonts w:ascii="KaiTi" w:eastAsia="KaiTi" w:hAnsi="KaiTi" w:hint="eastAsia"/>
        </w:rPr>
        <w:t>股票</w:t>
      </w:r>
      <w:r w:rsidRPr="00C37DA0">
        <w:rPr>
          <w:rFonts w:ascii="KaiTi" w:eastAsia="KaiTi" w:hAnsi="KaiTi" w:hint="eastAsia"/>
        </w:rPr>
        <w:tab/>
        <w:t>YTD表现</w:t>
      </w:r>
    </w:p>
    <w:p w14:paraId="4616C763" w14:textId="77777777" w:rsidR="00C37DA0" w:rsidRPr="00C37DA0" w:rsidRDefault="00C37DA0" w:rsidP="00C37DA0">
      <w:pPr>
        <w:rPr>
          <w:rFonts w:ascii="KaiTi" w:eastAsia="KaiTi" w:hAnsi="KaiTi"/>
        </w:rPr>
      </w:pPr>
      <w:r w:rsidRPr="00C37DA0">
        <w:rPr>
          <w:rFonts w:ascii="KaiTi" w:eastAsia="KaiTi" w:hAnsi="KaiTi"/>
        </w:rPr>
        <w:t>NVDA</w:t>
      </w:r>
      <w:r w:rsidRPr="00C37DA0">
        <w:rPr>
          <w:rFonts w:ascii="KaiTi" w:eastAsia="KaiTi" w:hAnsi="KaiTi"/>
        </w:rPr>
        <w:tab/>
        <w:t>-9.59%</w:t>
      </w:r>
    </w:p>
    <w:p w14:paraId="72EC025E" w14:textId="77777777" w:rsidR="00C37DA0" w:rsidRPr="00C37DA0" w:rsidRDefault="00C37DA0" w:rsidP="00C37DA0">
      <w:pPr>
        <w:rPr>
          <w:rFonts w:ascii="KaiTi" w:eastAsia="KaiTi" w:hAnsi="KaiTi"/>
        </w:rPr>
      </w:pPr>
      <w:r w:rsidRPr="00C37DA0">
        <w:rPr>
          <w:rFonts w:ascii="KaiTi" w:eastAsia="KaiTi" w:hAnsi="KaiTi"/>
        </w:rPr>
        <w:t>TSLA</w:t>
      </w:r>
      <w:r w:rsidRPr="00C37DA0">
        <w:rPr>
          <w:rFonts w:ascii="KaiTi" w:eastAsia="KaiTi" w:hAnsi="KaiTi"/>
        </w:rPr>
        <w:tab/>
        <w:t>-31.06%</w:t>
      </w:r>
    </w:p>
    <w:p w14:paraId="6323D572" w14:textId="217B181E" w:rsidR="00C37DA0" w:rsidRPr="00C37DA0" w:rsidRDefault="00C37DA0" w:rsidP="00C37DA0">
      <w:pPr>
        <w:rPr>
          <w:rFonts w:ascii="KaiTi" w:eastAsia="KaiTi" w:hAnsi="KaiTi"/>
        </w:rPr>
      </w:pPr>
      <w:r w:rsidRPr="00C37DA0">
        <w:rPr>
          <w:rFonts w:ascii="KaiTi" w:eastAsia="KaiTi" w:hAnsi="KaiTi"/>
        </w:rPr>
        <w:t>AAPL</w:t>
      </w:r>
      <w:r w:rsidRPr="00C37DA0">
        <w:rPr>
          <w:rFonts w:ascii="KaiTi" w:eastAsia="KaiTi" w:hAnsi="KaiTi"/>
        </w:rPr>
        <w:tab/>
        <w:t>-</w:t>
      </w:r>
      <w:r w:rsidR="00401CE2">
        <w:rPr>
          <w:rFonts w:ascii="KaiTi" w:eastAsia="KaiTi" w:hAnsi="KaiTi" w:hint="eastAsia"/>
        </w:rPr>
        <w:t>10.92</w:t>
      </w:r>
      <w:r w:rsidRPr="00C37DA0">
        <w:rPr>
          <w:rFonts w:ascii="KaiTi" w:eastAsia="KaiTi" w:hAnsi="KaiTi"/>
        </w:rPr>
        <w:t>%</w:t>
      </w:r>
    </w:p>
    <w:p w14:paraId="70C055A5" w14:textId="0F7876B9" w:rsidR="00C37DA0" w:rsidRPr="00C37DA0" w:rsidRDefault="00C37DA0" w:rsidP="00C37DA0">
      <w:pPr>
        <w:rPr>
          <w:rFonts w:ascii="KaiTi" w:eastAsia="KaiTi" w:hAnsi="KaiTi"/>
        </w:rPr>
      </w:pPr>
      <w:r w:rsidRPr="00C37DA0">
        <w:rPr>
          <w:rFonts w:ascii="KaiTi" w:eastAsia="KaiTi" w:hAnsi="KaiTi" w:hint="eastAsia"/>
        </w:rPr>
        <w:t>MSFT</w:t>
      </w:r>
      <w:r w:rsidRPr="00C37DA0">
        <w:rPr>
          <w:rFonts w:ascii="KaiTi" w:eastAsia="KaiTi" w:hAnsi="KaiTi" w:hint="eastAsia"/>
        </w:rPr>
        <w:tab/>
      </w:r>
      <w:r w:rsidR="00401CE2">
        <w:rPr>
          <w:rFonts w:ascii="KaiTi" w:eastAsia="KaiTi" w:hAnsi="KaiTi" w:hint="eastAsia"/>
        </w:rPr>
        <w:t>-6.02%</w:t>
      </w:r>
    </w:p>
    <w:p w14:paraId="1DA295FA" w14:textId="1B6F545A" w:rsidR="00C37DA0" w:rsidRPr="00C37DA0" w:rsidRDefault="00C37DA0" w:rsidP="00C37DA0">
      <w:pPr>
        <w:rPr>
          <w:rFonts w:ascii="KaiTi" w:eastAsia="KaiTi" w:hAnsi="KaiTi"/>
        </w:rPr>
      </w:pPr>
      <w:r w:rsidRPr="00C37DA0">
        <w:rPr>
          <w:rFonts w:ascii="KaiTi" w:eastAsia="KaiTi" w:hAnsi="KaiTi" w:hint="eastAsia"/>
        </w:rPr>
        <w:t>GOOG</w:t>
      </w:r>
      <w:r w:rsidRPr="00C37DA0">
        <w:rPr>
          <w:rFonts w:ascii="KaiTi" w:eastAsia="KaiTi" w:hAnsi="KaiTi" w:hint="eastAsia"/>
        </w:rPr>
        <w:tab/>
      </w:r>
      <w:r w:rsidR="00401CE2">
        <w:rPr>
          <w:rFonts w:ascii="KaiTi" w:eastAsia="KaiTi" w:hAnsi="KaiTi" w:hint="eastAsia"/>
        </w:rPr>
        <w:t>-9.7%</w:t>
      </w:r>
    </w:p>
    <w:p w14:paraId="0160550A" w14:textId="238371D8" w:rsidR="00C37DA0" w:rsidRPr="00C37DA0" w:rsidRDefault="00C37DA0" w:rsidP="00C37DA0">
      <w:pPr>
        <w:rPr>
          <w:rFonts w:ascii="KaiTi" w:eastAsia="KaiTi" w:hAnsi="KaiTi"/>
        </w:rPr>
      </w:pPr>
      <w:r w:rsidRPr="00C37DA0">
        <w:rPr>
          <w:rFonts w:ascii="KaiTi" w:eastAsia="KaiTi" w:hAnsi="KaiTi" w:hint="eastAsia"/>
        </w:rPr>
        <w:t>AMZN</w:t>
      </w:r>
      <w:r w:rsidRPr="00C37DA0">
        <w:rPr>
          <w:rFonts w:ascii="KaiTi" w:eastAsia="KaiTi" w:hAnsi="KaiTi" w:hint="eastAsia"/>
        </w:rPr>
        <w:tab/>
        <w:t>-</w:t>
      </w:r>
      <w:r w:rsidR="00401CE2">
        <w:rPr>
          <w:rFonts w:ascii="KaiTi" w:eastAsia="KaiTi" w:hAnsi="KaiTi" w:hint="eastAsia"/>
        </w:rPr>
        <w:t>6.66%</w:t>
      </w:r>
    </w:p>
    <w:p w14:paraId="67AB2377" w14:textId="542E2FB9" w:rsidR="00C37DA0" w:rsidRPr="00C37DA0" w:rsidRDefault="00C37DA0" w:rsidP="00C37DA0">
      <w:pPr>
        <w:rPr>
          <w:rFonts w:ascii="KaiTi" w:eastAsia="KaiTi" w:hAnsi="KaiTi"/>
        </w:rPr>
      </w:pPr>
      <w:r w:rsidRPr="00C37DA0">
        <w:rPr>
          <w:rFonts w:ascii="KaiTi" w:eastAsia="KaiTi" w:hAnsi="KaiTi" w:hint="eastAsia"/>
        </w:rPr>
        <w:t>META</w:t>
      </w:r>
      <w:r w:rsidRPr="00C37DA0">
        <w:rPr>
          <w:rFonts w:ascii="KaiTi" w:eastAsia="KaiTi" w:hAnsi="KaiTi" w:hint="eastAsia"/>
        </w:rPr>
        <w:tab/>
      </w:r>
      <w:r w:rsidR="00401CE2">
        <w:rPr>
          <w:rFonts w:ascii="KaiTi" w:eastAsia="KaiTi" w:hAnsi="KaiTi" w:hint="eastAsia"/>
        </w:rPr>
        <w:t>-6.61%</w:t>
      </w:r>
    </w:p>
    <w:p w14:paraId="299BB6B0" w14:textId="77777777" w:rsidR="00401CE2" w:rsidRDefault="00401CE2" w:rsidP="00C37DA0">
      <w:pPr>
        <w:rPr>
          <w:rFonts w:ascii="KaiTi" w:eastAsia="KaiTi" w:hAnsi="KaiTi"/>
        </w:rPr>
      </w:pPr>
    </w:p>
    <w:p w14:paraId="2B7C8D56" w14:textId="23475631" w:rsidR="00C37DA0" w:rsidRPr="00C37DA0" w:rsidRDefault="00401CE2" w:rsidP="00C37DA0">
      <w:pPr>
        <w:rPr>
          <w:rFonts w:ascii="KaiTi" w:eastAsia="KaiTi" w:hAnsi="KaiTi"/>
        </w:rPr>
      </w:pPr>
      <w:r>
        <w:rPr>
          <w:rFonts w:ascii="KaiTi" w:eastAsia="KaiTi" w:hAnsi="KaiTi" w:hint="eastAsia"/>
        </w:rPr>
        <w:t>除了特斯拉TSLA跌幅高达31%以外，其他6家公司的跌幅并没有想象中那么大。</w:t>
      </w:r>
      <w:r w:rsidR="00C37DA0" w:rsidRPr="00C37DA0">
        <w:rPr>
          <w:rFonts w:ascii="KaiTi" w:eastAsia="KaiTi" w:hAnsi="KaiTi" w:hint="eastAsia"/>
        </w:rPr>
        <w:t>相比之下，标普500指数年至今总回报为-1.63%，</w:t>
      </w:r>
      <w:r>
        <w:rPr>
          <w:rFonts w:ascii="KaiTi" w:eastAsia="KaiTi" w:hAnsi="KaiTi" w:hint="eastAsia"/>
        </w:rPr>
        <w:t>这么看起来美股市场目前的表现</w:t>
      </w:r>
      <w:r w:rsidR="000E2963">
        <w:rPr>
          <w:rFonts w:ascii="KaiTi" w:eastAsia="KaiTi" w:hAnsi="KaiTi" w:hint="eastAsia"/>
        </w:rPr>
        <w:t>离所谓的“</w:t>
      </w:r>
      <w:r>
        <w:rPr>
          <w:rFonts w:ascii="KaiTi" w:eastAsia="KaiTi" w:hAnsi="KaiTi" w:hint="eastAsia"/>
        </w:rPr>
        <w:t>崩盘</w:t>
      </w:r>
      <w:r w:rsidR="000E2963">
        <w:rPr>
          <w:rFonts w:ascii="KaiTi" w:eastAsia="KaiTi" w:hAnsi="KaiTi" w:hint="eastAsia"/>
        </w:rPr>
        <w:t>”还差得很远</w:t>
      </w:r>
      <w:r w:rsidR="00C37DA0" w:rsidRPr="00C37DA0">
        <w:rPr>
          <w:rFonts w:ascii="KaiTi" w:eastAsia="KaiTi" w:hAnsi="KaiTi" w:hint="eastAsia"/>
        </w:rPr>
        <w:t>。</w:t>
      </w:r>
    </w:p>
    <w:p w14:paraId="7752482E" w14:textId="3FA935D9" w:rsidR="00401CE2" w:rsidRDefault="00401CE2" w:rsidP="00C37DA0">
      <w:pPr>
        <w:rPr>
          <w:rFonts w:ascii="KaiTi" w:eastAsia="KaiTi" w:hAnsi="KaiTi"/>
        </w:rPr>
      </w:pPr>
      <w:r>
        <w:rPr>
          <w:rFonts w:ascii="KaiTi" w:eastAsia="KaiTi" w:hAnsi="KaiTi" w:hint="eastAsia"/>
        </w:rPr>
        <w:t>除去上述的热门科技股外以及标普指数看上去的波澜不惊外，美股市场的其余板块以及一些个股却在这几个月有较深的跌幅。而它们基本上都与最近的特朗普“新政”有关。</w:t>
      </w:r>
    </w:p>
    <w:p w14:paraId="26586046" w14:textId="1405B620" w:rsidR="007A1F3A" w:rsidRDefault="007A1F3A" w:rsidP="00C37DA0">
      <w:pPr>
        <w:rPr>
          <w:rFonts w:ascii="KaiTi" w:eastAsia="KaiTi" w:hAnsi="KaiTi"/>
        </w:rPr>
      </w:pPr>
      <w:r>
        <w:rPr>
          <w:rFonts w:ascii="KaiTi" w:eastAsia="KaiTi" w:hAnsi="KaiTi" w:hint="eastAsia"/>
        </w:rPr>
        <w:t>比如，受关税政策影响，美国啤酒和烈酒生产商股价大幅下跌，</w:t>
      </w:r>
      <w:r w:rsidR="000E2963">
        <w:rPr>
          <w:rFonts w:ascii="KaiTi" w:eastAsia="KaiTi" w:hAnsi="KaiTi" w:hint="eastAsia"/>
        </w:rPr>
        <w:t>墨西哥啤酒</w:t>
      </w:r>
      <w:r>
        <w:rPr>
          <w:rFonts w:ascii="KaiTi" w:eastAsia="KaiTi" w:hAnsi="KaiTi" w:hint="eastAsia"/>
        </w:rPr>
        <w:t>Corona的美国经销商星座品牌股价今年大幅下跌近20%，把巴菲特老爷子的伯克希尔哈撒韦都套进去了。</w:t>
      </w:r>
    </w:p>
    <w:p w14:paraId="3DFF9DDD" w14:textId="748972CD" w:rsidR="007A1F3A" w:rsidRDefault="007A1F3A" w:rsidP="00C37DA0">
      <w:pPr>
        <w:rPr>
          <w:rFonts w:ascii="KaiTi" w:eastAsia="KaiTi" w:hAnsi="KaiTi"/>
        </w:rPr>
      </w:pPr>
      <w:r>
        <w:rPr>
          <w:rFonts w:ascii="KaiTi" w:eastAsia="KaiTi" w:hAnsi="KaiTi" w:hint="eastAsia"/>
        </w:rPr>
        <w:t>比如，</w:t>
      </w:r>
      <w:r w:rsidR="00EE53BA">
        <w:rPr>
          <w:rFonts w:ascii="KaiTi" w:eastAsia="KaiTi" w:hAnsi="KaiTi" w:hint="eastAsia"/>
        </w:rPr>
        <w:t>由于担忧</w:t>
      </w:r>
      <w:r>
        <w:rPr>
          <w:rFonts w:ascii="KaiTi" w:eastAsia="KaiTi" w:hAnsi="KaiTi" w:hint="eastAsia"/>
        </w:rPr>
        <w:t>新政府上台后对医保政策进行大幅调整，为美国Medicare和Medicaid提供服务的保险和服务机构从去年到现在都跌得稀里哗啦的。</w:t>
      </w:r>
    </w:p>
    <w:p w14:paraId="6EDA225E" w14:textId="269D0780" w:rsidR="00C37DA0" w:rsidRDefault="007A1F3A" w:rsidP="00C37DA0">
      <w:pPr>
        <w:rPr>
          <w:rFonts w:ascii="KaiTi" w:eastAsia="KaiTi" w:hAnsi="KaiTi"/>
        </w:rPr>
      </w:pPr>
      <w:r>
        <w:rPr>
          <w:rFonts w:ascii="KaiTi" w:eastAsia="KaiTi" w:hAnsi="KaiTi" w:hint="eastAsia"/>
        </w:rPr>
        <w:lastRenderedPageBreak/>
        <w:t>比如，美国政府效率部（DOGE）引发了对政府采购预算降低和调整的担心，一堆政府服务供应商和咨询公司的股价跌得惨不忍睹。其中有一些非常优秀的公司也不能幸免。</w:t>
      </w:r>
    </w:p>
    <w:p w14:paraId="1DE0D611" w14:textId="77777777" w:rsidR="00B8655C" w:rsidRDefault="00B8655C" w:rsidP="00B8655C">
      <w:pPr>
        <w:rPr>
          <w:rFonts w:ascii="KaiTi" w:eastAsia="KaiTi" w:hAnsi="KaiTi"/>
        </w:rPr>
      </w:pPr>
    </w:p>
    <w:p w14:paraId="510B5BC7" w14:textId="58060634" w:rsidR="00B8655C" w:rsidRPr="00EE53BA" w:rsidRDefault="00B8655C" w:rsidP="00C37DA0">
      <w:pPr>
        <w:rPr>
          <w:rFonts w:ascii="KaiTi" w:eastAsia="KaiTi" w:hAnsi="KaiTi"/>
          <w:b/>
          <w:bCs/>
        </w:rPr>
      </w:pPr>
      <w:r w:rsidRPr="00EE53BA">
        <w:rPr>
          <w:rFonts w:ascii="KaiTi" w:eastAsia="KaiTi" w:hAnsi="KaiTi" w:hint="eastAsia"/>
          <w:b/>
          <w:bCs/>
        </w:rPr>
        <w:t>长期投资策略</w:t>
      </w:r>
    </w:p>
    <w:p w14:paraId="2E540E6F" w14:textId="6D1BF156" w:rsidR="007A1F3A" w:rsidRDefault="00B8655C" w:rsidP="00C37DA0">
      <w:pPr>
        <w:rPr>
          <w:rFonts w:ascii="KaiTi" w:eastAsia="KaiTi" w:hAnsi="KaiTi"/>
        </w:rPr>
      </w:pPr>
      <w:r>
        <w:rPr>
          <w:rFonts w:ascii="KaiTi" w:eastAsia="KaiTi" w:hAnsi="KaiTi" w:hint="eastAsia"/>
        </w:rPr>
        <w:t>就</w:t>
      </w:r>
      <w:r w:rsidR="000E2963">
        <w:rPr>
          <w:rFonts w:ascii="KaiTi" w:eastAsia="KaiTi" w:hAnsi="KaiTi" w:hint="eastAsia"/>
        </w:rPr>
        <w:t>我们</w:t>
      </w:r>
      <w:r>
        <w:rPr>
          <w:rFonts w:ascii="KaiTi" w:eastAsia="KaiTi" w:hAnsi="KaiTi" w:hint="eastAsia"/>
        </w:rPr>
        <w:t>的</w:t>
      </w:r>
      <w:r w:rsidR="000E2963">
        <w:rPr>
          <w:rFonts w:ascii="KaiTi" w:eastAsia="KaiTi" w:hAnsi="KaiTi" w:hint="eastAsia"/>
        </w:rPr>
        <w:t>投资</w:t>
      </w:r>
      <w:r>
        <w:rPr>
          <w:rFonts w:ascii="KaiTi" w:eastAsia="KaiTi" w:hAnsi="KaiTi" w:hint="eastAsia"/>
        </w:rPr>
        <w:t>经验</w:t>
      </w:r>
      <w:r w:rsidR="007A1F3A">
        <w:rPr>
          <w:rFonts w:ascii="KaiTi" w:eastAsia="KaiTi" w:hAnsi="KaiTi" w:hint="eastAsia"/>
        </w:rPr>
        <w:t>，</w:t>
      </w:r>
      <w:r>
        <w:rPr>
          <w:rFonts w:ascii="KaiTi" w:eastAsia="KaiTi" w:hAnsi="KaiTi" w:hint="eastAsia"/>
        </w:rPr>
        <w:t>一般建议大家对市场的信息更“迟钝”一些，</w:t>
      </w:r>
      <w:r w:rsidR="007A1F3A">
        <w:rPr>
          <w:rFonts w:ascii="KaiTi" w:eastAsia="KaiTi" w:hAnsi="KaiTi" w:hint="eastAsia"/>
        </w:rPr>
        <w:t>用置身事外的心态去观察市场</w:t>
      </w:r>
      <w:r>
        <w:rPr>
          <w:rFonts w:ascii="KaiTi" w:eastAsia="KaiTi" w:hAnsi="KaiTi" w:hint="eastAsia"/>
        </w:rPr>
        <w:t>。没有杠杆，持有优质的资产，那么时间就是我们的朋友，市场调整就是我们的机会。</w:t>
      </w:r>
    </w:p>
    <w:p w14:paraId="65263540" w14:textId="4D9D38D7" w:rsidR="00C37DA0" w:rsidRPr="00C37DA0" w:rsidRDefault="00B8655C" w:rsidP="00C37DA0">
      <w:pPr>
        <w:rPr>
          <w:rFonts w:ascii="KaiTi" w:eastAsia="KaiTi" w:hAnsi="KaiTi"/>
        </w:rPr>
      </w:pPr>
      <w:r>
        <w:rPr>
          <w:rFonts w:ascii="KaiTi" w:eastAsia="KaiTi" w:hAnsi="KaiTi" w:hint="eastAsia"/>
        </w:rPr>
        <w:t>我们目前的参考组合选择了足够分散的</w:t>
      </w:r>
      <w:r w:rsidR="00C37DA0" w:rsidRPr="00C37DA0">
        <w:rPr>
          <w:rFonts w:ascii="KaiTi" w:eastAsia="KaiTi" w:hAnsi="KaiTi" w:hint="eastAsia"/>
        </w:rPr>
        <w:t>优质</w:t>
      </w:r>
      <w:r>
        <w:rPr>
          <w:rFonts w:ascii="KaiTi" w:eastAsia="KaiTi" w:hAnsi="KaiTi" w:hint="eastAsia"/>
        </w:rPr>
        <w:t>股权、房地产和债券</w:t>
      </w:r>
      <w:r w:rsidR="00C37DA0" w:rsidRPr="00C37DA0">
        <w:rPr>
          <w:rFonts w:ascii="KaiTi" w:eastAsia="KaiTi" w:hAnsi="KaiTi" w:hint="eastAsia"/>
        </w:rPr>
        <w:t>基金构建组合，并通过股债搭配降低波动。</w:t>
      </w:r>
      <w:r>
        <w:rPr>
          <w:rFonts w:ascii="KaiTi" w:eastAsia="KaiTi" w:hAnsi="KaiTi" w:hint="eastAsia"/>
        </w:rPr>
        <w:t>其中，</w:t>
      </w:r>
      <w:r w:rsidR="00C37DA0" w:rsidRPr="00C37DA0">
        <w:rPr>
          <w:rFonts w:ascii="KaiTi" w:eastAsia="KaiTi" w:hAnsi="KaiTi" w:hint="eastAsia"/>
        </w:rPr>
        <w:t>债券资产不仅能起到防守作用，还能在市场低谷时为加仓股票提供“弹药”。</w:t>
      </w:r>
    </w:p>
    <w:p w14:paraId="39994EE4" w14:textId="77777777" w:rsidR="00E135B6" w:rsidRDefault="00E135B6" w:rsidP="00610169">
      <w:pPr>
        <w:rPr>
          <w:rFonts w:ascii="KaiTi" w:eastAsia="KaiTi" w:hAnsi="KaiTi"/>
          <w:b/>
          <w:bCs/>
        </w:rPr>
      </w:pPr>
    </w:p>
    <w:p w14:paraId="3C8CBC5C" w14:textId="6CBAB536" w:rsidR="00B87E04" w:rsidRPr="000C1D9B" w:rsidRDefault="00610169" w:rsidP="00610169">
      <w:pPr>
        <w:rPr>
          <w:rFonts w:ascii="KaiTi" w:eastAsia="KaiTi" w:hAnsi="KaiTi"/>
          <w:b/>
          <w:bCs/>
        </w:rPr>
      </w:pPr>
      <w:r w:rsidRPr="000C1D9B">
        <w:rPr>
          <w:rFonts w:ascii="KaiTi" w:eastAsia="KaiTi" w:hAnsi="KaiTi" w:hint="eastAsia"/>
          <w:b/>
          <w:bCs/>
        </w:rPr>
        <w:t>示例组合运行情况</w:t>
      </w:r>
    </w:p>
    <w:p w14:paraId="41DC8E22" w14:textId="7277CF87" w:rsidR="00610169" w:rsidRPr="000C1D9B" w:rsidRDefault="00610169" w:rsidP="00610169">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191BDF3E" w14:textId="640673F7" w:rsidR="00610169" w:rsidRPr="000E2963" w:rsidRDefault="00610169" w:rsidP="00610169">
      <w:pPr>
        <w:rPr>
          <w:rFonts w:ascii="KaiTi" w:eastAsia="KaiTi" w:hAnsi="KaiTi"/>
          <w:b/>
          <w:bCs/>
        </w:rPr>
      </w:pPr>
      <w:r w:rsidRPr="000C1D9B">
        <w:rPr>
          <w:rFonts w:ascii="KaiTi" w:eastAsia="KaiTi" w:hAnsi="KaiTi" w:hint="eastAsia"/>
          <w:b/>
          <w:bCs/>
        </w:rPr>
        <w:t>组合1: 长线增长 ILI Long Term Accumulation</w:t>
      </w:r>
    </w:p>
    <w:p w14:paraId="76BE4D8D" w14:textId="1BFB8F28" w:rsidR="00610169" w:rsidRPr="000C1D9B" w:rsidRDefault="00610169" w:rsidP="00610169">
      <w:pPr>
        <w:rPr>
          <w:rFonts w:ascii="KaiTi" w:eastAsia="KaiTi" w:hAnsi="KaiTi"/>
        </w:rPr>
      </w:pPr>
      <w:r w:rsidRPr="000C1D9B">
        <w:rPr>
          <w:rFonts w:ascii="KaiTi" w:eastAsia="KaiTi" w:hAnsi="KaiTi" w:hint="eastAsia"/>
        </w:rPr>
        <w:t>其中第一个组合更关注长期的增长，通过固定收益、房地产</w:t>
      </w:r>
      <w:r w:rsidR="00B8655C">
        <w:rPr>
          <w:rFonts w:ascii="KaiTi" w:eastAsia="KaiTi" w:hAnsi="KaiTi" w:hint="eastAsia"/>
        </w:rPr>
        <w:t>信托基金</w:t>
      </w:r>
      <w:r w:rsidRPr="000C1D9B">
        <w:rPr>
          <w:rFonts w:ascii="KaiTi" w:eastAsia="KaiTi" w:hAnsi="KaiTi" w:hint="eastAsia"/>
        </w:rPr>
        <w:t>和优质股票的组合来实现</w:t>
      </w:r>
      <w:r w:rsidR="00974058" w:rsidRPr="000C1D9B">
        <w:rPr>
          <w:rFonts w:ascii="KaiTi" w:eastAsia="KaiTi" w:hAnsi="KaiTi" w:hint="eastAsia"/>
        </w:rPr>
        <w:t>，他们的配置比例为40%：25%：35%</w:t>
      </w:r>
      <w:r w:rsidRPr="000C1D9B">
        <w:rPr>
          <w:rFonts w:ascii="KaiTi" w:eastAsia="KaiTi" w:hAnsi="KaiTi" w:hint="eastAsia"/>
        </w:rPr>
        <w:t>。</w:t>
      </w:r>
    </w:p>
    <w:p w14:paraId="715FE02C" w14:textId="34284889" w:rsidR="00610169" w:rsidRPr="000C1D9B" w:rsidRDefault="00610169"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w:t>
      </w:r>
      <w:r w:rsidR="00AB3EA0">
        <w:rPr>
          <w:rFonts w:ascii="KaiTi" w:eastAsia="KaiTi" w:hAnsi="KaiTi" w:hint="eastAsia"/>
        </w:rPr>
        <w:t>3</w:t>
      </w:r>
      <w:r w:rsidRPr="000C1D9B">
        <w:rPr>
          <w:rFonts w:ascii="KaiTi" w:eastAsia="KaiTi" w:hAnsi="KaiTi" w:hint="eastAsia"/>
        </w:rPr>
        <w:t>月2</w:t>
      </w:r>
      <w:r w:rsidR="00AB3EA0">
        <w:rPr>
          <w:rFonts w:ascii="KaiTi" w:eastAsia="KaiTi" w:hAnsi="KaiTi" w:hint="eastAsia"/>
        </w:rPr>
        <w:t>4</w:t>
      </w:r>
      <w:r w:rsidRPr="000C1D9B">
        <w:rPr>
          <w:rFonts w:ascii="KaiTi" w:eastAsia="KaiTi" w:hAnsi="KaiTi" w:hint="eastAsia"/>
        </w:rPr>
        <w:t>日，这个组合的运行情况如下：</w:t>
      </w:r>
    </w:p>
    <w:p w14:paraId="5965973B" w14:textId="00856D2A" w:rsidR="00974058" w:rsidRPr="000C1D9B" w:rsidRDefault="00AB3EA0" w:rsidP="00610169">
      <w:pPr>
        <w:rPr>
          <w:rFonts w:ascii="KaiTi" w:eastAsia="KaiTi" w:hAnsi="KaiTi"/>
        </w:rPr>
      </w:pPr>
      <w:r>
        <w:rPr>
          <w:noProof/>
        </w:rPr>
        <w:drawing>
          <wp:inline distT="0" distB="0" distL="0" distR="0" wp14:anchorId="19B99916" wp14:editId="4F5E2CBE">
            <wp:extent cx="5943600" cy="1926590"/>
            <wp:effectExtent l="0" t="0" r="0" b="3810"/>
            <wp:docPr id="119610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04366" name=""/>
                    <pic:cNvPicPr/>
                  </pic:nvPicPr>
                  <pic:blipFill>
                    <a:blip r:embed="rId6"/>
                    <a:stretch>
                      <a:fillRect/>
                    </a:stretch>
                  </pic:blipFill>
                  <pic:spPr>
                    <a:xfrm>
                      <a:off x="0" y="0"/>
                      <a:ext cx="5943600" cy="1926590"/>
                    </a:xfrm>
                    <a:prstGeom prst="rect">
                      <a:avLst/>
                    </a:prstGeom>
                  </pic:spPr>
                </pic:pic>
              </a:graphicData>
            </a:graphic>
          </wp:inline>
        </w:drawing>
      </w:r>
    </w:p>
    <w:p w14:paraId="683305E0" w14:textId="04DBB3C8" w:rsidR="00517DEA" w:rsidRPr="000C1D9B" w:rsidRDefault="00B8655C" w:rsidP="00610169">
      <w:pPr>
        <w:rPr>
          <w:rFonts w:ascii="KaiTi" w:eastAsia="KaiTi" w:hAnsi="KaiTi"/>
        </w:rPr>
      </w:pPr>
      <w:r>
        <w:rPr>
          <w:rFonts w:ascii="KaiTi" w:eastAsia="KaiTi" w:hAnsi="KaiTi" w:hint="eastAsia"/>
        </w:rPr>
        <w:t>尽管1季度美股市场波动比较剧烈，我们</w:t>
      </w:r>
      <w:r w:rsidR="00517DEA">
        <w:rPr>
          <w:rFonts w:ascii="KaiTi" w:eastAsia="KaiTi" w:hAnsi="KaiTi" w:hint="eastAsia"/>
        </w:rPr>
        <w:t>组合</w:t>
      </w:r>
      <w:r>
        <w:rPr>
          <w:rFonts w:ascii="KaiTi" w:eastAsia="KaiTi" w:hAnsi="KaiTi" w:hint="eastAsia"/>
        </w:rPr>
        <w:t>表现比较稳定，</w:t>
      </w:r>
      <w:r w:rsidR="00517DEA">
        <w:rPr>
          <w:rFonts w:ascii="KaiTi" w:eastAsia="KaiTi" w:hAnsi="KaiTi" w:hint="eastAsia"/>
        </w:rPr>
        <w:t>整体累积表现为</w:t>
      </w:r>
      <w:r w:rsidR="002029DF">
        <w:rPr>
          <w:rFonts w:ascii="KaiTi" w:eastAsia="KaiTi" w:hAnsi="KaiTi"/>
        </w:rPr>
        <w:t>0.</w:t>
      </w:r>
      <w:r w:rsidR="00AB3EA0">
        <w:rPr>
          <w:rFonts w:ascii="KaiTi" w:eastAsia="KaiTi" w:hAnsi="KaiTi" w:hint="eastAsia"/>
        </w:rPr>
        <w:t>15</w:t>
      </w:r>
      <w:r w:rsidR="00517DEA">
        <w:rPr>
          <w:rFonts w:ascii="KaiTi" w:eastAsia="KaiTi" w:hAnsi="KaiTi" w:hint="eastAsia"/>
        </w:rPr>
        <w:t>%。</w:t>
      </w:r>
      <w:r>
        <w:rPr>
          <w:rFonts w:ascii="KaiTi" w:eastAsia="KaiTi" w:hAnsi="KaiTi" w:hint="eastAsia"/>
        </w:rPr>
        <w:t>其中债券和优质股权基金年内涨幅接近2.5%，但房地产基金下跌幅度较大，拖累了整体表现。主要原因还是因为美联储降息预期改变，使得对于利率非常敏感的商业房地产信托基</w:t>
      </w:r>
      <w:r>
        <w:rPr>
          <w:rFonts w:ascii="KaiTi" w:eastAsia="KaiTi" w:hAnsi="KaiTi" w:hint="eastAsia"/>
        </w:rPr>
        <w:lastRenderedPageBreak/>
        <w:t>金价格影响比较大。随着市场对利率预期的消化或者转好，商业房地产信托基金的价格也会迅速地回复。</w:t>
      </w:r>
    </w:p>
    <w:p w14:paraId="7D9CE0A1" w14:textId="77777777" w:rsidR="00B14E80" w:rsidRDefault="00B14E80" w:rsidP="00610169">
      <w:pPr>
        <w:rPr>
          <w:rFonts w:ascii="KaiTi" w:eastAsia="KaiTi" w:hAnsi="KaiTi"/>
          <w:b/>
          <w:bCs/>
        </w:rPr>
      </w:pPr>
    </w:p>
    <w:p w14:paraId="71D98BA2" w14:textId="06628C88" w:rsidR="00610169" w:rsidRPr="00B14E80" w:rsidRDefault="00610169" w:rsidP="00610169">
      <w:pPr>
        <w:rPr>
          <w:rFonts w:ascii="KaiTi" w:eastAsia="KaiTi" w:hAnsi="KaiTi"/>
          <w:b/>
          <w:bCs/>
        </w:rPr>
      </w:pPr>
      <w:r w:rsidRPr="000C1D9B">
        <w:rPr>
          <w:rFonts w:ascii="KaiTi" w:eastAsia="KaiTi" w:hAnsi="KaiTi" w:hint="eastAsia"/>
          <w:b/>
          <w:bCs/>
        </w:rPr>
        <w:t>组合2: 收息现金流 ILI CASH GENERATOR</w:t>
      </w:r>
    </w:p>
    <w:p w14:paraId="4AABE039" w14:textId="7B72C2E3" w:rsidR="00263AC5" w:rsidRPr="000C1D9B" w:rsidRDefault="00610169" w:rsidP="00263AC5">
      <w:pPr>
        <w:rPr>
          <w:rFonts w:ascii="KaiTi" w:eastAsia="KaiTi" w:hAnsi="KaiTi"/>
        </w:rPr>
      </w:pPr>
      <w:r w:rsidRPr="000C1D9B">
        <w:rPr>
          <w:rFonts w:ascii="KaiTi" w:eastAsia="KaiTi" w:hAnsi="KaiTi" w:hint="eastAsia"/>
        </w:rPr>
        <w:t>组合2选择派息型的基金，可以在投入后第一个月就开始收取分红，在储蓄分红险之外打造一个即时产生的被动现金流工具</w:t>
      </w:r>
      <w:r w:rsidR="00270CC8">
        <w:rPr>
          <w:rFonts w:ascii="KaiTi" w:eastAsia="KaiTi" w:hAnsi="KaiTi" w:hint="eastAsia"/>
        </w:rPr>
        <w:t>。该组合</w:t>
      </w:r>
      <w:r w:rsidR="00263AC5" w:rsidRPr="000C1D9B">
        <w:rPr>
          <w:rFonts w:ascii="KaiTi" w:eastAsia="KaiTi" w:hAnsi="KaiTi" w:hint="eastAsia"/>
        </w:rPr>
        <w:t>通过固定收益和</w:t>
      </w:r>
      <w:r w:rsidR="00263AC5">
        <w:rPr>
          <w:rFonts w:ascii="KaiTi" w:eastAsia="KaiTi" w:hAnsi="KaiTi" w:hint="eastAsia"/>
        </w:rPr>
        <w:t>美国</w:t>
      </w:r>
      <w:r w:rsidR="00263AC5" w:rsidRPr="000C1D9B">
        <w:rPr>
          <w:rFonts w:ascii="KaiTi" w:eastAsia="KaiTi" w:hAnsi="KaiTi" w:hint="eastAsia"/>
        </w:rPr>
        <w:t>优质股票的组合来实现，他们的配置比例为40%：</w:t>
      </w:r>
      <w:r w:rsidR="00263AC5">
        <w:rPr>
          <w:rFonts w:ascii="KaiTi" w:eastAsia="KaiTi" w:hAnsi="KaiTi" w:hint="eastAsia"/>
        </w:rPr>
        <w:t>60</w:t>
      </w:r>
      <w:r w:rsidR="00263AC5" w:rsidRPr="000C1D9B">
        <w:rPr>
          <w:rFonts w:ascii="KaiTi" w:eastAsia="KaiTi" w:hAnsi="KaiTi" w:hint="eastAsia"/>
        </w:rPr>
        <w:t>%。</w:t>
      </w:r>
    </w:p>
    <w:p w14:paraId="313B1F2B" w14:textId="0FE33AA5" w:rsidR="00610169" w:rsidRPr="000C1D9B" w:rsidRDefault="00F625EC" w:rsidP="00610169">
      <w:pPr>
        <w:rPr>
          <w:rFonts w:ascii="KaiTi" w:eastAsia="KaiTi" w:hAnsi="KaiTi"/>
        </w:rPr>
      </w:pPr>
      <w:r w:rsidRPr="000C1D9B">
        <w:rPr>
          <w:rFonts w:ascii="KaiTi" w:eastAsia="KaiTi" w:hAnsi="KaiTi" w:hint="eastAsia"/>
        </w:rPr>
        <w:t>初始投入约100万美金</w:t>
      </w:r>
      <w:r w:rsidR="00270CC8">
        <w:rPr>
          <w:rFonts w:ascii="KaiTi" w:eastAsia="KaiTi" w:hAnsi="KaiTi" w:hint="eastAsia"/>
        </w:rPr>
        <w:t>。</w:t>
      </w:r>
      <w:r w:rsidR="00610169" w:rsidRPr="000C1D9B">
        <w:rPr>
          <w:rFonts w:ascii="KaiTi" w:eastAsia="KaiTi" w:hAnsi="KaiTi" w:hint="eastAsia"/>
        </w:rPr>
        <w:t>按照买入价格，大约可以产生年化6.5%的分红收益，并按月派发。</w:t>
      </w:r>
    </w:p>
    <w:p w14:paraId="72F6AF63" w14:textId="438FECFC" w:rsidR="00254FBC" w:rsidRDefault="00254FBC"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w:t>
      </w:r>
      <w:r w:rsidR="00AB3EA0">
        <w:rPr>
          <w:rFonts w:ascii="KaiTi" w:eastAsia="KaiTi" w:hAnsi="KaiTi" w:hint="eastAsia"/>
        </w:rPr>
        <w:t>3</w:t>
      </w:r>
      <w:r w:rsidRPr="000C1D9B">
        <w:rPr>
          <w:rFonts w:ascii="KaiTi" w:eastAsia="KaiTi" w:hAnsi="KaiTi" w:hint="eastAsia"/>
        </w:rPr>
        <w:t>月2</w:t>
      </w:r>
      <w:r w:rsidR="00026074">
        <w:rPr>
          <w:rFonts w:ascii="KaiTi" w:eastAsia="KaiTi" w:hAnsi="KaiTi" w:hint="eastAsia"/>
        </w:rPr>
        <w:t>4</w:t>
      </w:r>
      <w:r w:rsidRPr="000C1D9B">
        <w:rPr>
          <w:rFonts w:ascii="KaiTi" w:eastAsia="KaiTi" w:hAnsi="KaiTi" w:hint="eastAsia"/>
        </w:rPr>
        <w:t>日，组合运行情况：</w:t>
      </w:r>
    </w:p>
    <w:p w14:paraId="44278A57" w14:textId="1110E10E" w:rsidR="00610169" w:rsidRPr="000C1D9B" w:rsidRDefault="00AB3EA0" w:rsidP="00610169">
      <w:pPr>
        <w:rPr>
          <w:rFonts w:ascii="KaiTi" w:eastAsia="KaiTi" w:hAnsi="KaiTi"/>
        </w:rPr>
      </w:pPr>
      <w:r w:rsidRPr="00AB3EA0">
        <w:rPr>
          <w:rFonts w:ascii="KaiTi" w:eastAsia="KaiTi" w:hAnsi="KaiTi"/>
          <w:noProof/>
        </w:rPr>
        <w:drawing>
          <wp:inline distT="0" distB="0" distL="0" distR="0" wp14:anchorId="4F968870" wp14:editId="44AD3E95">
            <wp:extent cx="5943600" cy="1696085"/>
            <wp:effectExtent l="0" t="0" r="0" b="5715"/>
            <wp:docPr id="7" name="Picture 6" descr="A screenshot of a computer screen&#10;&#10;Description automatically generated">
              <a:extLst xmlns:a="http://schemas.openxmlformats.org/drawingml/2006/main">
                <a:ext uri="{FF2B5EF4-FFF2-40B4-BE49-F238E27FC236}">
                  <a16:creationId xmlns:a16="http://schemas.microsoft.com/office/drawing/2014/main" id="{B727D4BF-FC71-4757-0162-3E62071E5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screen&#10;&#10;Description automatically generated">
                      <a:extLst>
                        <a:ext uri="{FF2B5EF4-FFF2-40B4-BE49-F238E27FC236}">
                          <a16:creationId xmlns:a16="http://schemas.microsoft.com/office/drawing/2014/main" id="{B727D4BF-FC71-4757-0162-3E62071E5520}"/>
                        </a:ext>
                      </a:extLst>
                    </pic:cNvPr>
                    <pic:cNvPicPr>
                      <a:picLocks noChangeAspect="1"/>
                    </pic:cNvPicPr>
                  </pic:nvPicPr>
                  <pic:blipFill>
                    <a:blip r:embed="rId7"/>
                    <a:stretch>
                      <a:fillRect/>
                    </a:stretch>
                  </pic:blipFill>
                  <pic:spPr>
                    <a:xfrm>
                      <a:off x="0" y="0"/>
                      <a:ext cx="5943600" cy="1696085"/>
                    </a:xfrm>
                    <a:prstGeom prst="rect">
                      <a:avLst/>
                    </a:prstGeom>
                  </pic:spPr>
                </pic:pic>
              </a:graphicData>
            </a:graphic>
          </wp:inline>
        </w:drawing>
      </w:r>
    </w:p>
    <w:p w14:paraId="2091BE33" w14:textId="3EADA8D3" w:rsidR="002029DF" w:rsidRDefault="00604A99" w:rsidP="00903A83">
      <w:pPr>
        <w:rPr>
          <w:rFonts w:ascii="KaiTi" w:eastAsia="KaiTi" w:hAnsi="KaiTi"/>
        </w:rPr>
      </w:pPr>
      <w:r w:rsidRPr="000C1D9B">
        <w:rPr>
          <w:rFonts w:ascii="KaiTi" w:eastAsia="KaiTi" w:hAnsi="KaiTi" w:hint="eastAsia"/>
        </w:rPr>
        <w:t>从账面价格来看，本组合</w:t>
      </w:r>
      <w:r w:rsidR="00515263">
        <w:rPr>
          <w:rFonts w:ascii="KaiTi" w:eastAsia="KaiTi" w:hAnsi="KaiTi" w:hint="eastAsia"/>
        </w:rPr>
        <w:t>累计</w:t>
      </w:r>
      <w:r w:rsidRPr="000C1D9B">
        <w:rPr>
          <w:rFonts w:ascii="KaiTi" w:eastAsia="KaiTi" w:hAnsi="KaiTi" w:hint="eastAsia"/>
        </w:rPr>
        <w:t>表现为</w:t>
      </w:r>
      <w:r w:rsidR="00AB3EA0">
        <w:rPr>
          <w:rFonts w:ascii="KaiTi" w:eastAsia="KaiTi" w:hAnsi="KaiTi" w:hint="eastAsia"/>
        </w:rPr>
        <w:t>-0.18</w:t>
      </w:r>
      <w:r w:rsidRPr="000C1D9B">
        <w:rPr>
          <w:rFonts w:ascii="KaiTi" w:eastAsia="KaiTi" w:hAnsi="KaiTi" w:hint="eastAsia"/>
        </w:rPr>
        <w:t>%，但如果</w:t>
      </w:r>
      <w:r w:rsidR="00A77AA2" w:rsidRPr="000C1D9B">
        <w:rPr>
          <w:rFonts w:ascii="KaiTi" w:eastAsia="KaiTi" w:hAnsi="KaiTi" w:hint="eastAsia"/>
        </w:rPr>
        <w:t>加上</w:t>
      </w:r>
      <w:r w:rsidR="00EA2E0B" w:rsidRPr="000C1D9B">
        <w:rPr>
          <w:rFonts w:ascii="KaiTi" w:eastAsia="KaiTi" w:hAnsi="KaiTi" w:hint="eastAsia"/>
        </w:rPr>
        <w:t>本</w:t>
      </w:r>
      <w:r w:rsidRPr="000C1D9B">
        <w:rPr>
          <w:rFonts w:ascii="KaiTi" w:eastAsia="KaiTi" w:hAnsi="KaiTi" w:hint="eastAsia"/>
        </w:rPr>
        <w:t>组合</w:t>
      </w:r>
      <w:r w:rsidR="00515263">
        <w:rPr>
          <w:rFonts w:ascii="KaiTi" w:eastAsia="KaiTi" w:hAnsi="KaiTi" w:hint="eastAsia"/>
        </w:rPr>
        <w:t>累计</w:t>
      </w:r>
      <w:r w:rsidRPr="000C1D9B">
        <w:rPr>
          <w:rFonts w:ascii="KaiTi" w:eastAsia="KaiTi" w:hAnsi="KaiTi" w:hint="eastAsia"/>
        </w:rPr>
        <w:t>发放</w:t>
      </w:r>
      <w:r w:rsidR="00185554">
        <w:rPr>
          <w:rFonts w:ascii="KaiTi" w:eastAsia="KaiTi" w:hAnsi="KaiTi" w:hint="eastAsia"/>
        </w:rPr>
        <w:t>的</w:t>
      </w:r>
      <w:r w:rsidRPr="000C1D9B">
        <w:rPr>
          <w:rFonts w:ascii="KaiTi" w:eastAsia="KaiTi" w:hAnsi="KaiTi" w:hint="eastAsia"/>
        </w:rPr>
        <w:t>分红，整体</w:t>
      </w:r>
      <w:r w:rsidR="00390AA6">
        <w:rPr>
          <w:rFonts w:ascii="KaiTi" w:eastAsia="KaiTi" w:hAnsi="KaiTi" w:hint="eastAsia"/>
        </w:rPr>
        <w:t>累积</w:t>
      </w:r>
      <w:r w:rsidR="00DB4456">
        <w:rPr>
          <w:rFonts w:ascii="KaiTi" w:eastAsia="KaiTi" w:hAnsi="KaiTi" w:hint="eastAsia"/>
        </w:rPr>
        <w:t>收益为</w:t>
      </w:r>
      <w:r w:rsidR="00AB3EA0">
        <w:rPr>
          <w:rFonts w:ascii="KaiTi" w:eastAsia="KaiTi" w:hAnsi="KaiTi" w:hint="eastAsia"/>
        </w:rPr>
        <w:t>3.28</w:t>
      </w:r>
      <w:r w:rsidR="00DB4456">
        <w:rPr>
          <w:rFonts w:ascii="KaiTi" w:eastAsia="KaiTi" w:hAnsi="KaiTi" w:hint="eastAsia"/>
        </w:rPr>
        <w:t>%</w:t>
      </w:r>
      <w:r w:rsidRPr="000C1D9B">
        <w:rPr>
          <w:rFonts w:ascii="KaiTi" w:eastAsia="KaiTi" w:hAnsi="KaiTi" w:hint="eastAsia"/>
        </w:rPr>
        <w:t>。</w:t>
      </w:r>
    </w:p>
    <w:p w14:paraId="14A26362" w14:textId="34CB5309" w:rsidR="001150DB" w:rsidRDefault="002029DF" w:rsidP="00903A83">
      <w:pPr>
        <w:rPr>
          <w:rFonts w:ascii="KaiTi" w:eastAsia="KaiTi" w:hAnsi="KaiTi"/>
        </w:rPr>
      </w:pPr>
      <w:r>
        <w:rPr>
          <w:rFonts w:ascii="KaiTi" w:eastAsia="KaiTi" w:hAnsi="KaiTi" w:hint="eastAsia"/>
        </w:rPr>
        <w:t>自</w:t>
      </w:r>
      <w:r w:rsidR="00DD4DD9">
        <w:rPr>
          <w:rFonts w:ascii="KaiTi" w:eastAsia="KaiTi" w:hAnsi="KaiTi" w:hint="eastAsia"/>
        </w:rPr>
        <w:t>202</w:t>
      </w:r>
      <w:r>
        <w:rPr>
          <w:rFonts w:ascii="KaiTi" w:eastAsia="KaiTi" w:hAnsi="KaiTi" w:hint="eastAsia"/>
        </w:rPr>
        <w:t>4</w:t>
      </w:r>
      <w:r w:rsidR="00DD4DD9">
        <w:rPr>
          <w:rFonts w:ascii="KaiTi" w:eastAsia="KaiTi" w:hAnsi="KaiTi" w:hint="eastAsia"/>
        </w:rPr>
        <w:t>年</w:t>
      </w:r>
      <w:r w:rsidR="00B44E02">
        <w:rPr>
          <w:rFonts w:ascii="KaiTi" w:eastAsia="KaiTi" w:hAnsi="KaiTi" w:hint="eastAsia"/>
        </w:rPr>
        <w:t>10月</w:t>
      </w:r>
      <w:r>
        <w:rPr>
          <w:rFonts w:ascii="KaiTi" w:eastAsia="KaiTi" w:hAnsi="KaiTi" w:hint="eastAsia"/>
        </w:rPr>
        <w:t>到25年</w:t>
      </w:r>
      <w:r w:rsidR="00AB3EA0">
        <w:rPr>
          <w:rFonts w:ascii="KaiTi" w:eastAsia="KaiTi" w:hAnsi="KaiTi" w:hint="eastAsia"/>
        </w:rPr>
        <w:t>3</w:t>
      </w:r>
      <w:r>
        <w:rPr>
          <w:rFonts w:ascii="KaiTi" w:eastAsia="KaiTi" w:hAnsi="KaiTi" w:hint="eastAsia"/>
        </w:rPr>
        <w:t>月</w:t>
      </w:r>
      <w:r w:rsidR="00DD4DD9">
        <w:rPr>
          <w:rFonts w:ascii="KaiTi" w:eastAsia="KaiTi" w:hAnsi="KaiTi" w:hint="eastAsia"/>
        </w:rPr>
        <w:t>，</w:t>
      </w:r>
      <w:r w:rsidR="00EA2E0B" w:rsidRPr="000C1D9B">
        <w:rPr>
          <w:rFonts w:ascii="KaiTi" w:eastAsia="KaiTi" w:hAnsi="KaiTi" w:hint="eastAsia"/>
        </w:rPr>
        <w:t>Z12美国中高等级债券基金</w:t>
      </w:r>
      <w:r>
        <w:rPr>
          <w:rFonts w:ascii="KaiTi" w:eastAsia="KaiTi" w:hAnsi="KaiTi" w:hint="eastAsia"/>
        </w:rPr>
        <w:t>每月</w:t>
      </w:r>
      <w:r w:rsidR="00EA2E0B" w:rsidRPr="000C1D9B">
        <w:rPr>
          <w:rFonts w:ascii="KaiTi" w:eastAsia="KaiTi" w:hAnsi="KaiTi" w:hint="eastAsia"/>
        </w:rPr>
        <w:t>派发</w:t>
      </w:r>
      <w:r>
        <w:rPr>
          <w:rFonts w:ascii="KaiTi" w:eastAsia="KaiTi" w:hAnsi="KaiTi" w:hint="eastAsia"/>
        </w:rPr>
        <w:t>分红</w:t>
      </w:r>
      <w:r w:rsidR="00EA2E0B" w:rsidRPr="000C1D9B">
        <w:rPr>
          <w:rFonts w:ascii="KaiTi" w:eastAsia="KaiTi" w:hAnsi="KaiTi" w:hint="eastAsia"/>
        </w:rPr>
        <w:t>$0.04/</w:t>
      </w:r>
      <w:r w:rsidR="00F625EC" w:rsidRPr="000C1D9B">
        <w:rPr>
          <w:rFonts w:ascii="KaiTi" w:eastAsia="KaiTi" w:hAnsi="KaiTi" w:hint="eastAsia"/>
        </w:rPr>
        <w:t>股</w:t>
      </w:r>
      <w:r w:rsidR="00AB3EA0">
        <w:rPr>
          <w:rFonts w:ascii="KaiTi" w:eastAsia="KaiTi" w:hAnsi="KaiTi" w:hint="eastAsia"/>
        </w:rPr>
        <w:t>。</w:t>
      </w:r>
      <w:r w:rsidR="00EA2E0B" w:rsidRPr="000C1D9B">
        <w:rPr>
          <w:rFonts w:ascii="KaiTi" w:eastAsia="KaiTi" w:hAnsi="KaiTi" w:hint="eastAsia"/>
        </w:rPr>
        <w:t>Z17美国优质股权基金</w:t>
      </w:r>
      <w:r w:rsidR="00AB3EA0">
        <w:rPr>
          <w:rFonts w:ascii="KaiTi" w:eastAsia="KaiTi" w:hAnsi="KaiTi" w:hint="eastAsia"/>
        </w:rPr>
        <w:t>在2月末的分红派发金额由之前的</w:t>
      </w:r>
      <w:r w:rsidR="00EA2E0B" w:rsidRPr="000C1D9B">
        <w:rPr>
          <w:rFonts w:ascii="KaiTi" w:eastAsia="KaiTi" w:hAnsi="KaiTi" w:hint="eastAsia"/>
        </w:rPr>
        <w:t>$0.054/股</w:t>
      </w:r>
      <w:r w:rsidR="00AB3EA0">
        <w:rPr>
          <w:rFonts w:ascii="KaiTi" w:eastAsia="KaiTi" w:hAnsi="KaiTi" w:hint="eastAsia"/>
        </w:rPr>
        <w:t>增加至</w:t>
      </w:r>
      <w:r w:rsidR="00AB3EA0" w:rsidRPr="000C1D9B">
        <w:rPr>
          <w:rFonts w:ascii="KaiTi" w:eastAsia="KaiTi" w:hAnsi="KaiTi" w:hint="eastAsia"/>
        </w:rPr>
        <w:t>$0.054</w:t>
      </w:r>
      <w:r w:rsidR="00AB3EA0">
        <w:rPr>
          <w:rFonts w:ascii="KaiTi" w:eastAsia="KaiTi" w:hAnsi="KaiTi"/>
        </w:rPr>
        <w:t>5</w:t>
      </w:r>
      <w:r w:rsidR="00AB3EA0" w:rsidRPr="000C1D9B">
        <w:rPr>
          <w:rFonts w:ascii="KaiTi" w:eastAsia="KaiTi" w:hAnsi="KaiTi" w:hint="eastAsia"/>
        </w:rPr>
        <w:t>/股</w:t>
      </w:r>
      <w:r w:rsidR="00EA2E0B" w:rsidRPr="000C1D9B">
        <w:rPr>
          <w:rFonts w:ascii="KaiTi" w:eastAsia="KaiTi" w:hAnsi="KaiTi" w:hint="eastAsia"/>
        </w:rPr>
        <w:t>。</w:t>
      </w:r>
      <w:r w:rsidR="00F625EC" w:rsidRPr="000C1D9B">
        <w:rPr>
          <w:rFonts w:ascii="KaiTi" w:eastAsia="KaiTi" w:hAnsi="KaiTi" w:hint="eastAsia"/>
        </w:rPr>
        <w:t>合计投资者</w:t>
      </w:r>
      <w:r w:rsidR="00DB4456">
        <w:rPr>
          <w:rFonts w:ascii="KaiTi" w:eastAsia="KaiTi" w:hAnsi="KaiTi" w:hint="eastAsia"/>
        </w:rPr>
        <w:t>已累计</w:t>
      </w:r>
      <w:r w:rsidR="00F625EC" w:rsidRPr="000C1D9B">
        <w:rPr>
          <w:rFonts w:ascii="KaiTi" w:eastAsia="KaiTi" w:hAnsi="KaiTi" w:hint="eastAsia"/>
        </w:rPr>
        <w:t>获得$</w:t>
      </w:r>
      <w:r w:rsidR="00AB3EA0">
        <w:rPr>
          <w:rFonts w:ascii="KaiTi" w:eastAsia="KaiTi" w:hAnsi="KaiTi" w:hint="eastAsia"/>
        </w:rPr>
        <w:t>27360</w:t>
      </w:r>
      <w:r w:rsidR="00185554">
        <w:rPr>
          <w:rFonts w:ascii="KaiTi" w:eastAsia="KaiTi" w:hAnsi="KaiTi" w:hint="eastAsia"/>
        </w:rPr>
        <w:t>（折合人民币</w:t>
      </w:r>
      <w:r w:rsidR="00AB3EA0">
        <w:rPr>
          <w:rFonts w:ascii="KaiTi" w:eastAsia="KaiTi" w:hAnsi="KaiTi" w:hint="eastAsia"/>
        </w:rPr>
        <w:t>196992</w:t>
      </w:r>
      <w:r w:rsidR="00185554">
        <w:rPr>
          <w:rFonts w:ascii="KaiTi" w:eastAsia="KaiTi" w:hAnsi="KaiTi" w:hint="eastAsia"/>
        </w:rPr>
        <w:t>元</w:t>
      </w:r>
      <w:r w:rsidR="00DB4456">
        <w:rPr>
          <w:rFonts w:ascii="KaiTi" w:eastAsia="KaiTi" w:hAnsi="KaiTi" w:hint="eastAsia"/>
        </w:rPr>
        <w:t>，汇率按照7.2计算</w:t>
      </w:r>
      <w:r w:rsidR="00185554">
        <w:rPr>
          <w:rFonts w:ascii="KaiTi" w:eastAsia="KaiTi" w:hAnsi="KaiTi" w:hint="eastAsia"/>
        </w:rPr>
        <w:t>）</w:t>
      </w:r>
      <w:r w:rsidR="00254FBC" w:rsidRPr="000C1D9B">
        <w:rPr>
          <w:rFonts w:ascii="KaiTi" w:eastAsia="KaiTi" w:hAnsi="KaiTi" w:hint="eastAsia"/>
        </w:rPr>
        <w:t>的现金流收入，年化派息收益率为6.5</w:t>
      </w:r>
      <w:r w:rsidR="00AB3EA0">
        <w:rPr>
          <w:rFonts w:ascii="KaiTi" w:eastAsia="KaiTi" w:hAnsi="KaiTi" w:hint="eastAsia"/>
        </w:rPr>
        <w:t>7</w:t>
      </w:r>
      <w:r w:rsidR="00254FBC" w:rsidRPr="000C1D9B">
        <w:rPr>
          <w:rFonts w:ascii="KaiTi" w:eastAsia="KaiTi" w:hAnsi="KaiTi" w:hint="eastAsia"/>
        </w:rPr>
        <w:t>%。</w:t>
      </w:r>
    </w:p>
    <w:tbl>
      <w:tblPr>
        <w:tblStyle w:val="TableGrid"/>
        <w:tblW w:w="0" w:type="auto"/>
        <w:tblLook w:val="04A0" w:firstRow="1" w:lastRow="0" w:firstColumn="1" w:lastColumn="0" w:noHBand="0" w:noVBand="1"/>
      </w:tblPr>
      <w:tblGrid>
        <w:gridCol w:w="2122"/>
        <w:gridCol w:w="1425"/>
        <w:gridCol w:w="958"/>
        <w:gridCol w:w="958"/>
        <w:gridCol w:w="1013"/>
        <w:gridCol w:w="958"/>
        <w:gridCol w:w="958"/>
        <w:gridCol w:w="958"/>
      </w:tblGrid>
      <w:tr w:rsidR="00AB3EA0" w:rsidRPr="00AB3EA0" w14:paraId="614A9CBF" w14:textId="77777777" w:rsidTr="00AB3EA0">
        <w:trPr>
          <w:trHeight w:val="320"/>
        </w:trPr>
        <w:tc>
          <w:tcPr>
            <w:tcW w:w="2122" w:type="dxa"/>
            <w:noWrap/>
            <w:hideMark/>
          </w:tcPr>
          <w:p w14:paraId="11DB6540"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基金名称</w:t>
            </w:r>
          </w:p>
        </w:tc>
        <w:tc>
          <w:tcPr>
            <w:tcW w:w="1425" w:type="dxa"/>
            <w:noWrap/>
            <w:hideMark/>
          </w:tcPr>
          <w:p w14:paraId="28C80D30"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除净日期</w:t>
            </w:r>
          </w:p>
        </w:tc>
        <w:tc>
          <w:tcPr>
            <w:tcW w:w="958" w:type="dxa"/>
            <w:noWrap/>
            <w:hideMark/>
          </w:tcPr>
          <w:p w14:paraId="1DAEA21D"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每单位派发</w:t>
            </w:r>
          </w:p>
        </w:tc>
        <w:tc>
          <w:tcPr>
            <w:tcW w:w="958" w:type="dxa"/>
            <w:noWrap/>
            <w:hideMark/>
          </w:tcPr>
          <w:p w14:paraId="4F8DE470"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持有份额</w:t>
            </w:r>
          </w:p>
        </w:tc>
        <w:tc>
          <w:tcPr>
            <w:tcW w:w="1013" w:type="dxa"/>
            <w:noWrap/>
            <w:hideMark/>
          </w:tcPr>
          <w:p w14:paraId="1181757B"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派发合计</w:t>
            </w:r>
          </w:p>
        </w:tc>
        <w:tc>
          <w:tcPr>
            <w:tcW w:w="958" w:type="dxa"/>
            <w:noWrap/>
            <w:hideMark/>
          </w:tcPr>
          <w:p w14:paraId="2E84AC87"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初始投资额</w:t>
            </w:r>
          </w:p>
        </w:tc>
        <w:tc>
          <w:tcPr>
            <w:tcW w:w="958" w:type="dxa"/>
            <w:noWrap/>
            <w:hideMark/>
          </w:tcPr>
          <w:p w14:paraId="32DB7D67"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月度派息收益率</w:t>
            </w:r>
          </w:p>
        </w:tc>
        <w:tc>
          <w:tcPr>
            <w:tcW w:w="958" w:type="dxa"/>
            <w:noWrap/>
            <w:hideMark/>
          </w:tcPr>
          <w:p w14:paraId="2966A166" w14:textId="77777777" w:rsidR="00AB3EA0" w:rsidRPr="00AB3EA0" w:rsidRDefault="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年化派息收益率</w:t>
            </w:r>
          </w:p>
        </w:tc>
      </w:tr>
      <w:tr w:rsidR="00AB3EA0" w:rsidRPr="00AB3EA0" w14:paraId="6405D386" w14:textId="77777777" w:rsidTr="00AB3EA0">
        <w:trPr>
          <w:trHeight w:val="320"/>
        </w:trPr>
        <w:tc>
          <w:tcPr>
            <w:tcW w:w="2122" w:type="dxa"/>
            <w:vMerge w:val="restart"/>
            <w:noWrap/>
            <w:hideMark/>
          </w:tcPr>
          <w:p w14:paraId="066C2B4C" w14:textId="77777777" w:rsidR="00AB3EA0" w:rsidRPr="00AB3EA0" w:rsidRDefault="00AB3EA0" w:rsidP="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Z12 美国中高等级债券基金</w:t>
            </w:r>
          </w:p>
        </w:tc>
        <w:tc>
          <w:tcPr>
            <w:tcW w:w="1425" w:type="dxa"/>
            <w:noWrap/>
            <w:vAlign w:val="center"/>
            <w:hideMark/>
          </w:tcPr>
          <w:p w14:paraId="7EC5C943"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11/1/24</w:t>
            </w:r>
          </w:p>
        </w:tc>
        <w:tc>
          <w:tcPr>
            <w:tcW w:w="958" w:type="dxa"/>
            <w:noWrap/>
            <w:vAlign w:val="center"/>
            <w:hideMark/>
          </w:tcPr>
          <w:p w14:paraId="04C71A8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0.04</w:t>
            </w:r>
          </w:p>
        </w:tc>
        <w:tc>
          <w:tcPr>
            <w:tcW w:w="958" w:type="dxa"/>
            <w:noWrap/>
            <w:vAlign w:val="center"/>
            <w:hideMark/>
          </w:tcPr>
          <w:p w14:paraId="6552A62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76825</w:t>
            </w:r>
          </w:p>
        </w:tc>
        <w:tc>
          <w:tcPr>
            <w:tcW w:w="1013" w:type="dxa"/>
            <w:noWrap/>
            <w:vAlign w:val="center"/>
            <w:hideMark/>
          </w:tcPr>
          <w:p w14:paraId="2EBD2DF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3073</w:t>
            </w:r>
          </w:p>
        </w:tc>
        <w:tc>
          <w:tcPr>
            <w:tcW w:w="958" w:type="dxa"/>
            <w:noWrap/>
            <w:vAlign w:val="center"/>
            <w:hideMark/>
          </w:tcPr>
          <w:p w14:paraId="2A982F2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600003</w:t>
            </w:r>
          </w:p>
        </w:tc>
        <w:tc>
          <w:tcPr>
            <w:tcW w:w="958" w:type="dxa"/>
            <w:noWrap/>
            <w:vAlign w:val="center"/>
            <w:hideMark/>
          </w:tcPr>
          <w:p w14:paraId="2B54976C"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0.51%</w:t>
            </w:r>
          </w:p>
        </w:tc>
        <w:tc>
          <w:tcPr>
            <w:tcW w:w="958" w:type="dxa"/>
            <w:noWrap/>
            <w:vAlign w:val="center"/>
            <w:hideMark/>
          </w:tcPr>
          <w:p w14:paraId="6741D7E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6.15%</w:t>
            </w:r>
          </w:p>
        </w:tc>
      </w:tr>
      <w:tr w:rsidR="00AB3EA0" w:rsidRPr="00AB3EA0" w14:paraId="73F18CA2" w14:textId="77777777" w:rsidTr="00AB3EA0">
        <w:trPr>
          <w:trHeight w:val="320"/>
        </w:trPr>
        <w:tc>
          <w:tcPr>
            <w:tcW w:w="2122" w:type="dxa"/>
            <w:vMerge/>
            <w:hideMark/>
          </w:tcPr>
          <w:p w14:paraId="4E90A481"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1E03C72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12/2/24</w:t>
            </w:r>
          </w:p>
        </w:tc>
        <w:tc>
          <w:tcPr>
            <w:tcW w:w="958" w:type="dxa"/>
            <w:noWrap/>
            <w:vAlign w:val="center"/>
            <w:hideMark/>
          </w:tcPr>
          <w:p w14:paraId="11FADD6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0.04</w:t>
            </w:r>
          </w:p>
        </w:tc>
        <w:tc>
          <w:tcPr>
            <w:tcW w:w="958" w:type="dxa"/>
            <w:noWrap/>
            <w:vAlign w:val="center"/>
            <w:hideMark/>
          </w:tcPr>
          <w:p w14:paraId="600DB7C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76825</w:t>
            </w:r>
          </w:p>
        </w:tc>
        <w:tc>
          <w:tcPr>
            <w:tcW w:w="1013" w:type="dxa"/>
            <w:noWrap/>
            <w:vAlign w:val="center"/>
            <w:hideMark/>
          </w:tcPr>
          <w:p w14:paraId="094F251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3073</w:t>
            </w:r>
          </w:p>
        </w:tc>
        <w:tc>
          <w:tcPr>
            <w:tcW w:w="958" w:type="dxa"/>
            <w:noWrap/>
            <w:vAlign w:val="center"/>
            <w:hideMark/>
          </w:tcPr>
          <w:p w14:paraId="3C4E526C"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600003</w:t>
            </w:r>
          </w:p>
        </w:tc>
        <w:tc>
          <w:tcPr>
            <w:tcW w:w="958" w:type="dxa"/>
            <w:noWrap/>
            <w:vAlign w:val="center"/>
            <w:hideMark/>
          </w:tcPr>
          <w:p w14:paraId="23BCD121"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0.51%</w:t>
            </w:r>
          </w:p>
        </w:tc>
        <w:tc>
          <w:tcPr>
            <w:tcW w:w="958" w:type="dxa"/>
            <w:noWrap/>
            <w:vAlign w:val="center"/>
            <w:hideMark/>
          </w:tcPr>
          <w:p w14:paraId="1DAF94F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6.15%</w:t>
            </w:r>
          </w:p>
        </w:tc>
      </w:tr>
      <w:tr w:rsidR="00AB3EA0" w:rsidRPr="00AB3EA0" w14:paraId="4A636446" w14:textId="77777777" w:rsidTr="00AB3EA0">
        <w:trPr>
          <w:trHeight w:val="320"/>
        </w:trPr>
        <w:tc>
          <w:tcPr>
            <w:tcW w:w="2122" w:type="dxa"/>
            <w:vMerge/>
            <w:hideMark/>
          </w:tcPr>
          <w:p w14:paraId="14AD0DB4"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4DF3669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12/30/24</w:t>
            </w:r>
          </w:p>
        </w:tc>
        <w:tc>
          <w:tcPr>
            <w:tcW w:w="958" w:type="dxa"/>
            <w:noWrap/>
            <w:vAlign w:val="center"/>
            <w:hideMark/>
          </w:tcPr>
          <w:p w14:paraId="0DB4860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0.04</w:t>
            </w:r>
          </w:p>
        </w:tc>
        <w:tc>
          <w:tcPr>
            <w:tcW w:w="958" w:type="dxa"/>
            <w:noWrap/>
            <w:vAlign w:val="center"/>
            <w:hideMark/>
          </w:tcPr>
          <w:p w14:paraId="6186911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76825</w:t>
            </w:r>
          </w:p>
        </w:tc>
        <w:tc>
          <w:tcPr>
            <w:tcW w:w="1013" w:type="dxa"/>
            <w:noWrap/>
            <w:vAlign w:val="center"/>
            <w:hideMark/>
          </w:tcPr>
          <w:p w14:paraId="0278CAF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3073</w:t>
            </w:r>
          </w:p>
        </w:tc>
        <w:tc>
          <w:tcPr>
            <w:tcW w:w="958" w:type="dxa"/>
            <w:noWrap/>
            <w:vAlign w:val="center"/>
            <w:hideMark/>
          </w:tcPr>
          <w:p w14:paraId="6F0F34A1"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600003</w:t>
            </w:r>
          </w:p>
        </w:tc>
        <w:tc>
          <w:tcPr>
            <w:tcW w:w="958" w:type="dxa"/>
            <w:noWrap/>
            <w:vAlign w:val="center"/>
            <w:hideMark/>
          </w:tcPr>
          <w:p w14:paraId="3562E899"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0.51%</w:t>
            </w:r>
          </w:p>
        </w:tc>
        <w:tc>
          <w:tcPr>
            <w:tcW w:w="958" w:type="dxa"/>
            <w:noWrap/>
            <w:vAlign w:val="center"/>
            <w:hideMark/>
          </w:tcPr>
          <w:p w14:paraId="2E81F366"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6.15%</w:t>
            </w:r>
          </w:p>
        </w:tc>
      </w:tr>
      <w:tr w:rsidR="00AB3EA0" w:rsidRPr="00AB3EA0" w14:paraId="35FD3100" w14:textId="77777777" w:rsidTr="00AB3EA0">
        <w:trPr>
          <w:trHeight w:val="320"/>
        </w:trPr>
        <w:tc>
          <w:tcPr>
            <w:tcW w:w="2122" w:type="dxa"/>
            <w:vMerge/>
            <w:hideMark/>
          </w:tcPr>
          <w:p w14:paraId="620AB190"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4F4ABCE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1/31/25</w:t>
            </w:r>
          </w:p>
        </w:tc>
        <w:tc>
          <w:tcPr>
            <w:tcW w:w="958" w:type="dxa"/>
            <w:noWrap/>
            <w:vAlign w:val="center"/>
            <w:hideMark/>
          </w:tcPr>
          <w:p w14:paraId="013CB5D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0.04</w:t>
            </w:r>
          </w:p>
        </w:tc>
        <w:tc>
          <w:tcPr>
            <w:tcW w:w="958" w:type="dxa"/>
            <w:noWrap/>
            <w:vAlign w:val="center"/>
            <w:hideMark/>
          </w:tcPr>
          <w:p w14:paraId="1119CCFC"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76825</w:t>
            </w:r>
          </w:p>
        </w:tc>
        <w:tc>
          <w:tcPr>
            <w:tcW w:w="1013" w:type="dxa"/>
            <w:noWrap/>
            <w:vAlign w:val="center"/>
            <w:hideMark/>
          </w:tcPr>
          <w:p w14:paraId="25D99007"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3073</w:t>
            </w:r>
          </w:p>
        </w:tc>
        <w:tc>
          <w:tcPr>
            <w:tcW w:w="958" w:type="dxa"/>
            <w:noWrap/>
            <w:vAlign w:val="center"/>
            <w:hideMark/>
          </w:tcPr>
          <w:p w14:paraId="26772F87"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600003</w:t>
            </w:r>
          </w:p>
        </w:tc>
        <w:tc>
          <w:tcPr>
            <w:tcW w:w="958" w:type="dxa"/>
            <w:noWrap/>
            <w:vAlign w:val="center"/>
            <w:hideMark/>
          </w:tcPr>
          <w:p w14:paraId="45671B1B"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0.51%</w:t>
            </w:r>
          </w:p>
        </w:tc>
        <w:tc>
          <w:tcPr>
            <w:tcW w:w="958" w:type="dxa"/>
            <w:noWrap/>
            <w:vAlign w:val="center"/>
            <w:hideMark/>
          </w:tcPr>
          <w:p w14:paraId="1F87C0D3"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6.15%</w:t>
            </w:r>
          </w:p>
        </w:tc>
      </w:tr>
      <w:tr w:rsidR="00AB3EA0" w:rsidRPr="00AB3EA0" w14:paraId="3C5BDAA9" w14:textId="77777777" w:rsidTr="00AB3EA0">
        <w:trPr>
          <w:trHeight w:val="320"/>
        </w:trPr>
        <w:tc>
          <w:tcPr>
            <w:tcW w:w="2122" w:type="dxa"/>
            <w:vMerge/>
            <w:hideMark/>
          </w:tcPr>
          <w:p w14:paraId="4D4D9861"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34DB90B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3/3/25</w:t>
            </w:r>
          </w:p>
        </w:tc>
        <w:tc>
          <w:tcPr>
            <w:tcW w:w="958" w:type="dxa"/>
            <w:noWrap/>
            <w:vAlign w:val="center"/>
            <w:hideMark/>
          </w:tcPr>
          <w:p w14:paraId="664C71C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0.04</w:t>
            </w:r>
          </w:p>
        </w:tc>
        <w:tc>
          <w:tcPr>
            <w:tcW w:w="958" w:type="dxa"/>
            <w:noWrap/>
            <w:vAlign w:val="center"/>
            <w:hideMark/>
          </w:tcPr>
          <w:p w14:paraId="1DB5FEAB"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76825</w:t>
            </w:r>
          </w:p>
        </w:tc>
        <w:tc>
          <w:tcPr>
            <w:tcW w:w="1013" w:type="dxa"/>
            <w:noWrap/>
            <w:vAlign w:val="center"/>
            <w:hideMark/>
          </w:tcPr>
          <w:p w14:paraId="69F7A702"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3073</w:t>
            </w:r>
          </w:p>
        </w:tc>
        <w:tc>
          <w:tcPr>
            <w:tcW w:w="958" w:type="dxa"/>
            <w:noWrap/>
            <w:vAlign w:val="center"/>
            <w:hideMark/>
          </w:tcPr>
          <w:p w14:paraId="5CCEDD1A"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600003</w:t>
            </w:r>
          </w:p>
        </w:tc>
        <w:tc>
          <w:tcPr>
            <w:tcW w:w="958" w:type="dxa"/>
            <w:noWrap/>
            <w:vAlign w:val="center"/>
            <w:hideMark/>
          </w:tcPr>
          <w:p w14:paraId="0705256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0.51%</w:t>
            </w:r>
          </w:p>
        </w:tc>
        <w:tc>
          <w:tcPr>
            <w:tcW w:w="958" w:type="dxa"/>
            <w:noWrap/>
            <w:vAlign w:val="center"/>
            <w:hideMark/>
          </w:tcPr>
          <w:p w14:paraId="6B79D7E2"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6.15%</w:t>
            </w:r>
          </w:p>
        </w:tc>
      </w:tr>
      <w:tr w:rsidR="00AB3EA0" w:rsidRPr="00AB3EA0" w14:paraId="5023F44D" w14:textId="77777777" w:rsidTr="00AB3EA0">
        <w:trPr>
          <w:trHeight w:val="320"/>
        </w:trPr>
        <w:tc>
          <w:tcPr>
            <w:tcW w:w="2122" w:type="dxa"/>
            <w:vMerge w:val="restart"/>
            <w:noWrap/>
            <w:hideMark/>
          </w:tcPr>
          <w:p w14:paraId="2AE04BE7" w14:textId="77777777" w:rsidR="00AB3EA0" w:rsidRPr="00AB3EA0" w:rsidRDefault="00AB3EA0" w:rsidP="00AB3EA0">
            <w:pPr>
              <w:rPr>
                <w:rFonts w:ascii="KaiTi" w:eastAsia="KaiTi" w:hAnsi="KaiTi" w:cs="Arial"/>
                <w:color w:val="000000" w:themeColor="text1"/>
                <w:sz w:val="21"/>
                <w:szCs w:val="21"/>
              </w:rPr>
            </w:pPr>
            <w:r w:rsidRPr="00AB3EA0">
              <w:rPr>
                <w:rFonts w:ascii="KaiTi" w:eastAsia="KaiTi" w:hAnsi="KaiTi" w:cs="Arial"/>
                <w:color w:val="000000" w:themeColor="text1"/>
                <w:sz w:val="21"/>
                <w:szCs w:val="21"/>
              </w:rPr>
              <w:t>Z17 美国优质股权基金</w:t>
            </w:r>
          </w:p>
        </w:tc>
        <w:tc>
          <w:tcPr>
            <w:tcW w:w="1425" w:type="dxa"/>
            <w:noWrap/>
            <w:vAlign w:val="center"/>
            <w:hideMark/>
          </w:tcPr>
          <w:p w14:paraId="79CCB3D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10/30/24</w:t>
            </w:r>
          </w:p>
        </w:tc>
        <w:tc>
          <w:tcPr>
            <w:tcW w:w="958" w:type="dxa"/>
            <w:noWrap/>
            <w:vAlign w:val="center"/>
            <w:hideMark/>
          </w:tcPr>
          <w:p w14:paraId="3D1BE731"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0.054</w:t>
            </w:r>
          </w:p>
        </w:tc>
        <w:tc>
          <w:tcPr>
            <w:tcW w:w="958" w:type="dxa"/>
            <w:noWrap/>
            <w:vAlign w:val="center"/>
            <w:hideMark/>
          </w:tcPr>
          <w:p w14:paraId="7281238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44345</w:t>
            </w:r>
          </w:p>
        </w:tc>
        <w:tc>
          <w:tcPr>
            <w:tcW w:w="1013" w:type="dxa"/>
            <w:noWrap/>
            <w:vAlign w:val="center"/>
            <w:hideMark/>
          </w:tcPr>
          <w:p w14:paraId="5F3D055A"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2395</w:t>
            </w:r>
          </w:p>
        </w:tc>
        <w:tc>
          <w:tcPr>
            <w:tcW w:w="958" w:type="dxa"/>
            <w:noWrap/>
            <w:vAlign w:val="center"/>
            <w:hideMark/>
          </w:tcPr>
          <w:p w14:paraId="43032B9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399992</w:t>
            </w:r>
          </w:p>
        </w:tc>
        <w:tc>
          <w:tcPr>
            <w:tcW w:w="958" w:type="dxa"/>
            <w:noWrap/>
            <w:vAlign w:val="center"/>
            <w:hideMark/>
          </w:tcPr>
          <w:p w14:paraId="6BABBD7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0.60%</w:t>
            </w:r>
          </w:p>
        </w:tc>
        <w:tc>
          <w:tcPr>
            <w:tcW w:w="958" w:type="dxa"/>
            <w:noWrap/>
            <w:vAlign w:val="center"/>
            <w:hideMark/>
          </w:tcPr>
          <w:p w14:paraId="36901289"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7.18%</w:t>
            </w:r>
          </w:p>
        </w:tc>
      </w:tr>
      <w:tr w:rsidR="00AB3EA0" w:rsidRPr="00AB3EA0" w14:paraId="7A7A7E5C" w14:textId="77777777" w:rsidTr="00AB3EA0">
        <w:trPr>
          <w:trHeight w:val="320"/>
        </w:trPr>
        <w:tc>
          <w:tcPr>
            <w:tcW w:w="2122" w:type="dxa"/>
            <w:vMerge/>
            <w:hideMark/>
          </w:tcPr>
          <w:p w14:paraId="0E600258"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1446B1AE"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11/28/24</w:t>
            </w:r>
          </w:p>
        </w:tc>
        <w:tc>
          <w:tcPr>
            <w:tcW w:w="958" w:type="dxa"/>
            <w:noWrap/>
            <w:vAlign w:val="center"/>
            <w:hideMark/>
          </w:tcPr>
          <w:p w14:paraId="771B0D2A"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0.054</w:t>
            </w:r>
          </w:p>
        </w:tc>
        <w:tc>
          <w:tcPr>
            <w:tcW w:w="958" w:type="dxa"/>
            <w:noWrap/>
            <w:vAlign w:val="center"/>
            <w:hideMark/>
          </w:tcPr>
          <w:p w14:paraId="63D503DC"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44345</w:t>
            </w:r>
          </w:p>
        </w:tc>
        <w:tc>
          <w:tcPr>
            <w:tcW w:w="1013" w:type="dxa"/>
            <w:noWrap/>
            <w:vAlign w:val="center"/>
            <w:hideMark/>
          </w:tcPr>
          <w:p w14:paraId="7E01F5A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2395</w:t>
            </w:r>
          </w:p>
        </w:tc>
        <w:tc>
          <w:tcPr>
            <w:tcW w:w="958" w:type="dxa"/>
            <w:noWrap/>
            <w:vAlign w:val="center"/>
            <w:hideMark/>
          </w:tcPr>
          <w:p w14:paraId="2C39BC45"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399992</w:t>
            </w:r>
          </w:p>
        </w:tc>
        <w:tc>
          <w:tcPr>
            <w:tcW w:w="958" w:type="dxa"/>
            <w:noWrap/>
            <w:vAlign w:val="center"/>
            <w:hideMark/>
          </w:tcPr>
          <w:p w14:paraId="3DF86A2C"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0.60%</w:t>
            </w:r>
          </w:p>
        </w:tc>
        <w:tc>
          <w:tcPr>
            <w:tcW w:w="958" w:type="dxa"/>
            <w:noWrap/>
            <w:vAlign w:val="center"/>
            <w:hideMark/>
          </w:tcPr>
          <w:p w14:paraId="7E0E024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7.18%</w:t>
            </w:r>
          </w:p>
        </w:tc>
      </w:tr>
      <w:tr w:rsidR="00AB3EA0" w:rsidRPr="00AB3EA0" w14:paraId="487EAC2D" w14:textId="77777777" w:rsidTr="00AB3EA0">
        <w:trPr>
          <w:trHeight w:val="320"/>
        </w:trPr>
        <w:tc>
          <w:tcPr>
            <w:tcW w:w="2122" w:type="dxa"/>
            <w:vMerge/>
            <w:hideMark/>
          </w:tcPr>
          <w:p w14:paraId="484E9984"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0A642DCE"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12/24/24</w:t>
            </w:r>
          </w:p>
        </w:tc>
        <w:tc>
          <w:tcPr>
            <w:tcW w:w="958" w:type="dxa"/>
            <w:noWrap/>
            <w:vAlign w:val="center"/>
            <w:hideMark/>
          </w:tcPr>
          <w:p w14:paraId="403DEAF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0.054</w:t>
            </w:r>
          </w:p>
        </w:tc>
        <w:tc>
          <w:tcPr>
            <w:tcW w:w="958" w:type="dxa"/>
            <w:noWrap/>
            <w:vAlign w:val="center"/>
            <w:hideMark/>
          </w:tcPr>
          <w:p w14:paraId="226ACE62"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44345</w:t>
            </w:r>
          </w:p>
        </w:tc>
        <w:tc>
          <w:tcPr>
            <w:tcW w:w="1013" w:type="dxa"/>
            <w:noWrap/>
            <w:vAlign w:val="center"/>
            <w:hideMark/>
          </w:tcPr>
          <w:p w14:paraId="767C4D3B"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2395</w:t>
            </w:r>
          </w:p>
        </w:tc>
        <w:tc>
          <w:tcPr>
            <w:tcW w:w="958" w:type="dxa"/>
            <w:noWrap/>
            <w:vAlign w:val="center"/>
            <w:hideMark/>
          </w:tcPr>
          <w:p w14:paraId="19ABC327"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399992</w:t>
            </w:r>
          </w:p>
        </w:tc>
        <w:tc>
          <w:tcPr>
            <w:tcW w:w="958" w:type="dxa"/>
            <w:noWrap/>
            <w:vAlign w:val="center"/>
            <w:hideMark/>
          </w:tcPr>
          <w:p w14:paraId="6D6A663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0.60%</w:t>
            </w:r>
          </w:p>
        </w:tc>
        <w:tc>
          <w:tcPr>
            <w:tcW w:w="958" w:type="dxa"/>
            <w:noWrap/>
            <w:vAlign w:val="center"/>
            <w:hideMark/>
          </w:tcPr>
          <w:p w14:paraId="25E11F68"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7.18%</w:t>
            </w:r>
          </w:p>
        </w:tc>
      </w:tr>
      <w:tr w:rsidR="00AB3EA0" w:rsidRPr="00AB3EA0" w14:paraId="3B8EAD52" w14:textId="77777777" w:rsidTr="00AB3EA0">
        <w:trPr>
          <w:trHeight w:val="320"/>
        </w:trPr>
        <w:tc>
          <w:tcPr>
            <w:tcW w:w="2122" w:type="dxa"/>
            <w:vMerge/>
            <w:hideMark/>
          </w:tcPr>
          <w:p w14:paraId="3EA01A8E"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1F279C1E"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1/31/25</w:t>
            </w:r>
          </w:p>
        </w:tc>
        <w:tc>
          <w:tcPr>
            <w:tcW w:w="958" w:type="dxa"/>
            <w:noWrap/>
            <w:vAlign w:val="center"/>
            <w:hideMark/>
          </w:tcPr>
          <w:p w14:paraId="4D9CFF44"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0.054</w:t>
            </w:r>
          </w:p>
        </w:tc>
        <w:tc>
          <w:tcPr>
            <w:tcW w:w="958" w:type="dxa"/>
            <w:noWrap/>
            <w:vAlign w:val="center"/>
            <w:hideMark/>
          </w:tcPr>
          <w:p w14:paraId="1AF9C1C6"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44345</w:t>
            </w:r>
          </w:p>
        </w:tc>
        <w:tc>
          <w:tcPr>
            <w:tcW w:w="1013" w:type="dxa"/>
            <w:noWrap/>
            <w:vAlign w:val="center"/>
            <w:hideMark/>
          </w:tcPr>
          <w:p w14:paraId="7A8B9C3F"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2395</w:t>
            </w:r>
          </w:p>
        </w:tc>
        <w:tc>
          <w:tcPr>
            <w:tcW w:w="958" w:type="dxa"/>
            <w:noWrap/>
            <w:vAlign w:val="center"/>
            <w:hideMark/>
          </w:tcPr>
          <w:p w14:paraId="58F61C7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399992</w:t>
            </w:r>
          </w:p>
        </w:tc>
        <w:tc>
          <w:tcPr>
            <w:tcW w:w="958" w:type="dxa"/>
            <w:noWrap/>
            <w:vAlign w:val="center"/>
            <w:hideMark/>
          </w:tcPr>
          <w:p w14:paraId="74AFCE22"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0.60%</w:t>
            </w:r>
          </w:p>
        </w:tc>
        <w:tc>
          <w:tcPr>
            <w:tcW w:w="958" w:type="dxa"/>
            <w:noWrap/>
            <w:vAlign w:val="center"/>
            <w:hideMark/>
          </w:tcPr>
          <w:p w14:paraId="1783EFAE"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7.18%</w:t>
            </w:r>
          </w:p>
        </w:tc>
      </w:tr>
      <w:tr w:rsidR="00AB3EA0" w:rsidRPr="00AB3EA0" w14:paraId="2DE43488" w14:textId="77777777" w:rsidTr="00AB3EA0">
        <w:trPr>
          <w:trHeight w:val="320"/>
        </w:trPr>
        <w:tc>
          <w:tcPr>
            <w:tcW w:w="2122" w:type="dxa"/>
            <w:vMerge/>
            <w:hideMark/>
          </w:tcPr>
          <w:p w14:paraId="6B9BE4B9" w14:textId="77777777" w:rsidR="00AB3EA0" w:rsidRPr="00AB3EA0" w:rsidRDefault="00AB3EA0">
            <w:pPr>
              <w:rPr>
                <w:rFonts w:ascii="KaiTi" w:eastAsia="KaiTi" w:hAnsi="KaiTi" w:cs="Arial"/>
                <w:color w:val="000000" w:themeColor="text1"/>
                <w:sz w:val="21"/>
                <w:szCs w:val="21"/>
              </w:rPr>
            </w:pPr>
          </w:p>
        </w:tc>
        <w:tc>
          <w:tcPr>
            <w:tcW w:w="1425" w:type="dxa"/>
            <w:noWrap/>
            <w:vAlign w:val="center"/>
            <w:hideMark/>
          </w:tcPr>
          <w:p w14:paraId="56A2876A"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2/28/25</w:t>
            </w:r>
          </w:p>
        </w:tc>
        <w:tc>
          <w:tcPr>
            <w:tcW w:w="958" w:type="dxa"/>
            <w:noWrap/>
            <w:vAlign w:val="center"/>
            <w:hideMark/>
          </w:tcPr>
          <w:p w14:paraId="3431D13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0.0545</w:t>
            </w:r>
          </w:p>
        </w:tc>
        <w:tc>
          <w:tcPr>
            <w:tcW w:w="958" w:type="dxa"/>
            <w:noWrap/>
            <w:vAlign w:val="center"/>
            <w:hideMark/>
          </w:tcPr>
          <w:p w14:paraId="7634E1EE"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44345</w:t>
            </w:r>
          </w:p>
        </w:tc>
        <w:tc>
          <w:tcPr>
            <w:tcW w:w="1013" w:type="dxa"/>
            <w:noWrap/>
            <w:vAlign w:val="center"/>
            <w:hideMark/>
          </w:tcPr>
          <w:p w14:paraId="65CC6051"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2417</w:t>
            </w:r>
          </w:p>
        </w:tc>
        <w:tc>
          <w:tcPr>
            <w:tcW w:w="958" w:type="dxa"/>
            <w:noWrap/>
            <w:vAlign w:val="center"/>
            <w:hideMark/>
          </w:tcPr>
          <w:p w14:paraId="6C98032D"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399992</w:t>
            </w:r>
          </w:p>
        </w:tc>
        <w:tc>
          <w:tcPr>
            <w:tcW w:w="958" w:type="dxa"/>
            <w:noWrap/>
            <w:vAlign w:val="center"/>
            <w:hideMark/>
          </w:tcPr>
          <w:p w14:paraId="1EBEC9F0"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0.60%</w:t>
            </w:r>
          </w:p>
        </w:tc>
        <w:tc>
          <w:tcPr>
            <w:tcW w:w="958" w:type="dxa"/>
            <w:noWrap/>
            <w:vAlign w:val="center"/>
            <w:hideMark/>
          </w:tcPr>
          <w:p w14:paraId="1855C7F1" w14:textId="77777777" w:rsidR="00AB3EA0" w:rsidRPr="00AB3EA0" w:rsidRDefault="00AB3EA0"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7.25%</w:t>
            </w:r>
          </w:p>
        </w:tc>
      </w:tr>
      <w:tr w:rsidR="005574ED" w:rsidRPr="00AB3EA0" w14:paraId="5BE457FC" w14:textId="77777777" w:rsidTr="001864ED">
        <w:trPr>
          <w:trHeight w:val="320"/>
        </w:trPr>
        <w:tc>
          <w:tcPr>
            <w:tcW w:w="5463" w:type="dxa"/>
            <w:gridSpan w:val="4"/>
            <w:noWrap/>
            <w:hideMark/>
          </w:tcPr>
          <w:p w14:paraId="02A91B14" w14:textId="51C56448" w:rsidR="005574ED" w:rsidRPr="00AB3EA0" w:rsidRDefault="005574ED" w:rsidP="005574ED">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合计</w:t>
            </w:r>
          </w:p>
        </w:tc>
        <w:tc>
          <w:tcPr>
            <w:tcW w:w="1013" w:type="dxa"/>
            <w:noWrap/>
            <w:vAlign w:val="center"/>
            <w:hideMark/>
          </w:tcPr>
          <w:p w14:paraId="2C8081E5" w14:textId="540BA307" w:rsidR="005574ED" w:rsidRPr="00AB3EA0" w:rsidRDefault="005574ED"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27,360</w:t>
            </w:r>
          </w:p>
        </w:tc>
        <w:tc>
          <w:tcPr>
            <w:tcW w:w="958" w:type="dxa"/>
            <w:noWrap/>
            <w:vAlign w:val="center"/>
            <w:hideMark/>
          </w:tcPr>
          <w:p w14:paraId="5903E770" w14:textId="323BB976" w:rsidR="005574ED" w:rsidRPr="00AB3EA0" w:rsidRDefault="005574ED"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999,995</w:t>
            </w:r>
          </w:p>
        </w:tc>
        <w:tc>
          <w:tcPr>
            <w:tcW w:w="958" w:type="dxa"/>
            <w:noWrap/>
            <w:vAlign w:val="center"/>
            <w:hideMark/>
          </w:tcPr>
          <w:p w14:paraId="05D29BD7" w14:textId="77777777" w:rsidR="005574ED" w:rsidRPr="00AB3EA0" w:rsidRDefault="005574ED"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0.55%</w:t>
            </w:r>
          </w:p>
        </w:tc>
        <w:tc>
          <w:tcPr>
            <w:tcW w:w="958" w:type="dxa"/>
            <w:noWrap/>
            <w:vAlign w:val="center"/>
            <w:hideMark/>
          </w:tcPr>
          <w:p w14:paraId="7BB14D03" w14:textId="77777777" w:rsidR="005574ED" w:rsidRPr="00AB3EA0" w:rsidRDefault="005574ED" w:rsidP="00AB3EA0">
            <w:pPr>
              <w:jc w:val="center"/>
              <w:rPr>
                <w:rFonts w:ascii="KaiTi" w:eastAsia="KaiTi" w:hAnsi="KaiTi" w:cs="Arial"/>
                <w:color w:val="000000" w:themeColor="text1"/>
                <w:sz w:val="21"/>
                <w:szCs w:val="21"/>
              </w:rPr>
            </w:pPr>
            <w:r w:rsidRPr="00AB3EA0">
              <w:rPr>
                <w:rFonts w:ascii="KaiTi" w:eastAsia="KaiTi" w:hAnsi="KaiTi" w:cs="Arial"/>
                <w:color w:val="000000" w:themeColor="text1"/>
                <w:sz w:val="21"/>
                <w:szCs w:val="21"/>
              </w:rPr>
              <w:t>6.57%</w:t>
            </w:r>
          </w:p>
        </w:tc>
      </w:tr>
    </w:tbl>
    <w:p w14:paraId="714B9D36" w14:textId="77777777" w:rsidR="002029DF" w:rsidRDefault="002029DF" w:rsidP="002029DF">
      <w:pPr>
        <w:rPr>
          <w:rFonts w:ascii="KaiTi" w:eastAsia="KaiTi" w:hAnsi="KaiTi" w:cs="Arial"/>
          <w:color w:val="FF0000"/>
          <w:sz w:val="21"/>
          <w:szCs w:val="21"/>
        </w:rPr>
      </w:pPr>
    </w:p>
    <w:p w14:paraId="2DE6146A" w14:textId="77777777" w:rsidR="002029DF" w:rsidRDefault="002029DF" w:rsidP="00A77AA2">
      <w:pPr>
        <w:pStyle w:val="p1"/>
        <w:rPr>
          <w:rFonts w:ascii="KaiTi" w:eastAsia="KaiTi" w:hAnsi="KaiTi" w:cs="Arial"/>
          <w:color w:val="auto"/>
          <w:kern w:val="2"/>
          <w:sz w:val="24"/>
          <w:szCs w:val="24"/>
          <w14:ligatures w14:val="standardContextual"/>
        </w:rPr>
      </w:pPr>
    </w:p>
    <w:p w14:paraId="6721DF18" w14:textId="77777777" w:rsidR="008310EB" w:rsidRPr="008310EB" w:rsidRDefault="008310EB" w:rsidP="008310EB">
      <w:pPr>
        <w:pStyle w:val="p1"/>
        <w:rPr>
          <w:rFonts w:ascii="KaiTi" w:eastAsia="KaiTi" w:hAnsi="KaiTi" w:cs="Arial"/>
          <w:color w:val="auto"/>
          <w:kern w:val="2"/>
          <w:sz w:val="24"/>
          <w:szCs w:val="24"/>
          <w14:ligatures w14:val="standardContextual"/>
        </w:rPr>
      </w:pPr>
      <w:r w:rsidRPr="008310EB">
        <w:rPr>
          <w:rFonts w:ascii="KaiTi" w:eastAsia="KaiTi" w:hAnsi="KaiTi" w:cs="Arial" w:hint="eastAsia"/>
          <w:color w:val="auto"/>
          <w:kern w:val="2"/>
          <w:sz w:val="24"/>
          <w:szCs w:val="24"/>
          <w14:ligatures w14:val="standardContextual"/>
        </w:rPr>
        <w:t>尽管市场面临不确定性，我们建议客户维持多元化的资产配置，注重高质量股票和现金等价物的投资。未来的经济政策变化可能会带来市场波动，因此我们建议您根据自身的风险承受能力进行合理的资产配置。</w:t>
      </w:r>
    </w:p>
    <w:p w14:paraId="19789208" w14:textId="77777777" w:rsidR="008310EB" w:rsidRPr="008310EB" w:rsidRDefault="008310EB" w:rsidP="008310EB">
      <w:pPr>
        <w:pStyle w:val="p1"/>
        <w:rPr>
          <w:rFonts w:ascii="KaiTi" w:eastAsia="KaiTi" w:hAnsi="KaiTi" w:cs="Arial"/>
          <w:color w:val="auto"/>
          <w:kern w:val="2"/>
          <w:sz w:val="24"/>
          <w:szCs w:val="24"/>
          <w14:ligatures w14:val="standardContextual"/>
        </w:rPr>
      </w:pPr>
    </w:p>
    <w:p w14:paraId="7995D78E" w14:textId="41870F7A" w:rsidR="00DC494F" w:rsidRDefault="008310EB" w:rsidP="008310EB">
      <w:pPr>
        <w:pStyle w:val="p1"/>
        <w:rPr>
          <w:rFonts w:ascii="KaiTi" w:eastAsia="KaiTi" w:hAnsi="KaiTi" w:cs="Arial"/>
          <w:color w:val="auto"/>
          <w:kern w:val="2"/>
          <w:sz w:val="24"/>
          <w:szCs w:val="24"/>
          <w14:ligatures w14:val="standardContextual"/>
        </w:rPr>
      </w:pPr>
      <w:r w:rsidRPr="008310EB">
        <w:rPr>
          <w:rFonts w:ascii="KaiTi" w:eastAsia="KaiTi" w:hAnsi="KaiTi" w:cs="Arial" w:hint="eastAsia"/>
          <w:color w:val="auto"/>
          <w:kern w:val="2"/>
          <w:sz w:val="24"/>
          <w:szCs w:val="24"/>
          <w14:ligatures w14:val="standardContextual"/>
        </w:rPr>
        <w:t>如果您有任何疑问，或需要进一步的投资建议，欢迎随时与我们联系。我们始终为您提供专业的财务规划与咨询服务，帮助您实现财务目标。</w:t>
      </w:r>
    </w:p>
    <w:p w14:paraId="7F341F31" w14:textId="77777777" w:rsidR="00DD4DD9" w:rsidRDefault="00DD4DD9" w:rsidP="00A77AA2">
      <w:pPr>
        <w:pStyle w:val="p1"/>
        <w:rPr>
          <w:rFonts w:ascii="KaiTi" w:eastAsia="KaiTi" w:hAnsi="KaiTi" w:cs="PingFang TC"/>
          <w:sz w:val="24"/>
          <w:szCs w:val="24"/>
        </w:rPr>
      </w:pPr>
    </w:p>
    <w:p w14:paraId="2D7579BF" w14:textId="77777777" w:rsidR="002456EF" w:rsidRDefault="002456EF" w:rsidP="00A77AA2">
      <w:pPr>
        <w:pStyle w:val="p1"/>
        <w:rPr>
          <w:rFonts w:ascii="KaiTi" w:eastAsia="KaiTi" w:hAnsi="KaiTi" w:cs="PingFang TC"/>
          <w:sz w:val="24"/>
          <w:szCs w:val="24"/>
        </w:rPr>
      </w:pPr>
    </w:p>
    <w:p w14:paraId="0C479408" w14:textId="19CDDB40" w:rsidR="00DC494F" w:rsidRPr="000C1D9B" w:rsidRDefault="002456EF" w:rsidP="00A77AA2">
      <w:pPr>
        <w:pStyle w:val="p1"/>
        <w:rPr>
          <w:rFonts w:ascii="KaiTi" w:eastAsia="KaiTi" w:hAnsi="KaiTi"/>
          <w:sz w:val="24"/>
          <w:szCs w:val="24"/>
        </w:rPr>
      </w:pPr>
      <w:r>
        <w:rPr>
          <w:rFonts w:ascii="KaiTi" w:eastAsia="KaiTi" w:hAnsi="KaiTi" w:cs="PingFang TC" w:hint="eastAsia"/>
          <w:sz w:val="24"/>
          <w:szCs w:val="24"/>
        </w:rPr>
        <w:t>旺达财智</w:t>
      </w:r>
      <w:r w:rsidR="00DC494F">
        <w:rPr>
          <w:rFonts w:ascii="KaiTi" w:eastAsia="KaiTi" w:hAnsi="KaiTi" w:cs="PingFang TC" w:hint="eastAsia"/>
          <w:sz w:val="24"/>
          <w:szCs w:val="24"/>
        </w:rPr>
        <w:t>团队</w:t>
      </w:r>
    </w:p>
    <w:p w14:paraId="17748B82" w14:textId="77777777" w:rsidR="00610169" w:rsidRDefault="00610169" w:rsidP="000243A7">
      <w:pPr>
        <w:rPr>
          <w:rFonts w:ascii="KaiTi" w:eastAsia="KaiTi" w:hAnsi="KaiTi" w:cs="Arial"/>
        </w:rPr>
      </w:pPr>
    </w:p>
    <w:p w14:paraId="2D9CDACE" w14:textId="2C41B9D4" w:rsidR="002456EF" w:rsidRDefault="002456EF" w:rsidP="000243A7">
      <w:pPr>
        <w:rPr>
          <w:rFonts w:ascii="KaiTi" w:eastAsia="KaiTi" w:hAnsi="KaiTi" w:cs="Arial"/>
        </w:rPr>
      </w:pPr>
      <w:r>
        <w:rPr>
          <w:rFonts w:ascii="KaiTi" w:eastAsia="KaiTi" w:hAnsi="KaiTi" w:cs="Arial" w:hint="eastAsia"/>
        </w:rPr>
        <w:t>2025年</w:t>
      </w:r>
      <w:r w:rsidR="00B8655C">
        <w:rPr>
          <w:rFonts w:ascii="KaiTi" w:eastAsia="KaiTi" w:hAnsi="KaiTi" w:cs="Arial" w:hint="eastAsia"/>
        </w:rPr>
        <w:t>3</w:t>
      </w:r>
      <w:r>
        <w:rPr>
          <w:rFonts w:ascii="KaiTi" w:eastAsia="KaiTi" w:hAnsi="KaiTi" w:cs="Arial" w:hint="eastAsia"/>
        </w:rPr>
        <w:t>月</w:t>
      </w:r>
      <w:r w:rsidR="005E6A6F">
        <w:rPr>
          <w:rFonts w:ascii="KaiTi" w:eastAsia="KaiTi" w:hAnsi="KaiTi" w:cs="Arial" w:hint="eastAsia"/>
        </w:rPr>
        <w:t>26</w:t>
      </w:r>
      <w:r>
        <w:rPr>
          <w:rFonts w:ascii="KaiTi" w:eastAsia="KaiTi" w:hAnsi="KaiTi" w:cs="Arial" w:hint="eastAsia"/>
        </w:rPr>
        <w:t>日</w:t>
      </w:r>
    </w:p>
    <w:p w14:paraId="442008DD" w14:textId="77777777" w:rsidR="00286491" w:rsidRDefault="00286491" w:rsidP="000243A7">
      <w:pPr>
        <w:rPr>
          <w:rFonts w:ascii="KaiTi" w:eastAsia="KaiTi" w:hAnsi="KaiTi" w:cs="Arial"/>
        </w:rPr>
      </w:pPr>
    </w:p>
    <w:p w14:paraId="710B16D5"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5177CC0F"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7BDC3DD4"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4B3CDAD0" w14:textId="77777777" w:rsidR="00286491" w:rsidRDefault="00286491" w:rsidP="00286491">
      <w:pPr>
        <w:rPr>
          <w:rFonts w:ascii="System Font" w:hAnsi="System Font" w:cs="System Font"/>
          <w:color w:val="0E0E0E"/>
          <w:kern w:val="0"/>
          <w:sz w:val="20"/>
          <w:szCs w:val="20"/>
        </w:rPr>
      </w:pPr>
    </w:p>
    <w:p w14:paraId="78A32D82"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2715CD2A"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0A6C7E2E" w14:textId="77777777" w:rsidR="00286491" w:rsidRDefault="00000000" w:rsidP="00286491">
      <w:pPr>
        <w:rPr>
          <w:rFonts w:ascii="System Font" w:hAnsi="System Font" w:cs="System Font"/>
          <w:color w:val="0E0E0E"/>
          <w:kern w:val="0"/>
          <w:sz w:val="20"/>
          <w:szCs w:val="20"/>
        </w:rPr>
      </w:pPr>
      <w:hyperlink r:id="rId8" w:anchor="rd" w:history="1">
        <w:r w:rsidR="00286491" w:rsidRPr="00621667">
          <w:rPr>
            <w:rStyle w:val="Hyperlink"/>
            <w:rFonts w:ascii="System Font" w:hAnsi="System Font" w:cs="System Font"/>
            <w:kern w:val="0"/>
            <w:sz w:val="20"/>
            <w:szCs w:val="20"/>
          </w:rPr>
          <w:t>海外投资系列</w:t>
        </w:r>
        <w:r w:rsidR="00286491" w:rsidRPr="00621667">
          <w:rPr>
            <w:rStyle w:val="Hyperlink"/>
            <w:rFonts w:ascii="System Font" w:hAnsi="System Font" w:cs="System Font"/>
            <w:kern w:val="0"/>
            <w:sz w:val="20"/>
            <w:szCs w:val="20"/>
          </w:rPr>
          <w:t>1</w:t>
        </w:r>
        <w:r w:rsidR="00286491" w:rsidRPr="00621667">
          <w:rPr>
            <w:rStyle w:val="Hyperlink"/>
            <w:rFonts w:ascii="System Font" w:hAnsi="System Font" w:cs="System Font"/>
            <w:kern w:val="0"/>
            <w:sz w:val="20"/>
            <w:szCs w:val="20"/>
          </w:rPr>
          <w:t>：什么是投资？探讨投资的底层逻辑与终极目标</w:t>
        </w:r>
      </w:hyperlink>
    </w:p>
    <w:p w14:paraId="7F316DD8" w14:textId="77777777" w:rsidR="00286491" w:rsidRDefault="00000000" w:rsidP="00286491">
      <w:pPr>
        <w:rPr>
          <w:rFonts w:ascii="System Font" w:hAnsi="System Font" w:cs="System Font"/>
          <w:color w:val="0E0E0E"/>
          <w:kern w:val="0"/>
          <w:sz w:val="20"/>
          <w:szCs w:val="20"/>
        </w:rPr>
      </w:pPr>
      <w:hyperlink r:id="rId9" w:anchor="rd" w:history="1">
        <w:r w:rsidR="00286491" w:rsidRPr="00621667">
          <w:rPr>
            <w:rStyle w:val="Hyperlink"/>
            <w:rFonts w:ascii="System Font" w:hAnsi="System Font" w:cs="System Font"/>
            <w:kern w:val="0"/>
            <w:sz w:val="20"/>
            <w:szCs w:val="20"/>
          </w:rPr>
          <w:t>海外投资系列</w:t>
        </w:r>
        <w:r w:rsidR="00286491" w:rsidRPr="00621667">
          <w:rPr>
            <w:rStyle w:val="Hyperlink"/>
            <w:rFonts w:ascii="System Font" w:hAnsi="System Font" w:cs="System Font"/>
            <w:kern w:val="0"/>
            <w:sz w:val="20"/>
            <w:szCs w:val="20"/>
          </w:rPr>
          <w:t>2</w:t>
        </w:r>
        <w:r w:rsidR="00286491" w:rsidRPr="00621667">
          <w:rPr>
            <w:rStyle w:val="Hyperlink"/>
            <w:rFonts w:ascii="System Font" w:hAnsi="System Font" w:cs="System Font"/>
            <w:kern w:val="0"/>
            <w:sz w:val="20"/>
            <w:szCs w:val="20"/>
          </w:rPr>
          <w:t>：如何在波涛汹涌的投资市场中获得长期稳健收益？</w:t>
        </w:r>
      </w:hyperlink>
    </w:p>
    <w:p w14:paraId="6A6648FE" w14:textId="77777777" w:rsidR="00286491" w:rsidRDefault="00286491" w:rsidP="000243A7">
      <w:pPr>
        <w:rPr>
          <w:rFonts w:ascii="KaiTi" w:eastAsia="KaiTi" w:hAnsi="KaiTi" w:cs="Arial"/>
        </w:rPr>
      </w:pPr>
    </w:p>
    <w:p w14:paraId="488B58EC" w14:textId="77777777" w:rsidR="002456EF" w:rsidRDefault="002456EF" w:rsidP="000243A7">
      <w:pPr>
        <w:rPr>
          <w:rFonts w:ascii="KaiTi" w:eastAsia="KaiTi" w:hAnsi="KaiTi" w:cs="Arial"/>
        </w:rPr>
      </w:pPr>
    </w:p>
    <w:p w14:paraId="75A73E20"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2C0737C1"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18743E40" w14:textId="23D3801F"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lastRenderedPageBreak/>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0961F492" w14:textId="03E6D90B"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172B6609" w14:textId="4A211BD0" w:rsidR="00E5410F" w:rsidRDefault="00E5410F" w:rsidP="00E5410F">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76F6198B" w14:textId="77777777" w:rsidR="00E5410F" w:rsidRDefault="00E5410F" w:rsidP="00E5410F">
      <w:pPr>
        <w:rPr>
          <w:rFonts w:ascii="System Font" w:hAnsi="System Font" w:cs="System Font"/>
          <w:color w:val="0E0E0E"/>
          <w:kern w:val="0"/>
          <w:sz w:val="20"/>
          <w:szCs w:val="20"/>
        </w:rPr>
      </w:pPr>
    </w:p>
    <w:p w14:paraId="239C3C31" w14:textId="58626359" w:rsidR="00E5410F" w:rsidRPr="00433533" w:rsidRDefault="00E5410F" w:rsidP="00433533">
      <w:pPr>
        <w:rPr>
          <w:rFonts w:ascii="KaiTi" w:eastAsia="KaiTi" w:hAnsi="KaiTi" w:cs="Arial"/>
        </w:rPr>
      </w:pPr>
    </w:p>
    <w:sectPr w:rsidR="00E5410F" w:rsidRPr="004335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27F"/>
    <w:multiLevelType w:val="hybridMultilevel"/>
    <w:tmpl w:val="01C68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1300"/>
    <w:multiLevelType w:val="hybridMultilevel"/>
    <w:tmpl w:val="11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329D"/>
    <w:multiLevelType w:val="hybridMultilevel"/>
    <w:tmpl w:val="3B2EC18E"/>
    <w:lvl w:ilvl="0" w:tplc="D5083E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762BD6"/>
    <w:multiLevelType w:val="hybridMultilevel"/>
    <w:tmpl w:val="EE888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C36C0"/>
    <w:multiLevelType w:val="hybridMultilevel"/>
    <w:tmpl w:val="4ADC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15A6AAA"/>
    <w:multiLevelType w:val="hybridMultilevel"/>
    <w:tmpl w:val="846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753A6"/>
    <w:multiLevelType w:val="hybridMultilevel"/>
    <w:tmpl w:val="2A2660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7211820">
    <w:abstractNumId w:val="2"/>
  </w:num>
  <w:num w:numId="2" w16cid:durableId="2016378384">
    <w:abstractNumId w:val="0"/>
  </w:num>
  <w:num w:numId="3" w16cid:durableId="853958204">
    <w:abstractNumId w:val="4"/>
  </w:num>
  <w:num w:numId="4" w16cid:durableId="755976737">
    <w:abstractNumId w:val="1"/>
  </w:num>
  <w:num w:numId="5" w16cid:durableId="195630654">
    <w:abstractNumId w:val="5"/>
  </w:num>
  <w:num w:numId="6" w16cid:durableId="428501775">
    <w:abstractNumId w:val="3"/>
  </w:num>
  <w:num w:numId="7" w16cid:durableId="1392458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9"/>
    <w:rsid w:val="00017239"/>
    <w:rsid w:val="00020B7C"/>
    <w:rsid w:val="000243A7"/>
    <w:rsid w:val="00026074"/>
    <w:rsid w:val="00050BCD"/>
    <w:rsid w:val="00095622"/>
    <w:rsid w:val="000C1D9B"/>
    <w:rsid w:val="000E2963"/>
    <w:rsid w:val="001150DB"/>
    <w:rsid w:val="00131974"/>
    <w:rsid w:val="00185554"/>
    <w:rsid w:val="002029DF"/>
    <w:rsid w:val="0023228C"/>
    <w:rsid w:val="002456EF"/>
    <w:rsid w:val="00254FBC"/>
    <w:rsid w:val="00263AC5"/>
    <w:rsid w:val="00270CC8"/>
    <w:rsid w:val="00286491"/>
    <w:rsid w:val="002C7F1A"/>
    <w:rsid w:val="00390AA6"/>
    <w:rsid w:val="003B69DA"/>
    <w:rsid w:val="003F4E0A"/>
    <w:rsid w:val="00401CE2"/>
    <w:rsid w:val="00415269"/>
    <w:rsid w:val="004239E6"/>
    <w:rsid w:val="00433533"/>
    <w:rsid w:val="00510D93"/>
    <w:rsid w:val="00515263"/>
    <w:rsid w:val="00517DEA"/>
    <w:rsid w:val="005574ED"/>
    <w:rsid w:val="0056238D"/>
    <w:rsid w:val="00562477"/>
    <w:rsid w:val="005742FF"/>
    <w:rsid w:val="005E6A6F"/>
    <w:rsid w:val="005F5E4D"/>
    <w:rsid w:val="00604A99"/>
    <w:rsid w:val="00610169"/>
    <w:rsid w:val="00661EDE"/>
    <w:rsid w:val="006D0C57"/>
    <w:rsid w:val="006F35F5"/>
    <w:rsid w:val="007719AD"/>
    <w:rsid w:val="00787D3D"/>
    <w:rsid w:val="007A1F3A"/>
    <w:rsid w:val="007C75A8"/>
    <w:rsid w:val="008310EB"/>
    <w:rsid w:val="00903A83"/>
    <w:rsid w:val="0093744D"/>
    <w:rsid w:val="009623A1"/>
    <w:rsid w:val="0096773B"/>
    <w:rsid w:val="00974058"/>
    <w:rsid w:val="00974FF4"/>
    <w:rsid w:val="009E15E4"/>
    <w:rsid w:val="00A075F9"/>
    <w:rsid w:val="00A31C37"/>
    <w:rsid w:val="00A77AA2"/>
    <w:rsid w:val="00A829E3"/>
    <w:rsid w:val="00A92066"/>
    <w:rsid w:val="00A97851"/>
    <w:rsid w:val="00AB3EA0"/>
    <w:rsid w:val="00B14E80"/>
    <w:rsid w:val="00B44E02"/>
    <w:rsid w:val="00B8655C"/>
    <w:rsid w:val="00B87E04"/>
    <w:rsid w:val="00BF0608"/>
    <w:rsid w:val="00C25F33"/>
    <w:rsid w:val="00C37DA0"/>
    <w:rsid w:val="00DB13C0"/>
    <w:rsid w:val="00DB4456"/>
    <w:rsid w:val="00DC494F"/>
    <w:rsid w:val="00DC4A9B"/>
    <w:rsid w:val="00DD4DD9"/>
    <w:rsid w:val="00E1323B"/>
    <w:rsid w:val="00E135B6"/>
    <w:rsid w:val="00E5410F"/>
    <w:rsid w:val="00E67E6B"/>
    <w:rsid w:val="00EA2E0B"/>
    <w:rsid w:val="00EE53BA"/>
    <w:rsid w:val="00F50281"/>
    <w:rsid w:val="00F625EC"/>
    <w:rsid w:val="00F702B7"/>
    <w:rsid w:val="00F8452D"/>
    <w:rsid w:val="00FA66BE"/>
    <w:rsid w:val="00FA6DA6"/>
    <w:rsid w:val="00FB2ADC"/>
    <w:rsid w:val="00FB54A9"/>
    <w:rsid w:val="00FC3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B85C"/>
  <w15:chartTrackingRefBased/>
  <w15:docId w15:val="{D7183B0E-E5E0-2A48-BD44-A9439168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9"/>
    <w:rPr>
      <w:rFonts w:eastAsiaTheme="majorEastAsia" w:cstheme="majorBidi"/>
      <w:color w:val="272727" w:themeColor="text1" w:themeTint="D8"/>
    </w:rPr>
  </w:style>
  <w:style w:type="paragraph" w:styleId="Title">
    <w:name w:val="Title"/>
    <w:basedOn w:val="Normal"/>
    <w:next w:val="Normal"/>
    <w:link w:val="TitleChar"/>
    <w:uiPriority w:val="10"/>
    <w:qFormat/>
    <w:rsid w:val="0041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9"/>
    <w:rPr>
      <w:i/>
      <w:iCs/>
      <w:color w:val="404040" w:themeColor="text1" w:themeTint="BF"/>
    </w:rPr>
  </w:style>
  <w:style w:type="paragraph" w:styleId="ListParagraph">
    <w:name w:val="List Paragraph"/>
    <w:basedOn w:val="Normal"/>
    <w:uiPriority w:val="34"/>
    <w:qFormat/>
    <w:rsid w:val="00415269"/>
    <w:pPr>
      <w:ind w:left="720"/>
      <w:contextualSpacing/>
    </w:pPr>
  </w:style>
  <w:style w:type="character" w:styleId="IntenseEmphasis">
    <w:name w:val="Intense Emphasis"/>
    <w:basedOn w:val="DefaultParagraphFont"/>
    <w:uiPriority w:val="21"/>
    <w:qFormat/>
    <w:rsid w:val="00415269"/>
    <w:rPr>
      <w:i/>
      <w:iCs/>
      <w:color w:val="0F4761" w:themeColor="accent1" w:themeShade="BF"/>
    </w:rPr>
  </w:style>
  <w:style w:type="paragraph" w:styleId="IntenseQuote">
    <w:name w:val="Intense Quote"/>
    <w:basedOn w:val="Normal"/>
    <w:next w:val="Normal"/>
    <w:link w:val="IntenseQuoteChar"/>
    <w:uiPriority w:val="30"/>
    <w:qFormat/>
    <w:rsid w:val="0041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69"/>
    <w:rPr>
      <w:i/>
      <w:iCs/>
      <w:color w:val="0F4761" w:themeColor="accent1" w:themeShade="BF"/>
    </w:rPr>
  </w:style>
  <w:style w:type="character" w:styleId="IntenseReference">
    <w:name w:val="Intense Reference"/>
    <w:basedOn w:val="DefaultParagraphFont"/>
    <w:uiPriority w:val="32"/>
    <w:qFormat/>
    <w:rsid w:val="00415269"/>
    <w:rPr>
      <w:b/>
      <w:bCs/>
      <w:smallCaps/>
      <w:color w:val="0F4761" w:themeColor="accent1" w:themeShade="BF"/>
      <w:spacing w:val="5"/>
    </w:rPr>
  </w:style>
  <w:style w:type="character" w:styleId="Hyperlink">
    <w:name w:val="Hyperlink"/>
    <w:basedOn w:val="DefaultParagraphFont"/>
    <w:uiPriority w:val="99"/>
    <w:unhideWhenUsed/>
    <w:rsid w:val="00F50281"/>
    <w:rPr>
      <w:color w:val="467886" w:themeColor="hyperlink"/>
      <w:u w:val="single"/>
    </w:rPr>
  </w:style>
  <w:style w:type="character" w:styleId="UnresolvedMention">
    <w:name w:val="Unresolved Mention"/>
    <w:basedOn w:val="DefaultParagraphFont"/>
    <w:uiPriority w:val="99"/>
    <w:semiHidden/>
    <w:unhideWhenUsed/>
    <w:rsid w:val="00F50281"/>
    <w:rPr>
      <w:color w:val="605E5C"/>
      <w:shd w:val="clear" w:color="auto" w:fill="E1DFDD"/>
    </w:rPr>
  </w:style>
  <w:style w:type="table" w:styleId="TableGrid">
    <w:name w:val="Table Grid"/>
    <w:basedOn w:val="TableNormal"/>
    <w:uiPriority w:val="39"/>
    <w:rsid w:val="00F6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5622"/>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A77AA2"/>
    <w:pPr>
      <w:spacing w:after="0" w:line="240" w:lineRule="auto"/>
    </w:pPr>
    <w:rPr>
      <w:rFonts w:ascii=".AppleSystemUIFont" w:eastAsia="Times New Roman" w:hAnsi=".AppleSystemUIFont" w:cs="Times New Roman"/>
      <w:color w:val="0E0E0E"/>
      <w:kern w:val="0"/>
      <w:sz w:val="21"/>
      <w:szCs w:val="21"/>
      <w14:ligatures w14:val="none"/>
    </w:rPr>
  </w:style>
  <w:style w:type="paragraph" w:styleId="NormalWeb">
    <w:name w:val="Normal (Web)"/>
    <w:basedOn w:val="Normal"/>
    <w:uiPriority w:val="99"/>
    <w:semiHidden/>
    <w:unhideWhenUsed/>
    <w:rsid w:val="000260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6074"/>
    <w:rPr>
      <w:b/>
      <w:bCs/>
    </w:rPr>
  </w:style>
  <w:style w:type="character" w:styleId="FollowedHyperlink">
    <w:name w:val="FollowedHyperlink"/>
    <w:basedOn w:val="DefaultParagraphFont"/>
    <w:uiPriority w:val="99"/>
    <w:semiHidden/>
    <w:unhideWhenUsed/>
    <w:rsid w:val="00433533"/>
    <w:rPr>
      <w:color w:val="96607D" w:themeColor="followedHyperlink"/>
      <w:u w:val="single"/>
    </w:rPr>
  </w:style>
  <w:style w:type="paragraph" w:styleId="Date">
    <w:name w:val="Date"/>
    <w:basedOn w:val="Normal"/>
    <w:next w:val="Normal"/>
    <w:link w:val="DateChar"/>
    <w:uiPriority w:val="99"/>
    <w:semiHidden/>
    <w:unhideWhenUsed/>
    <w:rsid w:val="002456EF"/>
  </w:style>
  <w:style w:type="character" w:customStyle="1" w:styleId="DateChar">
    <w:name w:val="Date Char"/>
    <w:basedOn w:val="DefaultParagraphFont"/>
    <w:link w:val="Date"/>
    <w:uiPriority w:val="99"/>
    <w:semiHidden/>
    <w:rsid w:val="0024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16546">
      <w:bodyDiv w:val="1"/>
      <w:marLeft w:val="0"/>
      <w:marRight w:val="0"/>
      <w:marTop w:val="0"/>
      <w:marBottom w:val="0"/>
      <w:divBdr>
        <w:top w:val="none" w:sz="0" w:space="0" w:color="auto"/>
        <w:left w:val="none" w:sz="0" w:space="0" w:color="auto"/>
        <w:bottom w:val="none" w:sz="0" w:space="0" w:color="auto"/>
        <w:right w:val="none" w:sz="0" w:space="0" w:color="auto"/>
      </w:divBdr>
    </w:div>
    <w:div w:id="85615037">
      <w:bodyDiv w:val="1"/>
      <w:marLeft w:val="0"/>
      <w:marRight w:val="0"/>
      <w:marTop w:val="0"/>
      <w:marBottom w:val="0"/>
      <w:divBdr>
        <w:top w:val="none" w:sz="0" w:space="0" w:color="auto"/>
        <w:left w:val="none" w:sz="0" w:space="0" w:color="auto"/>
        <w:bottom w:val="none" w:sz="0" w:space="0" w:color="auto"/>
        <w:right w:val="none" w:sz="0" w:space="0" w:color="auto"/>
      </w:divBdr>
    </w:div>
    <w:div w:id="115955871">
      <w:bodyDiv w:val="1"/>
      <w:marLeft w:val="0"/>
      <w:marRight w:val="0"/>
      <w:marTop w:val="0"/>
      <w:marBottom w:val="0"/>
      <w:divBdr>
        <w:top w:val="none" w:sz="0" w:space="0" w:color="auto"/>
        <w:left w:val="none" w:sz="0" w:space="0" w:color="auto"/>
        <w:bottom w:val="none" w:sz="0" w:space="0" w:color="auto"/>
        <w:right w:val="none" w:sz="0" w:space="0" w:color="auto"/>
      </w:divBdr>
    </w:div>
    <w:div w:id="161090902">
      <w:bodyDiv w:val="1"/>
      <w:marLeft w:val="0"/>
      <w:marRight w:val="0"/>
      <w:marTop w:val="0"/>
      <w:marBottom w:val="0"/>
      <w:divBdr>
        <w:top w:val="none" w:sz="0" w:space="0" w:color="auto"/>
        <w:left w:val="none" w:sz="0" w:space="0" w:color="auto"/>
        <w:bottom w:val="none" w:sz="0" w:space="0" w:color="auto"/>
        <w:right w:val="none" w:sz="0" w:space="0" w:color="auto"/>
      </w:divBdr>
    </w:div>
    <w:div w:id="178782285">
      <w:bodyDiv w:val="1"/>
      <w:marLeft w:val="0"/>
      <w:marRight w:val="0"/>
      <w:marTop w:val="0"/>
      <w:marBottom w:val="0"/>
      <w:divBdr>
        <w:top w:val="none" w:sz="0" w:space="0" w:color="auto"/>
        <w:left w:val="none" w:sz="0" w:space="0" w:color="auto"/>
        <w:bottom w:val="none" w:sz="0" w:space="0" w:color="auto"/>
        <w:right w:val="none" w:sz="0" w:space="0" w:color="auto"/>
      </w:divBdr>
    </w:div>
    <w:div w:id="227691641">
      <w:bodyDiv w:val="1"/>
      <w:marLeft w:val="0"/>
      <w:marRight w:val="0"/>
      <w:marTop w:val="0"/>
      <w:marBottom w:val="0"/>
      <w:divBdr>
        <w:top w:val="none" w:sz="0" w:space="0" w:color="auto"/>
        <w:left w:val="none" w:sz="0" w:space="0" w:color="auto"/>
        <w:bottom w:val="none" w:sz="0" w:space="0" w:color="auto"/>
        <w:right w:val="none" w:sz="0" w:space="0" w:color="auto"/>
      </w:divBdr>
    </w:div>
    <w:div w:id="249899692">
      <w:bodyDiv w:val="1"/>
      <w:marLeft w:val="0"/>
      <w:marRight w:val="0"/>
      <w:marTop w:val="0"/>
      <w:marBottom w:val="0"/>
      <w:divBdr>
        <w:top w:val="none" w:sz="0" w:space="0" w:color="auto"/>
        <w:left w:val="none" w:sz="0" w:space="0" w:color="auto"/>
        <w:bottom w:val="none" w:sz="0" w:space="0" w:color="auto"/>
        <w:right w:val="none" w:sz="0" w:space="0" w:color="auto"/>
      </w:divBdr>
    </w:div>
    <w:div w:id="310521533">
      <w:bodyDiv w:val="1"/>
      <w:marLeft w:val="0"/>
      <w:marRight w:val="0"/>
      <w:marTop w:val="0"/>
      <w:marBottom w:val="0"/>
      <w:divBdr>
        <w:top w:val="none" w:sz="0" w:space="0" w:color="auto"/>
        <w:left w:val="none" w:sz="0" w:space="0" w:color="auto"/>
        <w:bottom w:val="none" w:sz="0" w:space="0" w:color="auto"/>
        <w:right w:val="none" w:sz="0" w:space="0" w:color="auto"/>
      </w:divBdr>
    </w:div>
    <w:div w:id="395860041">
      <w:bodyDiv w:val="1"/>
      <w:marLeft w:val="0"/>
      <w:marRight w:val="0"/>
      <w:marTop w:val="0"/>
      <w:marBottom w:val="0"/>
      <w:divBdr>
        <w:top w:val="none" w:sz="0" w:space="0" w:color="auto"/>
        <w:left w:val="none" w:sz="0" w:space="0" w:color="auto"/>
        <w:bottom w:val="none" w:sz="0" w:space="0" w:color="auto"/>
        <w:right w:val="none" w:sz="0" w:space="0" w:color="auto"/>
      </w:divBdr>
    </w:div>
    <w:div w:id="446706661">
      <w:bodyDiv w:val="1"/>
      <w:marLeft w:val="0"/>
      <w:marRight w:val="0"/>
      <w:marTop w:val="0"/>
      <w:marBottom w:val="0"/>
      <w:divBdr>
        <w:top w:val="none" w:sz="0" w:space="0" w:color="auto"/>
        <w:left w:val="none" w:sz="0" w:space="0" w:color="auto"/>
        <w:bottom w:val="none" w:sz="0" w:space="0" w:color="auto"/>
        <w:right w:val="none" w:sz="0" w:space="0" w:color="auto"/>
      </w:divBdr>
    </w:div>
    <w:div w:id="449400608">
      <w:bodyDiv w:val="1"/>
      <w:marLeft w:val="0"/>
      <w:marRight w:val="0"/>
      <w:marTop w:val="0"/>
      <w:marBottom w:val="0"/>
      <w:divBdr>
        <w:top w:val="none" w:sz="0" w:space="0" w:color="auto"/>
        <w:left w:val="none" w:sz="0" w:space="0" w:color="auto"/>
        <w:bottom w:val="none" w:sz="0" w:space="0" w:color="auto"/>
        <w:right w:val="none" w:sz="0" w:space="0" w:color="auto"/>
      </w:divBdr>
    </w:div>
    <w:div w:id="490023743">
      <w:bodyDiv w:val="1"/>
      <w:marLeft w:val="0"/>
      <w:marRight w:val="0"/>
      <w:marTop w:val="0"/>
      <w:marBottom w:val="0"/>
      <w:divBdr>
        <w:top w:val="none" w:sz="0" w:space="0" w:color="auto"/>
        <w:left w:val="none" w:sz="0" w:space="0" w:color="auto"/>
        <w:bottom w:val="none" w:sz="0" w:space="0" w:color="auto"/>
        <w:right w:val="none" w:sz="0" w:space="0" w:color="auto"/>
      </w:divBdr>
    </w:div>
    <w:div w:id="490147994">
      <w:bodyDiv w:val="1"/>
      <w:marLeft w:val="0"/>
      <w:marRight w:val="0"/>
      <w:marTop w:val="0"/>
      <w:marBottom w:val="0"/>
      <w:divBdr>
        <w:top w:val="none" w:sz="0" w:space="0" w:color="auto"/>
        <w:left w:val="none" w:sz="0" w:space="0" w:color="auto"/>
        <w:bottom w:val="none" w:sz="0" w:space="0" w:color="auto"/>
        <w:right w:val="none" w:sz="0" w:space="0" w:color="auto"/>
      </w:divBdr>
    </w:div>
    <w:div w:id="497111169">
      <w:bodyDiv w:val="1"/>
      <w:marLeft w:val="0"/>
      <w:marRight w:val="0"/>
      <w:marTop w:val="0"/>
      <w:marBottom w:val="0"/>
      <w:divBdr>
        <w:top w:val="none" w:sz="0" w:space="0" w:color="auto"/>
        <w:left w:val="none" w:sz="0" w:space="0" w:color="auto"/>
        <w:bottom w:val="none" w:sz="0" w:space="0" w:color="auto"/>
        <w:right w:val="none" w:sz="0" w:space="0" w:color="auto"/>
      </w:divBdr>
    </w:div>
    <w:div w:id="510994458">
      <w:bodyDiv w:val="1"/>
      <w:marLeft w:val="0"/>
      <w:marRight w:val="0"/>
      <w:marTop w:val="0"/>
      <w:marBottom w:val="0"/>
      <w:divBdr>
        <w:top w:val="none" w:sz="0" w:space="0" w:color="auto"/>
        <w:left w:val="none" w:sz="0" w:space="0" w:color="auto"/>
        <w:bottom w:val="none" w:sz="0" w:space="0" w:color="auto"/>
        <w:right w:val="none" w:sz="0" w:space="0" w:color="auto"/>
      </w:divBdr>
    </w:div>
    <w:div w:id="532421047">
      <w:bodyDiv w:val="1"/>
      <w:marLeft w:val="0"/>
      <w:marRight w:val="0"/>
      <w:marTop w:val="0"/>
      <w:marBottom w:val="0"/>
      <w:divBdr>
        <w:top w:val="none" w:sz="0" w:space="0" w:color="auto"/>
        <w:left w:val="none" w:sz="0" w:space="0" w:color="auto"/>
        <w:bottom w:val="none" w:sz="0" w:space="0" w:color="auto"/>
        <w:right w:val="none" w:sz="0" w:space="0" w:color="auto"/>
      </w:divBdr>
    </w:div>
    <w:div w:id="606157504">
      <w:bodyDiv w:val="1"/>
      <w:marLeft w:val="0"/>
      <w:marRight w:val="0"/>
      <w:marTop w:val="0"/>
      <w:marBottom w:val="0"/>
      <w:divBdr>
        <w:top w:val="none" w:sz="0" w:space="0" w:color="auto"/>
        <w:left w:val="none" w:sz="0" w:space="0" w:color="auto"/>
        <w:bottom w:val="none" w:sz="0" w:space="0" w:color="auto"/>
        <w:right w:val="none" w:sz="0" w:space="0" w:color="auto"/>
      </w:divBdr>
    </w:div>
    <w:div w:id="688726518">
      <w:bodyDiv w:val="1"/>
      <w:marLeft w:val="0"/>
      <w:marRight w:val="0"/>
      <w:marTop w:val="0"/>
      <w:marBottom w:val="0"/>
      <w:divBdr>
        <w:top w:val="none" w:sz="0" w:space="0" w:color="auto"/>
        <w:left w:val="none" w:sz="0" w:space="0" w:color="auto"/>
        <w:bottom w:val="none" w:sz="0" w:space="0" w:color="auto"/>
        <w:right w:val="none" w:sz="0" w:space="0" w:color="auto"/>
      </w:divBdr>
    </w:div>
    <w:div w:id="707073919">
      <w:bodyDiv w:val="1"/>
      <w:marLeft w:val="0"/>
      <w:marRight w:val="0"/>
      <w:marTop w:val="0"/>
      <w:marBottom w:val="0"/>
      <w:divBdr>
        <w:top w:val="none" w:sz="0" w:space="0" w:color="auto"/>
        <w:left w:val="none" w:sz="0" w:space="0" w:color="auto"/>
        <w:bottom w:val="none" w:sz="0" w:space="0" w:color="auto"/>
        <w:right w:val="none" w:sz="0" w:space="0" w:color="auto"/>
      </w:divBdr>
    </w:div>
    <w:div w:id="712194438">
      <w:bodyDiv w:val="1"/>
      <w:marLeft w:val="0"/>
      <w:marRight w:val="0"/>
      <w:marTop w:val="0"/>
      <w:marBottom w:val="0"/>
      <w:divBdr>
        <w:top w:val="none" w:sz="0" w:space="0" w:color="auto"/>
        <w:left w:val="none" w:sz="0" w:space="0" w:color="auto"/>
        <w:bottom w:val="none" w:sz="0" w:space="0" w:color="auto"/>
        <w:right w:val="none" w:sz="0" w:space="0" w:color="auto"/>
      </w:divBdr>
    </w:div>
    <w:div w:id="783304304">
      <w:bodyDiv w:val="1"/>
      <w:marLeft w:val="0"/>
      <w:marRight w:val="0"/>
      <w:marTop w:val="0"/>
      <w:marBottom w:val="0"/>
      <w:divBdr>
        <w:top w:val="none" w:sz="0" w:space="0" w:color="auto"/>
        <w:left w:val="none" w:sz="0" w:space="0" w:color="auto"/>
        <w:bottom w:val="none" w:sz="0" w:space="0" w:color="auto"/>
        <w:right w:val="none" w:sz="0" w:space="0" w:color="auto"/>
      </w:divBdr>
    </w:div>
    <w:div w:id="783353221">
      <w:bodyDiv w:val="1"/>
      <w:marLeft w:val="0"/>
      <w:marRight w:val="0"/>
      <w:marTop w:val="0"/>
      <w:marBottom w:val="0"/>
      <w:divBdr>
        <w:top w:val="none" w:sz="0" w:space="0" w:color="auto"/>
        <w:left w:val="none" w:sz="0" w:space="0" w:color="auto"/>
        <w:bottom w:val="none" w:sz="0" w:space="0" w:color="auto"/>
        <w:right w:val="none" w:sz="0" w:space="0" w:color="auto"/>
      </w:divBdr>
    </w:div>
    <w:div w:id="805700248">
      <w:bodyDiv w:val="1"/>
      <w:marLeft w:val="0"/>
      <w:marRight w:val="0"/>
      <w:marTop w:val="0"/>
      <w:marBottom w:val="0"/>
      <w:divBdr>
        <w:top w:val="none" w:sz="0" w:space="0" w:color="auto"/>
        <w:left w:val="none" w:sz="0" w:space="0" w:color="auto"/>
        <w:bottom w:val="none" w:sz="0" w:space="0" w:color="auto"/>
        <w:right w:val="none" w:sz="0" w:space="0" w:color="auto"/>
      </w:divBdr>
    </w:div>
    <w:div w:id="828132453">
      <w:bodyDiv w:val="1"/>
      <w:marLeft w:val="0"/>
      <w:marRight w:val="0"/>
      <w:marTop w:val="0"/>
      <w:marBottom w:val="0"/>
      <w:divBdr>
        <w:top w:val="none" w:sz="0" w:space="0" w:color="auto"/>
        <w:left w:val="none" w:sz="0" w:space="0" w:color="auto"/>
        <w:bottom w:val="none" w:sz="0" w:space="0" w:color="auto"/>
        <w:right w:val="none" w:sz="0" w:space="0" w:color="auto"/>
      </w:divBdr>
    </w:div>
    <w:div w:id="863709989">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909119474">
      <w:bodyDiv w:val="1"/>
      <w:marLeft w:val="0"/>
      <w:marRight w:val="0"/>
      <w:marTop w:val="0"/>
      <w:marBottom w:val="0"/>
      <w:divBdr>
        <w:top w:val="none" w:sz="0" w:space="0" w:color="auto"/>
        <w:left w:val="none" w:sz="0" w:space="0" w:color="auto"/>
        <w:bottom w:val="none" w:sz="0" w:space="0" w:color="auto"/>
        <w:right w:val="none" w:sz="0" w:space="0" w:color="auto"/>
      </w:divBdr>
    </w:div>
    <w:div w:id="912473521">
      <w:bodyDiv w:val="1"/>
      <w:marLeft w:val="0"/>
      <w:marRight w:val="0"/>
      <w:marTop w:val="0"/>
      <w:marBottom w:val="0"/>
      <w:divBdr>
        <w:top w:val="none" w:sz="0" w:space="0" w:color="auto"/>
        <w:left w:val="none" w:sz="0" w:space="0" w:color="auto"/>
        <w:bottom w:val="none" w:sz="0" w:space="0" w:color="auto"/>
        <w:right w:val="none" w:sz="0" w:space="0" w:color="auto"/>
      </w:divBdr>
    </w:div>
    <w:div w:id="946153374">
      <w:bodyDiv w:val="1"/>
      <w:marLeft w:val="0"/>
      <w:marRight w:val="0"/>
      <w:marTop w:val="0"/>
      <w:marBottom w:val="0"/>
      <w:divBdr>
        <w:top w:val="none" w:sz="0" w:space="0" w:color="auto"/>
        <w:left w:val="none" w:sz="0" w:space="0" w:color="auto"/>
        <w:bottom w:val="none" w:sz="0" w:space="0" w:color="auto"/>
        <w:right w:val="none" w:sz="0" w:space="0" w:color="auto"/>
      </w:divBdr>
    </w:div>
    <w:div w:id="971053672">
      <w:bodyDiv w:val="1"/>
      <w:marLeft w:val="0"/>
      <w:marRight w:val="0"/>
      <w:marTop w:val="0"/>
      <w:marBottom w:val="0"/>
      <w:divBdr>
        <w:top w:val="none" w:sz="0" w:space="0" w:color="auto"/>
        <w:left w:val="none" w:sz="0" w:space="0" w:color="auto"/>
        <w:bottom w:val="none" w:sz="0" w:space="0" w:color="auto"/>
        <w:right w:val="none" w:sz="0" w:space="0" w:color="auto"/>
      </w:divBdr>
    </w:div>
    <w:div w:id="1012143851">
      <w:bodyDiv w:val="1"/>
      <w:marLeft w:val="0"/>
      <w:marRight w:val="0"/>
      <w:marTop w:val="0"/>
      <w:marBottom w:val="0"/>
      <w:divBdr>
        <w:top w:val="none" w:sz="0" w:space="0" w:color="auto"/>
        <w:left w:val="none" w:sz="0" w:space="0" w:color="auto"/>
        <w:bottom w:val="none" w:sz="0" w:space="0" w:color="auto"/>
        <w:right w:val="none" w:sz="0" w:space="0" w:color="auto"/>
      </w:divBdr>
    </w:div>
    <w:div w:id="1041979065">
      <w:bodyDiv w:val="1"/>
      <w:marLeft w:val="0"/>
      <w:marRight w:val="0"/>
      <w:marTop w:val="0"/>
      <w:marBottom w:val="0"/>
      <w:divBdr>
        <w:top w:val="none" w:sz="0" w:space="0" w:color="auto"/>
        <w:left w:val="none" w:sz="0" w:space="0" w:color="auto"/>
        <w:bottom w:val="none" w:sz="0" w:space="0" w:color="auto"/>
        <w:right w:val="none" w:sz="0" w:space="0" w:color="auto"/>
      </w:divBdr>
    </w:div>
    <w:div w:id="1057700527">
      <w:bodyDiv w:val="1"/>
      <w:marLeft w:val="0"/>
      <w:marRight w:val="0"/>
      <w:marTop w:val="0"/>
      <w:marBottom w:val="0"/>
      <w:divBdr>
        <w:top w:val="none" w:sz="0" w:space="0" w:color="auto"/>
        <w:left w:val="none" w:sz="0" w:space="0" w:color="auto"/>
        <w:bottom w:val="none" w:sz="0" w:space="0" w:color="auto"/>
        <w:right w:val="none" w:sz="0" w:space="0" w:color="auto"/>
      </w:divBdr>
    </w:div>
    <w:div w:id="1071931379">
      <w:bodyDiv w:val="1"/>
      <w:marLeft w:val="0"/>
      <w:marRight w:val="0"/>
      <w:marTop w:val="0"/>
      <w:marBottom w:val="0"/>
      <w:divBdr>
        <w:top w:val="none" w:sz="0" w:space="0" w:color="auto"/>
        <w:left w:val="none" w:sz="0" w:space="0" w:color="auto"/>
        <w:bottom w:val="none" w:sz="0" w:space="0" w:color="auto"/>
        <w:right w:val="none" w:sz="0" w:space="0" w:color="auto"/>
      </w:divBdr>
    </w:div>
    <w:div w:id="1072044472">
      <w:bodyDiv w:val="1"/>
      <w:marLeft w:val="0"/>
      <w:marRight w:val="0"/>
      <w:marTop w:val="0"/>
      <w:marBottom w:val="0"/>
      <w:divBdr>
        <w:top w:val="none" w:sz="0" w:space="0" w:color="auto"/>
        <w:left w:val="none" w:sz="0" w:space="0" w:color="auto"/>
        <w:bottom w:val="none" w:sz="0" w:space="0" w:color="auto"/>
        <w:right w:val="none" w:sz="0" w:space="0" w:color="auto"/>
      </w:divBdr>
    </w:div>
    <w:div w:id="1107624462">
      <w:bodyDiv w:val="1"/>
      <w:marLeft w:val="0"/>
      <w:marRight w:val="0"/>
      <w:marTop w:val="0"/>
      <w:marBottom w:val="0"/>
      <w:divBdr>
        <w:top w:val="none" w:sz="0" w:space="0" w:color="auto"/>
        <w:left w:val="none" w:sz="0" w:space="0" w:color="auto"/>
        <w:bottom w:val="none" w:sz="0" w:space="0" w:color="auto"/>
        <w:right w:val="none" w:sz="0" w:space="0" w:color="auto"/>
      </w:divBdr>
    </w:div>
    <w:div w:id="1139876935">
      <w:bodyDiv w:val="1"/>
      <w:marLeft w:val="0"/>
      <w:marRight w:val="0"/>
      <w:marTop w:val="0"/>
      <w:marBottom w:val="0"/>
      <w:divBdr>
        <w:top w:val="none" w:sz="0" w:space="0" w:color="auto"/>
        <w:left w:val="none" w:sz="0" w:space="0" w:color="auto"/>
        <w:bottom w:val="none" w:sz="0" w:space="0" w:color="auto"/>
        <w:right w:val="none" w:sz="0" w:space="0" w:color="auto"/>
      </w:divBdr>
    </w:div>
    <w:div w:id="1194806292">
      <w:bodyDiv w:val="1"/>
      <w:marLeft w:val="0"/>
      <w:marRight w:val="0"/>
      <w:marTop w:val="0"/>
      <w:marBottom w:val="0"/>
      <w:divBdr>
        <w:top w:val="none" w:sz="0" w:space="0" w:color="auto"/>
        <w:left w:val="none" w:sz="0" w:space="0" w:color="auto"/>
        <w:bottom w:val="none" w:sz="0" w:space="0" w:color="auto"/>
        <w:right w:val="none" w:sz="0" w:space="0" w:color="auto"/>
      </w:divBdr>
    </w:div>
    <w:div w:id="1214582901">
      <w:bodyDiv w:val="1"/>
      <w:marLeft w:val="0"/>
      <w:marRight w:val="0"/>
      <w:marTop w:val="0"/>
      <w:marBottom w:val="0"/>
      <w:divBdr>
        <w:top w:val="none" w:sz="0" w:space="0" w:color="auto"/>
        <w:left w:val="none" w:sz="0" w:space="0" w:color="auto"/>
        <w:bottom w:val="none" w:sz="0" w:space="0" w:color="auto"/>
        <w:right w:val="none" w:sz="0" w:space="0" w:color="auto"/>
      </w:divBdr>
    </w:div>
    <w:div w:id="1272858990">
      <w:bodyDiv w:val="1"/>
      <w:marLeft w:val="0"/>
      <w:marRight w:val="0"/>
      <w:marTop w:val="0"/>
      <w:marBottom w:val="0"/>
      <w:divBdr>
        <w:top w:val="none" w:sz="0" w:space="0" w:color="auto"/>
        <w:left w:val="none" w:sz="0" w:space="0" w:color="auto"/>
        <w:bottom w:val="none" w:sz="0" w:space="0" w:color="auto"/>
        <w:right w:val="none" w:sz="0" w:space="0" w:color="auto"/>
      </w:divBdr>
    </w:div>
    <w:div w:id="1284070186">
      <w:bodyDiv w:val="1"/>
      <w:marLeft w:val="0"/>
      <w:marRight w:val="0"/>
      <w:marTop w:val="0"/>
      <w:marBottom w:val="0"/>
      <w:divBdr>
        <w:top w:val="none" w:sz="0" w:space="0" w:color="auto"/>
        <w:left w:val="none" w:sz="0" w:space="0" w:color="auto"/>
        <w:bottom w:val="none" w:sz="0" w:space="0" w:color="auto"/>
        <w:right w:val="none" w:sz="0" w:space="0" w:color="auto"/>
      </w:divBdr>
    </w:div>
    <w:div w:id="1354695086">
      <w:bodyDiv w:val="1"/>
      <w:marLeft w:val="0"/>
      <w:marRight w:val="0"/>
      <w:marTop w:val="0"/>
      <w:marBottom w:val="0"/>
      <w:divBdr>
        <w:top w:val="none" w:sz="0" w:space="0" w:color="auto"/>
        <w:left w:val="none" w:sz="0" w:space="0" w:color="auto"/>
        <w:bottom w:val="none" w:sz="0" w:space="0" w:color="auto"/>
        <w:right w:val="none" w:sz="0" w:space="0" w:color="auto"/>
      </w:divBdr>
    </w:div>
    <w:div w:id="1510869379">
      <w:bodyDiv w:val="1"/>
      <w:marLeft w:val="0"/>
      <w:marRight w:val="0"/>
      <w:marTop w:val="0"/>
      <w:marBottom w:val="0"/>
      <w:divBdr>
        <w:top w:val="none" w:sz="0" w:space="0" w:color="auto"/>
        <w:left w:val="none" w:sz="0" w:space="0" w:color="auto"/>
        <w:bottom w:val="none" w:sz="0" w:space="0" w:color="auto"/>
        <w:right w:val="none" w:sz="0" w:space="0" w:color="auto"/>
      </w:divBdr>
    </w:div>
    <w:div w:id="1542285129">
      <w:bodyDiv w:val="1"/>
      <w:marLeft w:val="0"/>
      <w:marRight w:val="0"/>
      <w:marTop w:val="0"/>
      <w:marBottom w:val="0"/>
      <w:divBdr>
        <w:top w:val="none" w:sz="0" w:space="0" w:color="auto"/>
        <w:left w:val="none" w:sz="0" w:space="0" w:color="auto"/>
        <w:bottom w:val="none" w:sz="0" w:space="0" w:color="auto"/>
        <w:right w:val="none" w:sz="0" w:space="0" w:color="auto"/>
      </w:divBdr>
    </w:div>
    <w:div w:id="1555265319">
      <w:bodyDiv w:val="1"/>
      <w:marLeft w:val="0"/>
      <w:marRight w:val="0"/>
      <w:marTop w:val="0"/>
      <w:marBottom w:val="0"/>
      <w:divBdr>
        <w:top w:val="none" w:sz="0" w:space="0" w:color="auto"/>
        <w:left w:val="none" w:sz="0" w:space="0" w:color="auto"/>
        <w:bottom w:val="none" w:sz="0" w:space="0" w:color="auto"/>
        <w:right w:val="none" w:sz="0" w:space="0" w:color="auto"/>
      </w:divBdr>
    </w:div>
    <w:div w:id="1565137030">
      <w:bodyDiv w:val="1"/>
      <w:marLeft w:val="0"/>
      <w:marRight w:val="0"/>
      <w:marTop w:val="0"/>
      <w:marBottom w:val="0"/>
      <w:divBdr>
        <w:top w:val="none" w:sz="0" w:space="0" w:color="auto"/>
        <w:left w:val="none" w:sz="0" w:space="0" w:color="auto"/>
        <w:bottom w:val="none" w:sz="0" w:space="0" w:color="auto"/>
        <w:right w:val="none" w:sz="0" w:space="0" w:color="auto"/>
      </w:divBdr>
      <w:divsChild>
        <w:div w:id="1395621369">
          <w:marLeft w:val="0"/>
          <w:marRight w:val="0"/>
          <w:marTop w:val="0"/>
          <w:marBottom w:val="0"/>
          <w:divBdr>
            <w:top w:val="none" w:sz="0" w:space="0" w:color="auto"/>
            <w:left w:val="none" w:sz="0" w:space="0" w:color="auto"/>
            <w:bottom w:val="none" w:sz="0" w:space="0" w:color="auto"/>
            <w:right w:val="none" w:sz="0" w:space="0" w:color="auto"/>
          </w:divBdr>
        </w:div>
      </w:divsChild>
    </w:div>
    <w:div w:id="1586986966">
      <w:bodyDiv w:val="1"/>
      <w:marLeft w:val="0"/>
      <w:marRight w:val="0"/>
      <w:marTop w:val="0"/>
      <w:marBottom w:val="0"/>
      <w:divBdr>
        <w:top w:val="none" w:sz="0" w:space="0" w:color="auto"/>
        <w:left w:val="none" w:sz="0" w:space="0" w:color="auto"/>
        <w:bottom w:val="none" w:sz="0" w:space="0" w:color="auto"/>
        <w:right w:val="none" w:sz="0" w:space="0" w:color="auto"/>
      </w:divBdr>
    </w:div>
    <w:div w:id="1612085845">
      <w:bodyDiv w:val="1"/>
      <w:marLeft w:val="0"/>
      <w:marRight w:val="0"/>
      <w:marTop w:val="0"/>
      <w:marBottom w:val="0"/>
      <w:divBdr>
        <w:top w:val="none" w:sz="0" w:space="0" w:color="auto"/>
        <w:left w:val="none" w:sz="0" w:space="0" w:color="auto"/>
        <w:bottom w:val="none" w:sz="0" w:space="0" w:color="auto"/>
        <w:right w:val="none" w:sz="0" w:space="0" w:color="auto"/>
      </w:divBdr>
    </w:div>
    <w:div w:id="1653095701">
      <w:bodyDiv w:val="1"/>
      <w:marLeft w:val="0"/>
      <w:marRight w:val="0"/>
      <w:marTop w:val="0"/>
      <w:marBottom w:val="0"/>
      <w:divBdr>
        <w:top w:val="none" w:sz="0" w:space="0" w:color="auto"/>
        <w:left w:val="none" w:sz="0" w:space="0" w:color="auto"/>
        <w:bottom w:val="none" w:sz="0" w:space="0" w:color="auto"/>
        <w:right w:val="none" w:sz="0" w:space="0" w:color="auto"/>
      </w:divBdr>
    </w:div>
    <w:div w:id="1695156679">
      <w:bodyDiv w:val="1"/>
      <w:marLeft w:val="0"/>
      <w:marRight w:val="0"/>
      <w:marTop w:val="0"/>
      <w:marBottom w:val="0"/>
      <w:divBdr>
        <w:top w:val="none" w:sz="0" w:space="0" w:color="auto"/>
        <w:left w:val="none" w:sz="0" w:space="0" w:color="auto"/>
        <w:bottom w:val="none" w:sz="0" w:space="0" w:color="auto"/>
        <w:right w:val="none" w:sz="0" w:space="0" w:color="auto"/>
      </w:divBdr>
    </w:div>
    <w:div w:id="1707635654">
      <w:bodyDiv w:val="1"/>
      <w:marLeft w:val="0"/>
      <w:marRight w:val="0"/>
      <w:marTop w:val="0"/>
      <w:marBottom w:val="0"/>
      <w:divBdr>
        <w:top w:val="none" w:sz="0" w:space="0" w:color="auto"/>
        <w:left w:val="none" w:sz="0" w:space="0" w:color="auto"/>
        <w:bottom w:val="none" w:sz="0" w:space="0" w:color="auto"/>
        <w:right w:val="none" w:sz="0" w:space="0" w:color="auto"/>
      </w:divBdr>
    </w:div>
    <w:div w:id="1773087472">
      <w:bodyDiv w:val="1"/>
      <w:marLeft w:val="0"/>
      <w:marRight w:val="0"/>
      <w:marTop w:val="0"/>
      <w:marBottom w:val="0"/>
      <w:divBdr>
        <w:top w:val="none" w:sz="0" w:space="0" w:color="auto"/>
        <w:left w:val="none" w:sz="0" w:space="0" w:color="auto"/>
        <w:bottom w:val="none" w:sz="0" w:space="0" w:color="auto"/>
        <w:right w:val="none" w:sz="0" w:space="0" w:color="auto"/>
      </w:divBdr>
      <w:divsChild>
        <w:div w:id="1561860294">
          <w:marLeft w:val="0"/>
          <w:marRight w:val="0"/>
          <w:marTop w:val="0"/>
          <w:marBottom w:val="0"/>
          <w:divBdr>
            <w:top w:val="none" w:sz="0" w:space="0" w:color="auto"/>
            <w:left w:val="none" w:sz="0" w:space="0" w:color="auto"/>
            <w:bottom w:val="none" w:sz="0" w:space="0" w:color="auto"/>
            <w:right w:val="none" w:sz="0" w:space="0" w:color="auto"/>
          </w:divBdr>
          <w:divsChild>
            <w:div w:id="20773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98291">
      <w:bodyDiv w:val="1"/>
      <w:marLeft w:val="0"/>
      <w:marRight w:val="0"/>
      <w:marTop w:val="0"/>
      <w:marBottom w:val="0"/>
      <w:divBdr>
        <w:top w:val="none" w:sz="0" w:space="0" w:color="auto"/>
        <w:left w:val="none" w:sz="0" w:space="0" w:color="auto"/>
        <w:bottom w:val="none" w:sz="0" w:space="0" w:color="auto"/>
        <w:right w:val="none" w:sz="0" w:space="0" w:color="auto"/>
      </w:divBdr>
      <w:divsChild>
        <w:div w:id="62799218">
          <w:marLeft w:val="0"/>
          <w:marRight w:val="0"/>
          <w:marTop w:val="0"/>
          <w:marBottom w:val="0"/>
          <w:divBdr>
            <w:top w:val="none" w:sz="0" w:space="0" w:color="auto"/>
            <w:left w:val="none" w:sz="0" w:space="0" w:color="auto"/>
            <w:bottom w:val="none" w:sz="0" w:space="0" w:color="auto"/>
            <w:right w:val="none" w:sz="0" w:space="0" w:color="auto"/>
          </w:divBdr>
        </w:div>
      </w:divsChild>
    </w:div>
    <w:div w:id="1795322699">
      <w:bodyDiv w:val="1"/>
      <w:marLeft w:val="0"/>
      <w:marRight w:val="0"/>
      <w:marTop w:val="0"/>
      <w:marBottom w:val="0"/>
      <w:divBdr>
        <w:top w:val="none" w:sz="0" w:space="0" w:color="auto"/>
        <w:left w:val="none" w:sz="0" w:space="0" w:color="auto"/>
        <w:bottom w:val="none" w:sz="0" w:space="0" w:color="auto"/>
        <w:right w:val="none" w:sz="0" w:space="0" w:color="auto"/>
      </w:divBdr>
    </w:div>
    <w:div w:id="1795712024">
      <w:bodyDiv w:val="1"/>
      <w:marLeft w:val="0"/>
      <w:marRight w:val="0"/>
      <w:marTop w:val="0"/>
      <w:marBottom w:val="0"/>
      <w:divBdr>
        <w:top w:val="none" w:sz="0" w:space="0" w:color="auto"/>
        <w:left w:val="none" w:sz="0" w:space="0" w:color="auto"/>
        <w:bottom w:val="none" w:sz="0" w:space="0" w:color="auto"/>
        <w:right w:val="none" w:sz="0" w:space="0" w:color="auto"/>
      </w:divBdr>
    </w:div>
    <w:div w:id="1816530636">
      <w:bodyDiv w:val="1"/>
      <w:marLeft w:val="0"/>
      <w:marRight w:val="0"/>
      <w:marTop w:val="0"/>
      <w:marBottom w:val="0"/>
      <w:divBdr>
        <w:top w:val="none" w:sz="0" w:space="0" w:color="auto"/>
        <w:left w:val="none" w:sz="0" w:space="0" w:color="auto"/>
        <w:bottom w:val="none" w:sz="0" w:space="0" w:color="auto"/>
        <w:right w:val="none" w:sz="0" w:space="0" w:color="auto"/>
      </w:divBdr>
    </w:div>
    <w:div w:id="1826555008">
      <w:bodyDiv w:val="1"/>
      <w:marLeft w:val="0"/>
      <w:marRight w:val="0"/>
      <w:marTop w:val="0"/>
      <w:marBottom w:val="0"/>
      <w:divBdr>
        <w:top w:val="none" w:sz="0" w:space="0" w:color="auto"/>
        <w:left w:val="none" w:sz="0" w:space="0" w:color="auto"/>
        <w:bottom w:val="none" w:sz="0" w:space="0" w:color="auto"/>
        <w:right w:val="none" w:sz="0" w:space="0" w:color="auto"/>
      </w:divBdr>
    </w:div>
    <w:div w:id="1885867223">
      <w:bodyDiv w:val="1"/>
      <w:marLeft w:val="0"/>
      <w:marRight w:val="0"/>
      <w:marTop w:val="0"/>
      <w:marBottom w:val="0"/>
      <w:divBdr>
        <w:top w:val="none" w:sz="0" w:space="0" w:color="auto"/>
        <w:left w:val="none" w:sz="0" w:space="0" w:color="auto"/>
        <w:bottom w:val="none" w:sz="0" w:space="0" w:color="auto"/>
        <w:right w:val="none" w:sz="0" w:space="0" w:color="auto"/>
      </w:divBdr>
    </w:div>
    <w:div w:id="2088260782">
      <w:bodyDiv w:val="1"/>
      <w:marLeft w:val="0"/>
      <w:marRight w:val="0"/>
      <w:marTop w:val="0"/>
      <w:marBottom w:val="0"/>
      <w:divBdr>
        <w:top w:val="none" w:sz="0" w:space="0" w:color="auto"/>
        <w:left w:val="none" w:sz="0" w:space="0" w:color="auto"/>
        <w:bottom w:val="none" w:sz="0" w:space="0" w:color="auto"/>
        <w:right w:val="none" w:sz="0" w:space="0" w:color="auto"/>
      </w:divBdr>
    </w:div>
    <w:div w:id="20908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48CB-66D2-CF48-9F05-D9AFC88E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9</cp:revision>
  <dcterms:created xsi:type="dcterms:W3CDTF">2025-03-25T13:12:00Z</dcterms:created>
  <dcterms:modified xsi:type="dcterms:W3CDTF">2025-03-26T02:45:00Z</dcterms:modified>
</cp:coreProperties>
</file>